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8B1196" w:rsidRPr="00EB4D74" w:rsidTr="00EA30FC">
        <w:trPr>
          <w:trHeight w:val="4063"/>
        </w:trPr>
        <w:tc>
          <w:tcPr>
            <w:tcW w:w="5951" w:type="dxa"/>
            <w:tcBorders>
              <w:bottom w:val="single" w:sz="18" w:space="0" w:color="808080"/>
              <w:right w:val="single" w:sz="18" w:space="0" w:color="808080"/>
            </w:tcBorders>
            <w:vAlign w:val="center"/>
          </w:tcPr>
          <w:p w:rsidR="008B1196" w:rsidRPr="00EB4D74" w:rsidRDefault="008B1196" w:rsidP="00EA30FC">
            <w:pPr>
              <w:ind w:left="907"/>
              <w:rPr>
                <w:rFonts w:ascii="Cambria" w:hAnsi="Cambria"/>
                <w:b/>
                <w:sz w:val="76"/>
                <w:szCs w:val="76"/>
                <w:lang w:val="es-ES" w:eastAsia="zh-TW"/>
              </w:rPr>
            </w:pPr>
            <w:bookmarkStart w:id="0" w:name="_Toc336338167"/>
            <w:bookmarkStart w:id="1" w:name="_GoBack"/>
            <w:bookmarkEnd w:id="1"/>
            <w:r w:rsidRPr="00EB4D74">
              <w:rPr>
                <w:rFonts w:ascii="Cambria" w:hAnsi="Cambria"/>
                <w:sz w:val="76"/>
                <w:szCs w:val="76"/>
                <w:lang w:val="es-ES" w:eastAsia="zh-TW"/>
              </w:rPr>
              <w:t>Lista de Produtos da</w:t>
            </w:r>
          </w:p>
          <w:p w:rsidR="008B1196" w:rsidRPr="00EB4D74" w:rsidRDefault="008B1196" w:rsidP="00EA30FC">
            <w:pPr>
              <w:pStyle w:val="Title"/>
              <w:spacing w:before="0" w:after="0"/>
              <w:ind w:left="900"/>
              <w:jc w:val="left"/>
              <w:rPr>
                <w:rFonts w:ascii="Tahoma" w:hAnsi="Tahoma" w:cs="Tahoma"/>
                <w:sz w:val="76"/>
                <w:szCs w:val="72"/>
                <w:lang w:val="it-IT"/>
              </w:rPr>
            </w:pPr>
            <w:bookmarkStart w:id="2" w:name="_Toc342914494"/>
            <w:r w:rsidRPr="00EB4D74">
              <w:rPr>
                <w:rFonts w:eastAsia="Times New Roman" w:cs="Tahoma"/>
                <w:b w:val="0"/>
                <w:bCs w:val="0"/>
                <w:sz w:val="76"/>
                <w:szCs w:val="76"/>
                <w:lang w:val="es-ES"/>
              </w:rPr>
              <w:t>Microsoft</w:t>
            </w:r>
            <w:r w:rsidRPr="00EB4D74">
              <w:rPr>
                <w:rFonts w:eastAsia="Times New Roman" w:cs="Tahoma"/>
                <w:b w:val="0"/>
                <w:bCs w:val="0"/>
                <w:sz w:val="76"/>
                <w:szCs w:val="76"/>
                <w:vertAlign w:val="superscript"/>
                <w:lang w:val="es-ES"/>
              </w:rPr>
              <w:t>®</w:t>
            </w:r>
            <w:bookmarkEnd w:id="2"/>
          </w:p>
        </w:tc>
        <w:tc>
          <w:tcPr>
            <w:tcW w:w="4615" w:type="dxa"/>
            <w:tcBorders>
              <w:left w:val="single" w:sz="18" w:space="0" w:color="808080"/>
              <w:bottom w:val="single" w:sz="18" w:space="0" w:color="808080"/>
            </w:tcBorders>
            <w:vAlign w:val="center"/>
          </w:tcPr>
          <w:p w:rsidR="008B1196" w:rsidRPr="00EB4D74" w:rsidRDefault="008B1196" w:rsidP="00EA30FC">
            <w:pPr>
              <w:pStyle w:val="NoSpacing1"/>
              <w:ind w:right="-1797"/>
              <w:rPr>
                <w:rFonts w:ascii="Tahoma" w:hAnsi="Tahoma" w:cs="Tahoma"/>
                <w:sz w:val="72"/>
                <w:szCs w:val="72"/>
                <w:lang w:val="es-ES"/>
              </w:rPr>
            </w:pPr>
          </w:p>
          <w:p w:rsidR="008B1196" w:rsidRPr="00EB4D74" w:rsidRDefault="008B1196" w:rsidP="00EA30FC">
            <w:pPr>
              <w:pStyle w:val="NoSpacing1"/>
              <w:ind w:right="-1797"/>
              <w:rPr>
                <w:rFonts w:ascii="Tahoma" w:hAnsi="Tahoma" w:cs="Tahoma"/>
                <w:sz w:val="72"/>
                <w:szCs w:val="72"/>
                <w:lang w:val="pt-BR"/>
              </w:rPr>
            </w:pPr>
            <w:r w:rsidRPr="00EB4D74">
              <w:rPr>
                <w:rFonts w:ascii="Tahoma" w:hAnsi="Tahoma" w:cs="Tahoma"/>
                <w:sz w:val="72"/>
                <w:szCs w:val="72"/>
                <w:lang w:val="pt-BR"/>
              </w:rPr>
              <w:t>1º de Janeiro</w:t>
            </w:r>
          </w:p>
          <w:p w:rsidR="008B1196" w:rsidRPr="00EB4D74" w:rsidRDefault="008B1196" w:rsidP="008B1196">
            <w:pPr>
              <w:pStyle w:val="NoSpacing1"/>
              <w:ind w:rightChars="-103" w:right="-185"/>
              <w:rPr>
                <w:rFonts w:ascii="Tahoma" w:hAnsi="Tahoma" w:cs="Tahoma"/>
                <w:color w:val="4F81BD"/>
                <w:sz w:val="200"/>
                <w:szCs w:val="200"/>
              </w:rPr>
            </w:pPr>
            <w:r w:rsidRPr="00EB4D74">
              <w:rPr>
                <w:rFonts w:ascii="Tahoma" w:hAnsi="Tahoma" w:cs="Tahoma"/>
                <w:color w:val="4F81BD"/>
                <w:sz w:val="200"/>
              </w:rPr>
              <w:t>2013</w:t>
            </w:r>
          </w:p>
        </w:tc>
      </w:tr>
      <w:tr w:rsidR="008B1196" w:rsidRPr="00EB4D74" w:rsidTr="00EA30FC">
        <w:trPr>
          <w:trHeight w:val="412"/>
        </w:trPr>
        <w:tc>
          <w:tcPr>
            <w:tcW w:w="5951" w:type="dxa"/>
            <w:tcBorders>
              <w:top w:val="single" w:sz="18" w:space="0" w:color="808080"/>
            </w:tcBorders>
            <w:vAlign w:val="center"/>
          </w:tcPr>
          <w:p w:rsidR="008B1196" w:rsidRPr="00EB4D74" w:rsidRDefault="008B1196" w:rsidP="008B1196">
            <w:pPr>
              <w:pStyle w:val="NoSpacing1"/>
              <w:ind w:leftChars="122" w:left="220" w:firstLine="2"/>
              <w:rPr>
                <w:rFonts w:ascii="Tahoma" w:hAnsi="Tahoma" w:cs="Tahoma"/>
                <w:sz w:val="22"/>
                <w:szCs w:val="22"/>
                <w:lang w:val="it-IT"/>
              </w:rPr>
            </w:pPr>
            <w:r w:rsidRPr="00EB4D74">
              <w:rPr>
                <w:rFonts w:ascii="Tahoma" w:hAnsi="Tahoma" w:cs="Tahoma"/>
                <w:lang w:val="pt-BR"/>
              </w:rPr>
              <w:t>A Lista de Produtos da Microsoft fornece informações mensais sobre o software e os Serviços Online da Microsoft licenciados nos programas de Licenciamento por Volume da Microsoft.</w:t>
            </w:r>
          </w:p>
        </w:tc>
        <w:tc>
          <w:tcPr>
            <w:tcW w:w="4615" w:type="dxa"/>
            <w:tcBorders>
              <w:top w:val="single" w:sz="18" w:space="0" w:color="808080"/>
            </w:tcBorders>
            <w:vAlign w:val="center"/>
          </w:tcPr>
          <w:p w:rsidR="008B1196" w:rsidRPr="00EB4D74" w:rsidRDefault="008B1196" w:rsidP="008B1196">
            <w:pPr>
              <w:pStyle w:val="NoSpacing1"/>
              <w:ind w:rightChars="-15" w:right="-27"/>
              <w:rPr>
                <w:rFonts w:ascii="Tahoma" w:hAnsi="Tahoma" w:cs="Tahoma"/>
                <w:sz w:val="32"/>
                <w:szCs w:val="32"/>
                <w:lang w:val="it-IT"/>
              </w:rPr>
            </w:pPr>
          </w:p>
        </w:tc>
      </w:tr>
    </w:tbl>
    <w:p w:rsidR="008B1196" w:rsidRPr="00EB4D74" w:rsidRDefault="008B1196" w:rsidP="008B1196">
      <w:pPr>
        <w:rPr>
          <w:rFonts w:cs="Tahoma"/>
          <w:lang w:val="it-IT"/>
        </w:rPr>
        <w:sectPr w:rsidR="008B1196" w:rsidRPr="00EB4D74" w:rsidSect="00581B69">
          <w:headerReference w:type="default" r:id="rId6"/>
          <w:footerReference w:type="default" r:id="rId7"/>
          <w:headerReference w:type="first" r:id="rId8"/>
          <w:footerReference w:type="first" r:id="rId9"/>
          <w:endnotePr>
            <w:numFmt w:val="decimal"/>
          </w:endnotePr>
          <w:pgSz w:w="12240" w:h="15840" w:code="1"/>
          <w:pgMar w:top="1440" w:right="1440" w:bottom="1440" w:left="1440" w:header="720" w:footer="720" w:gutter="0"/>
          <w:cols w:space="720"/>
          <w:titlePg/>
          <w:docGrid w:linePitch="360"/>
        </w:sectPr>
      </w:pPr>
    </w:p>
    <w:p w:rsidR="008B1196" w:rsidRPr="00EB4D74" w:rsidRDefault="008B1196" w:rsidP="008B1196">
      <w:pPr>
        <w:pStyle w:val="Heading1"/>
      </w:pPr>
      <w:bookmarkStart w:id="3" w:name="_Toc336337838"/>
      <w:bookmarkStart w:id="4" w:name="_Toc342914495"/>
      <w:bookmarkEnd w:id="3"/>
      <w:r w:rsidRPr="00EB4D74">
        <w:lastRenderedPageBreak/>
        <w:t>sobre este Documento</w:t>
      </w:r>
      <w:bookmarkEnd w:id="4"/>
    </w:p>
    <w:p w:rsidR="008B1196" w:rsidRPr="00EB4D74" w:rsidRDefault="008B1196" w:rsidP="008B1196">
      <w:pPr>
        <w:pStyle w:val="Body"/>
        <w:ind w:right="720"/>
        <w:rPr>
          <w:rFonts w:ascii="Tahoma" w:hAnsi="Tahoma" w:cs="Tahoma"/>
          <w:lang w:val="it-IT"/>
        </w:rPr>
      </w:pPr>
    </w:p>
    <w:p w:rsidR="008B1196" w:rsidRPr="00EB4D74" w:rsidRDefault="008B1196" w:rsidP="008B1196">
      <w:pPr>
        <w:pStyle w:val="Body"/>
        <w:ind w:right="720"/>
        <w:rPr>
          <w:rFonts w:ascii="Tahoma" w:hAnsi="Tahoma" w:cs="Tahoma"/>
          <w:lang w:val="it-IT"/>
        </w:rPr>
      </w:pPr>
      <w:r w:rsidRPr="00EB4D74">
        <w:rPr>
          <w:rFonts w:ascii="Tahoma" w:hAnsi="Tahoma" w:cs="Tahoma"/>
          <w:sz w:val="18"/>
          <w:szCs w:val="18"/>
          <w:lang w:val="pt-BR"/>
        </w:rPr>
        <w:t xml:space="preserve">A Lista de Produtos da Microsoft fornece informações mensais sobre o software e os Serviços Online da Microsoft licenciados nos programas de Licenciamento por Volume da Microsoft. </w:t>
      </w:r>
      <w:r w:rsidRPr="00EB4D74">
        <w:rPr>
          <w:rFonts w:ascii="Tahoma" w:hAnsi="Tahoma" w:cs="Tahoma"/>
          <w:sz w:val="18"/>
          <w:lang w:val="pt-BR"/>
        </w:rPr>
        <w:t>As informações descritas na Lista de Produtos da Microsoft incluem:</w:t>
      </w:r>
    </w:p>
    <w:p w:rsidR="008B1196" w:rsidRPr="00EB4D74" w:rsidRDefault="008B1196" w:rsidP="008B1196">
      <w:pPr>
        <w:pStyle w:val="Body"/>
        <w:ind w:right="720"/>
        <w:rPr>
          <w:rFonts w:ascii="Tahoma" w:hAnsi="Tahoma" w:cs="Tahoma"/>
          <w:lang w:val="it-IT"/>
        </w:rPr>
      </w:pPr>
    </w:p>
    <w:p w:rsidR="008B1196" w:rsidRPr="00EB4D74" w:rsidRDefault="008B1196" w:rsidP="008B1196">
      <w:pPr>
        <w:pStyle w:val="BulletedList"/>
        <w:ind w:right="720"/>
        <w:rPr>
          <w:rFonts w:ascii="Tahoma" w:hAnsi="Tahoma" w:cs="Tahoma"/>
          <w:lang w:val="it-IT"/>
        </w:rPr>
      </w:pPr>
      <w:r w:rsidRPr="00EB4D74">
        <w:rPr>
          <w:rFonts w:ascii="Tahoma" w:hAnsi="Tahoma" w:cs="Tahoma"/>
          <w:sz w:val="18"/>
          <w:lang w:val="pt-BR"/>
        </w:rPr>
        <w:t>Disponibilidade de novos aplicativos de software e produtos oferecidos por meio do Licenciamento por Volume da Microsoft</w:t>
      </w:r>
    </w:p>
    <w:p w:rsidR="008B1196" w:rsidRPr="00EB4D74" w:rsidRDefault="008B1196" w:rsidP="008B1196">
      <w:pPr>
        <w:pStyle w:val="BulletedList"/>
        <w:numPr>
          <w:ilvl w:val="0"/>
          <w:numId w:val="1"/>
        </w:numPr>
        <w:ind w:right="720"/>
        <w:rPr>
          <w:rFonts w:ascii="Tahoma" w:hAnsi="Tahoma" w:cs="Tahoma"/>
          <w:lang w:val="it-IT"/>
        </w:rPr>
      </w:pPr>
      <w:r w:rsidRPr="00EB4D74">
        <w:rPr>
          <w:rFonts w:ascii="Tahoma" w:hAnsi="Tahoma" w:cs="Tahoma"/>
          <w:sz w:val="18"/>
          <w:lang w:val="pt-BR"/>
        </w:rPr>
        <w:t>Descontinuação da disponibilidade de novos aplicativos de software e produtos oferecidos por meio do Licenciamento por Volume da Microsoft</w:t>
      </w:r>
    </w:p>
    <w:p w:rsidR="008B1196" w:rsidRPr="00EB4D74" w:rsidRDefault="008B1196" w:rsidP="008B1196">
      <w:pPr>
        <w:pStyle w:val="BulletedList"/>
        <w:numPr>
          <w:ilvl w:val="0"/>
          <w:numId w:val="1"/>
        </w:numPr>
        <w:ind w:right="720"/>
        <w:rPr>
          <w:rFonts w:ascii="Tahoma" w:hAnsi="Tahoma" w:cs="Tahoma"/>
          <w:lang w:val="it-IT"/>
        </w:rPr>
      </w:pPr>
      <w:r w:rsidRPr="00EB4D74">
        <w:rPr>
          <w:rFonts w:ascii="Tahoma" w:hAnsi="Tahoma" w:cs="Tahoma"/>
          <w:sz w:val="18"/>
          <w:lang w:val="pt-BR"/>
        </w:rPr>
        <w:t>Designação de software e produtos referente ao pool de produtos do Licenciamento por Volume da Microsoft</w:t>
      </w:r>
    </w:p>
    <w:p w:rsidR="008B1196" w:rsidRPr="00EB4D74" w:rsidRDefault="008B1196" w:rsidP="008B1196">
      <w:pPr>
        <w:pStyle w:val="BulletedList"/>
        <w:numPr>
          <w:ilvl w:val="0"/>
          <w:numId w:val="1"/>
        </w:numPr>
        <w:ind w:right="720"/>
        <w:rPr>
          <w:rFonts w:ascii="Tahoma" w:hAnsi="Tahoma" w:cs="Tahoma"/>
          <w:lang w:val="it-IT"/>
        </w:rPr>
      </w:pPr>
      <w:r w:rsidRPr="00EB4D74">
        <w:rPr>
          <w:rFonts w:ascii="Tahoma" w:hAnsi="Tahoma" w:cs="Tahoma"/>
          <w:sz w:val="18"/>
          <w:lang w:val="pt-BR"/>
        </w:rPr>
        <w:t>O valor em pontos de cada tecnologia de software e produto</w:t>
      </w:r>
    </w:p>
    <w:p w:rsidR="008B1196" w:rsidRPr="00EB4D74" w:rsidRDefault="008B1196" w:rsidP="008B1196">
      <w:pPr>
        <w:pStyle w:val="BulletedList"/>
        <w:numPr>
          <w:ilvl w:val="0"/>
          <w:numId w:val="1"/>
        </w:numPr>
        <w:ind w:right="720"/>
        <w:rPr>
          <w:rFonts w:ascii="Tahoma" w:hAnsi="Tahoma" w:cs="Tahoma"/>
        </w:rPr>
      </w:pPr>
      <w:r w:rsidRPr="00EB4D74">
        <w:rPr>
          <w:rFonts w:ascii="Tahoma" w:hAnsi="Tahoma" w:cs="Tahoma"/>
          <w:sz w:val="18"/>
          <w:lang w:val="pt-BR"/>
        </w:rPr>
        <w:t>Promoções disponíveis</w:t>
      </w:r>
    </w:p>
    <w:p w:rsidR="008B1196" w:rsidRPr="00EB4D74" w:rsidRDefault="008B1196" w:rsidP="008B1196">
      <w:pPr>
        <w:pStyle w:val="BulletedList"/>
        <w:numPr>
          <w:ilvl w:val="0"/>
          <w:numId w:val="1"/>
        </w:numPr>
        <w:ind w:right="720"/>
        <w:rPr>
          <w:rFonts w:ascii="Tahoma" w:hAnsi="Tahoma" w:cs="Tahoma"/>
          <w:lang w:val="it-IT"/>
        </w:rPr>
      </w:pPr>
      <w:r w:rsidRPr="00EB4D74">
        <w:rPr>
          <w:rFonts w:ascii="Tahoma" w:hAnsi="Tahoma" w:cs="Tahoma"/>
          <w:sz w:val="18"/>
          <w:lang w:val="pt-BR"/>
        </w:rPr>
        <w:t>Caminhos de migração de uma versão de software para outra versão do mesmo software</w:t>
      </w:r>
    </w:p>
    <w:p w:rsidR="008B1196" w:rsidRPr="00EB4D74" w:rsidRDefault="008B1196" w:rsidP="008B1196">
      <w:pPr>
        <w:pStyle w:val="BulletedList"/>
        <w:numPr>
          <w:ilvl w:val="0"/>
          <w:numId w:val="1"/>
        </w:numPr>
        <w:ind w:right="720"/>
        <w:rPr>
          <w:rFonts w:ascii="Tahoma" w:hAnsi="Tahoma" w:cs="Tahoma"/>
          <w:lang w:val="it-IT"/>
        </w:rPr>
      </w:pPr>
      <w:r w:rsidRPr="00EB4D74">
        <w:rPr>
          <w:rFonts w:ascii="Tahoma" w:hAnsi="Tahoma" w:cs="Tahoma"/>
          <w:sz w:val="18"/>
          <w:lang w:val="pt-BR"/>
        </w:rPr>
        <w:t>Caminhos de migração de software descontinuado para novas versões de software</w:t>
      </w:r>
    </w:p>
    <w:p w:rsidR="008B1196" w:rsidRPr="00EB4D74" w:rsidRDefault="008B1196" w:rsidP="008B1196">
      <w:pPr>
        <w:pStyle w:val="BulletedList"/>
        <w:numPr>
          <w:ilvl w:val="0"/>
          <w:numId w:val="1"/>
        </w:numPr>
        <w:ind w:right="720"/>
        <w:rPr>
          <w:rFonts w:ascii="Tahoma" w:hAnsi="Tahoma" w:cs="Tahoma"/>
        </w:rPr>
      </w:pPr>
      <w:r w:rsidRPr="00EB4D74">
        <w:rPr>
          <w:rFonts w:ascii="Tahoma" w:hAnsi="Tahoma" w:cs="Tahoma"/>
          <w:sz w:val="18"/>
          <w:lang w:val="pt-BR"/>
        </w:rPr>
        <w:t>Benefícios do Software Assurance</w:t>
      </w:r>
    </w:p>
    <w:p w:rsidR="008B1196" w:rsidRPr="00EB4D74" w:rsidRDefault="008B1196" w:rsidP="008B1196">
      <w:pPr>
        <w:pStyle w:val="BulletedList"/>
        <w:numPr>
          <w:ilvl w:val="0"/>
          <w:numId w:val="1"/>
        </w:numPr>
        <w:ind w:right="720"/>
        <w:rPr>
          <w:rFonts w:ascii="Tahoma" w:hAnsi="Tahoma" w:cs="Tahoma"/>
        </w:rPr>
      </w:pPr>
      <w:r w:rsidRPr="00EB4D74">
        <w:rPr>
          <w:rFonts w:ascii="Tahoma" w:hAnsi="Tahoma" w:cs="Tahoma"/>
          <w:sz w:val="18"/>
          <w:lang w:val="pt-BR"/>
        </w:rPr>
        <w:t>Outras Notas e informações específicas a software e produtos determinados</w:t>
      </w:r>
    </w:p>
    <w:p w:rsidR="008B1196" w:rsidRPr="00EB4D74" w:rsidRDefault="008B1196" w:rsidP="008B1196">
      <w:pPr>
        <w:ind w:right="720"/>
        <w:rPr>
          <w:rFonts w:cs="Tahoma"/>
        </w:rPr>
      </w:pPr>
    </w:p>
    <w:p w:rsidR="008B1196" w:rsidRPr="00EB4D74" w:rsidRDefault="008B1196" w:rsidP="008B1196">
      <w:pPr>
        <w:ind w:right="720"/>
        <w:rPr>
          <w:rFonts w:cs="Tahoma"/>
        </w:rPr>
      </w:pPr>
    </w:p>
    <w:p w:rsidR="008B1196" w:rsidRPr="00EB4D74" w:rsidRDefault="008B1196" w:rsidP="008B1196">
      <w:pPr>
        <w:pStyle w:val="Heading1"/>
      </w:pPr>
      <w:bookmarkStart w:id="5" w:name="_Toc336337839"/>
      <w:bookmarkStart w:id="6" w:name="_Toc342914496"/>
      <w:bookmarkEnd w:id="5"/>
      <w:r w:rsidRPr="00EB4D74">
        <w:t>como usar a lista de Produtos da Microsoft</w:t>
      </w:r>
      <w:bookmarkEnd w:id="6"/>
    </w:p>
    <w:p w:rsidR="008B1196" w:rsidRPr="00EB4D74" w:rsidRDefault="008B1196" w:rsidP="008B1196">
      <w:pPr>
        <w:pStyle w:val="Body"/>
        <w:ind w:right="-1890"/>
        <w:rPr>
          <w:rFonts w:ascii="Tahoma" w:hAnsi="Tahoma" w:cs="Tahoma"/>
          <w:lang w:val="it-IT"/>
        </w:rPr>
      </w:pPr>
    </w:p>
    <w:p w:rsidR="008B1196" w:rsidRPr="00EB4D74" w:rsidRDefault="008B1196" w:rsidP="008B1196">
      <w:pPr>
        <w:pStyle w:val="Body"/>
        <w:ind w:right="-1890"/>
        <w:rPr>
          <w:rFonts w:ascii="Tahoma" w:hAnsi="Tahoma" w:cs="Tahoma"/>
          <w:lang w:val="it-IT"/>
        </w:rPr>
      </w:pPr>
      <w:r w:rsidRPr="00EB4D74">
        <w:rPr>
          <w:rFonts w:ascii="Tahoma" w:hAnsi="Tahoma" w:cs="Tahoma"/>
          <w:b/>
          <w:lang w:val="pt-BR"/>
        </w:rPr>
        <w:t xml:space="preserve">Procure se familiarizar com a Legenda da Tabela que se segue às etapas indicadas </w:t>
      </w:r>
      <w:r w:rsidRPr="00EB4D74">
        <w:rPr>
          <w:rFonts w:ascii="Tahoma" w:hAnsi="Tahoma" w:cs="Tahoma"/>
          <w:b/>
          <w:lang w:val="pt-BR"/>
        </w:rPr>
        <w:br/>
        <w:t>abaixo.</w:t>
      </w:r>
    </w:p>
    <w:p w:rsidR="008B1196" w:rsidRPr="00EB4D74" w:rsidRDefault="008B1196" w:rsidP="008B1196">
      <w:pPr>
        <w:pStyle w:val="Body"/>
        <w:ind w:right="-1890"/>
        <w:rPr>
          <w:rFonts w:ascii="Tahoma" w:hAnsi="Tahoma" w:cs="Tahoma"/>
          <w:lang w:val="it-IT"/>
        </w:rPr>
      </w:pPr>
    </w:p>
    <w:p w:rsidR="008B1196" w:rsidRPr="00EB4D74" w:rsidRDefault="008B1196" w:rsidP="008B1196">
      <w:pPr>
        <w:pStyle w:val="Body"/>
        <w:ind w:right="-1890"/>
        <w:rPr>
          <w:rFonts w:ascii="Tahoma" w:hAnsi="Tahoma" w:cs="Tahoma"/>
          <w:lang w:val="it-IT"/>
        </w:rPr>
      </w:pPr>
      <w:r w:rsidRPr="00EB4D74">
        <w:rPr>
          <w:rStyle w:val="BodyChar"/>
          <w:rFonts w:ascii="Tahoma" w:hAnsi="Tahoma" w:cs="Tahoma"/>
          <w:b/>
          <w:sz w:val="18"/>
          <w:lang w:val="pt-BR"/>
        </w:rPr>
        <w:t xml:space="preserve">Etapa 1: </w:t>
      </w:r>
      <w:r w:rsidRPr="00EB4D74">
        <w:rPr>
          <w:rFonts w:ascii="Tahoma" w:hAnsi="Tahoma" w:cs="Tahoma"/>
          <w:sz w:val="18"/>
          <w:szCs w:val="18"/>
          <w:lang w:val="pt-BR"/>
        </w:rPr>
        <w:t>encontre na tabela o software que você está cogitando adquirir.</w:t>
      </w:r>
    </w:p>
    <w:p w:rsidR="008B1196" w:rsidRPr="00EB4D74" w:rsidRDefault="008B1196" w:rsidP="008B1196">
      <w:pPr>
        <w:pStyle w:val="Body"/>
        <w:ind w:right="-1890"/>
        <w:rPr>
          <w:rFonts w:ascii="Tahoma" w:hAnsi="Tahoma" w:cs="Tahoma"/>
          <w:lang w:val="it-IT"/>
        </w:rPr>
      </w:pPr>
    </w:p>
    <w:p w:rsidR="008B1196" w:rsidRPr="00EB4D74" w:rsidRDefault="008B1196" w:rsidP="008B1196">
      <w:pPr>
        <w:pStyle w:val="NumberedSteps"/>
        <w:ind w:left="-180" w:right="720"/>
        <w:rPr>
          <w:rFonts w:ascii="Tahoma" w:hAnsi="Tahoma" w:cs="Tahoma"/>
        </w:rPr>
      </w:pPr>
      <w:r>
        <w:rPr>
          <w:noProof/>
        </w:rPr>
        <mc:AlternateContent>
          <mc:Choice Requires="wps">
            <w:drawing>
              <wp:anchor distT="0" distB="0" distL="114300" distR="114300" simplePos="0" relativeHeight="251663360" behindDoc="0" locked="0" layoutInCell="1" allowOverlap="1" wp14:anchorId="4CBE6E36" wp14:editId="4096FC36">
                <wp:simplePos x="0" y="0"/>
                <wp:positionH relativeFrom="column">
                  <wp:posOffset>-152400</wp:posOffset>
                </wp:positionH>
                <wp:positionV relativeFrom="paragraph">
                  <wp:posOffset>751840</wp:posOffset>
                </wp:positionV>
                <wp:extent cx="1800225" cy="219075"/>
                <wp:effectExtent l="9525" t="9525" r="9525" b="9525"/>
                <wp:wrapNone/>
                <wp:docPr id="12"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225" cy="2190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6" style="position:absolute;margin-left:-12pt;margin-top:59.2pt;width:141.7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" filled="f" strokecolor="red" strokeweight="1.5pt"/>
            </w:pict>
          </mc:Fallback>
        </mc:AlternateContent>
      </w:r>
      <w:r w:rsidRPr="00EB4D74">
        <w:rPr>
          <w:noProof/>
        </w:rPr>
        <w:drawing>
          <wp:inline distT="0" distB="0" distL="0" distR="0" wp14:anchorId="7B568159" wp14:editId="40AD3C73">
            <wp:extent cx="5934456" cy="15179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5785" t="51158" r="14236" b="23155"/>
                    <a:stretch/>
                  </pic:blipFill>
                  <pic:spPr bwMode="auto">
                    <a:xfrm>
                      <a:off x="0" y="0"/>
                      <a:ext cx="5934456" cy="1517904"/>
                    </a:xfrm>
                    <a:prstGeom prst="rect">
                      <a:avLst/>
                    </a:prstGeom>
                    <a:ln>
                      <a:noFill/>
                    </a:ln>
                    <a:extLst>
                      <a:ext uri="{53640926-AAD7-44D8-BBD7-CCE9431645EC}">
                        <a14:shadowObscured xmlns:a14="http://schemas.microsoft.com/office/drawing/2010/main"/>
                      </a:ext>
                    </a:extLst>
                  </pic:spPr>
                </pic:pic>
              </a:graphicData>
            </a:graphic>
          </wp:inline>
        </w:drawing>
      </w:r>
    </w:p>
    <w:p w:rsidR="008B1196" w:rsidRPr="00EB4D74" w:rsidRDefault="008B1196" w:rsidP="008B1196">
      <w:pPr>
        <w:pStyle w:val="NumberedSteps"/>
        <w:ind w:right="720"/>
        <w:rPr>
          <w:rFonts w:ascii="Tahoma" w:hAnsi="Tahoma" w:cs="Tahoma"/>
        </w:rPr>
      </w:pPr>
    </w:p>
    <w:p w:rsidR="008B1196" w:rsidRPr="00EB4D74" w:rsidRDefault="008B1196" w:rsidP="008B1196">
      <w:pPr>
        <w:pStyle w:val="NumberedSteps"/>
        <w:ind w:right="720"/>
        <w:rPr>
          <w:rFonts w:ascii="Tahoma" w:hAnsi="Tahoma" w:cs="Tahoma"/>
        </w:rPr>
      </w:pPr>
      <w:r w:rsidRPr="00EB4D74">
        <w:rPr>
          <w:rStyle w:val="BodyChar"/>
          <w:rFonts w:ascii="Tahoma" w:hAnsi="Tahoma" w:cs="Tahoma"/>
          <w:b/>
          <w:sz w:val="18"/>
          <w:lang w:val="pt-BR"/>
        </w:rPr>
        <w:t xml:space="preserve">Etapa 2: </w:t>
      </w:r>
      <w:r w:rsidRPr="00EB4D74">
        <w:rPr>
          <w:rFonts w:ascii="Tahoma" w:hAnsi="Tahoma" w:cs="Tahoma"/>
          <w:sz w:val="18"/>
          <w:lang w:val="pt-BR"/>
        </w:rPr>
        <w:t>analise se as informações nas colunas relacionadas a promoções disponíveis, benefícios do Software Assurance, contagem de pontos, disponibilidade de programas etc.</w:t>
      </w:r>
    </w:p>
    <w:p w:rsidR="008B1196" w:rsidRPr="00EB4D74" w:rsidRDefault="008B1196" w:rsidP="008B1196">
      <w:pPr>
        <w:pStyle w:val="NumberedSteps"/>
        <w:ind w:right="720"/>
        <w:rPr>
          <w:rFonts w:ascii="Tahoma" w:hAnsi="Tahoma" w:cs="Tahoma"/>
        </w:rPr>
      </w:pPr>
      <w:r w:rsidRPr="00EB4D74">
        <w:rPr>
          <w:rStyle w:val="BodyChar"/>
          <w:rFonts w:ascii="Tahoma" w:hAnsi="Tahoma" w:cs="Tahoma"/>
          <w:b/>
          <w:sz w:val="18"/>
          <w:lang w:val="pt-BR"/>
        </w:rPr>
        <w:t xml:space="preserve">Etapa 3: </w:t>
      </w:r>
      <w:r w:rsidRPr="00EB4D74">
        <w:rPr>
          <w:rFonts w:ascii="Tahoma" w:hAnsi="Tahoma" w:cs="Tahoma"/>
          <w:sz w:val="18"/>
          <w:szCs w:val="18"/>
          <w:lang w:val="pt-BR"/>
        </w:rPr>
        <w:t xml:space="preserve">em alguns itens de software, também haverá uma nota de rodapé referente a informações adicionais. Se aplicável, “clique” (Ctrl + clique) no número da nota de rodapé, que o levará diretamente até o texto aplicável; ou consulte a nota de rodapé identificada nas páginas que se seguem à tabela para ver essas informações adicionais. </w:t>
      </w:r>
      <w:r w:rsidRPr="00EB4D74">
        <w:rPr>
          <w:rFonts w:ascii="Tahoma" w:hAnsi="Tahoma" w:cs="Tahoma"/>
          <w:sz w:val="18"/>
          <w:lang w:val="pt-BR"/>
        </w:rPr>
        <w:t>Estas incluem detalhes a respeito de ofertas de migração ou critérios de qualificação, conforme ilustrado no exemplo abaixo.</w:t>
      </w:r>
    </w:p>
    <w:p w:rsidR="008B1196" w:rsidRPr="00EB4D74" w:rsidRDefault="008B1196" w:rsidP="008B1196">
      <w:pPr>
        <w:pStyle w:val="NumberedSteps"/>
        <w:ind w:right="720"/>
        <w:rPr>
          <w:rFonts w:ascii="Tahoma" w:hAnsi="Tahoma" w:cs="Tahoma"/>
        </w:rPr>
      </w:pPr>
    </w:p>
    <w:p w:rsidR="008B1196" w:rsidRPr="00EB4D74" w:rsidRDefault="008B1196" w:rsidP="008B1196">
      <w:pPr>
        <w:pStyle w:val="NumberedSteps"/>
        <w:tabs>
          <w:tab w:val="left" w:pos="9360"/>
        </w:tabs>
        <w:ind w:right="720"/>
        <w:rPr>
          <w:rFonts w:ascii="Tahoma" w:hAnsi="Tahoma" w:cs="Tahoma"/>
          <w:sz w:val="18"/>
          <w:szCs w:val="18"/>
        </w:rPr>
      </w:pPr>
      <w:r>
        <w:rPr>
          <w:rFonts w:ascii="Tahoma" w:hAnsi="Tahoma" w:cs="Tahoma"/>
          <w:noProof/>
          <w:sz w:val="18"/>
          <w:szCs w:val="18"/>
        </w:rPr>
        <w:lastRenderedPageBreak/>
        <mc:AlternateContent>
          <mc:Choice Requires="wps">
            <w:drawing>
              <wp:anchor distT="0" distB="0" distL="114300" distR="114300" simplePos="0" relativeHeight="251664384" behindDoc="0" locked="0" layoutInCell="1" allowOverlap="1" wp14:anchorId="50F4F133" wp14:editId="5FD6212B">
                <wp:simplePos x="0" y="0"/>
                <wp:positionH relativeFrom="column">
                  <wp:posOffset>457200</wp:posOffset>
                </wp:positionH>
                <wp:positionV relativeFrom="paragraph">
                  <wp:posOffset>735965</wp:posOffset>
                </wp:positionV>
                <wp:extent cx="1524000" cy="219075"/>
                <wp:effectExtent l="9525" t="9525" r="9525" b="9525"/>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0" cy="2190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6" style="position:absolute;margin-left:36pt;margin-top:57.95pt;width:120pt;height:17.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" filled="f" strokecolor="red" strokeweight="1.5pt"/>
            </w:pict>
          </mc:Fallback>
        </mc:AlternateContent>
      </w:r>
      <w:r>
        <w:rPr>
          <w:rFonts w:ascii="Tahoma" w:hAnsi="Tahoma" w:cs="Tahoma"/>
          <w:noProof/>
          <w:sz w:val="18"/>
          <w:szCs w:val="18"/>
        </w:rPr>
        <mc:AlternateContent>
          <mc:Choice Requires="wps">
            <w:drawing>
              <wp:anchor distT="0" distB="0" distL="114300" distR="114300" simplePos="0" relativeHeight="251665408" behindDoc="0" locked="0" layoutInCell="1" allowOverlap="1" wp14:anchorId="34C36130" wp14:editId="46743DDD">
                <wp:simplePos x="0" y="0"/>
                <wp:positionH relativeFrom="column">
                  <wp:posOffset>2552700</wp:posOffset>
                </wp:positionH>
                <wp:positionV relativeFrom="paragraph">
                  <wp:posOffset>735965</wp:posOffset>
                </wp:positionV>
                <wp:extent cx="304800" cy="219075"/>
                <wp:effectExtent l="9525" t="9525" r="9525" b="9525"/>
                <wp:wrapNone/>
                <wp:docPr id="5"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219075"/>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9" o:spid="_x0000_s1026" style="position:absolute;margin-left:201pt;margin-top:57.95pt;width:24pt;height:17.2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" filled="f" strokecolor="red" strokeweight="1.5pt"/>
            </w:pict>
          </mc:Fallback>
        </mc:AlternateContent>
      </w:r>
      <w:r w:rsidRPr="00EB4D74">
        <w:rPr>
          <w:noProof/>
        </w:rPr>
        <w:drawing>
          <wp:inline distT="0" distB="0" distL="0" distR="0" wp14:anchorId="74760F70" wp14:editId="703B38D1">
            <wp:extent cx="3037962" cy="14573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5785" t="51158" r="57864" b="27259"/>
                    <a:stretch/>
                  </pic:blipFill>
                  <pic:spPr bwMode="auto">
                    <a:xfrm>
                      <a:off x="0" y="0"/>
                      <a:ext cx="3037962" cy="1457325"/>
                    </a:xfrm>
                    <a:prstGeom prst="rect">
                      <a:avLst/>
                    </a:prstGeom>
                    <a:ln>
                      <a:noFill/>
                    </a:ln>
                    <a:extLst>
                      <a:ext uri="{53640926-AAD7-44D8-BBD7-CCE9431645EC}">
                        <a14:shadowObscured xmlns:a14="http://schemas.microsoft.com/office/drawing/2010/main"/>
                      </a:ext>
                    </a:extLst>
                  </pic:spPr>
                </pic:pic>
              </a:graphicData>
            </a:graphic>
          </wp:inline>
        </w:drawing>
      </w:r>
    </w:p>
    <w:p w:rsidR="008B1196" w:rsidRPr="00EB4D74" w:rsidRDefault="008B1196" w:rsidP="008B1196">
      <w:pPr>
        <w:pStyle w:val="NumberedSteps"/>
        <w:tabs>
          <w:tab w:val="left" w:pos="9360"/>
        </w:tabs>
        <w:ind w:right="720"/>
        <w:rPr>
          <w:rFonts w:ascii="Tahoma" w:hAnsi="Tahoma" w:cs="Tahoma"/>
          <w:sz w:val="18"/>
          <w:szCs w:val="18"/>
        </w:rPr>
      </w:pPr>
    </w:p>
    <w:p w:rsidR="008B1196" w:rsidRPr="00EB4D74" w:rsidRDefault="008B1196" w:rsidP="008B1196">
      <w:pPr>
        <w:pStyle w:val="NumberedSteps"/>
        <w:ind w:right="720"/>
        <w:rPr>
          <w:rFonts w:ascii="Tahoma" w:hAnsi="Tahoma" w:cs="Tahoma"/>
        </w:rPr>
      </w:pPr>
      <w:r w:rsidRPr="00EB4D74">
        <w:rPr>
          <w:noProof/>
        </w:rPr>
        <w:drawing>
          <wp:inline distT="0" distB="0" distL="0" distR="0" wp14:anchorId="2AFF90F4" wp14:editId="2968B131">
            <wp:extent cx="4818888" cy="1042416"/>
            <wp:effectExtent l="19050" t="19050" r="127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18750" t="37037" r="18750" b="46990"/>
                    <a:stretch/>
                  </pic:blipFill>
                  <pic:spPr bwMode="auto">
                    <a:xfrm>
                      <a:off x="0" y="0"/>
                      <a:ext cx="4818888" cy="104241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8B1196" w:rsidRPr="00EB4D74" w:rsidRDefault="008B1196" w:rsidP="008B1196">
      <w:pPr>
        <w:pStyle w:val="NumberedSteps"/>
        <w:ind w:right="720"/>
        <w:rPr>
          <w:rStyle w:val="BodyChar"/>
          <w:rFonts w:ascii="Tahoma" w:hAnsi="Tahoma"/>
          <w:b/>
          <w:sz w:val="18"/>
        </w:rPr>
      </w:pPr>
    </w:p>
    <w:p w:rsidR="008B1196" w:rsidRPr="00EB4D74" w:rsidRDefault="008B1196" w:rsidP="008B1196">
      <w:pPr>
        <w:pStyle w:val="NumberedSteps"/>
        <w:ind w:right="720"/>
        <w:rPr>
          <w:rFonts w:ascii="Tahoma" w:hAnsi="Tahoma" w:cs="Tahoma"/>
        </w:rPr>
      </w:pPr>
      <w:r w:rsidRPr="00EB4D74">
        <w:rPr>
          <w:rStyle w:val="BodyChar"/>
          <w:rFonts w:ascii="Tahoma" w:hAnsi="Tahoma" w:cs="Tahoma"/>
          <w:b/>
          <w:sz w:val="18"/>
          <w:szCs w:val="18"/>
          <w:lang w:val="pt-BR"/>
        </w:rPr>
        <w:t xml:space="preserve">Etapa 4: </w:t>
      </w:r>
      <w:r w:rsidRPr="00EB4D74">
        <w:rPr>
          <w:rFonts w:ascii="Tahoma" w:hAnsi="Tahoma" w:cs="Tahoma"/>
          <w:sz w:val="18"/>
          <w:lang w:val="pt-BR"/>
        </w:rPr>
        <w:t>para obter mais informações sobre os benefícios do Software Assurance e a aquisição e renovação do Software Assurance, consulte os Apêndices 5 e 6.</w:t>
      </w:r>
    </w:p>
    <w:p w:rsidR="008B1196" w:rsidRPr="00EB4D74" w:rsidRDefault="008B1196" w:rsidP="008B1196">
      <w:pPr>
        <w:pStyle w:val="Body"/>
        <w:ind w:right="720"/>
        <w:rPr>
          <w:rFonts w:ascii="Tahoma" w:hAnsi="Tahoma" w:cs="Tahoma"/>
          <w:lang w:val="it-IT"/>
        </w:rPr>
      </w:pPr>
      <w:r w:rsidRPr="00EB4D74">
        <w:rPr>
          <w:rFonts w:ascii="Tahoma" w:hAnsi="Tahoma" w:cs="Tahoma"/>
          <w:b/>
          <w:sz w:val="18"/>
          <w:lang w:val="pt-BR"/>
        </w:rPr>
        <w:t xml:space="preserve">Observação: </w:t>
      </w:r>
      <w:r w:rsidRPr="00EB4D74">
        <w:rPr>
          <w:rFonts w:ascii="Tahoma" w:hAnsi="Tahoma" w:cs="Tahoma"/>
          <w:sz w:val="18"/>
          <w:szCs w:val="18"/>
          <w:lang w:val="pt-BR"/>
        </w:rPr>
        <w:t xml:space="preserve">esta Lista de Produtos identifica os itens de software que estão disponíveis, por programa, bem como as informações específicas ao software relativas à aquisição de Licenças desses itens. Ela está incorporada por referência no contrato do Licenciamento por Volume da Microsoft. A disponibilidade dos itens de software pode variar de acordo com a região. </w:t>
      </w:r>
      <w:r w:rsidRPr="00EB4D74">
        <w:rPr>
          <w:rFonts w:ascii="Tahoma" w:hAnsi="Tahoma" w:cs="Tahoma"/>
          <w:sz w:val="18"/>
          <w:lang w:val="pt-BR"/>
        </w:rPr>
        <w:t>Os clientes devem entrar em contato com o revendedor ou o Gerente de Conta Microsoft para obter informações sobre a disponibilidade regional de um item de software específico.</w:t>
      </w:r>
    </w:p>
    <w:p w:rsidR="008B1196" w:rsidRPr="00EB4D74" w:rsidRDefault="008B1196" w:rsidP="008B1196">
      <w:pPr>
        <w:pStyle w:val="Body"/>
        <w:ind w:right="720"/>
        <w:rPr>
          <w:rFonts w:ascii="Tahoma" w:hAnsi="Tahoma" w:cs="Tahoma"/>
          <w:sz w:val="18"/>
          <w:szCs w:val="18"/>
          <w:lang w:val="it-IT"/>
        </w:rPr>
      </w:pPr>
    </w:p>
    <w:p w:rsidR="008B1196" w:rsidRPr="00EB4D74" w:rsidRDefault="008B1196" w:rsidP="008B1196">
      <w:pPr>
        <w:pStyle w:val="Body"/>
        <w:ind w:right="720"/>
        <w:rPr>
          <w:rFonts w:ascii="Tahoma" w:hAnsi="Tahoma" w:cs="Tahoma"/>
          <w:lang w:val="it-IT"/>
        </w:rPr>
      </w:pPr>
      <w:r w:rsidRPr="00EB4D74">
        <w:rPr>
          <w:rFonts w:ascii="Tahoma" w:hAnsi="Tahoma" w:cs="Tahoma"/>
          <w:sz w:val="18"/>
          <w:szCs w:val="18"/>
          <w:lang w:val="pt-BR"/>
        </w:rPr>
        <w:t xml:space="preserve">Convém também analisar o documento de Direitos de Uso de Produto (PUR). O PUR é criado trimestralmente e fornece informações sobre os direitos de uso mais recentes de software da Microsoft segundo os programas de Licenciamento por Volume da Microsoft. Este documento se encontra no site: </w:t>
      </w:r>
      <w:r w:rsidRPr="00EB4D74">
        <w:rPr>
          <w:rFonts w:ascii="Tahoma" w:hAnsi="Tahoma" w:cs="Tahoma"/>
          <w:sz w:val="18"/>
          <w:lang w:val="pt-BR"/>
        </w:rPr>
        <w:t>http://www.microsoftvolumelicensing.com/userights/Default.aspx</w:t>
      </w:r>
    </w:p>
    <w:p w:rsidR="008B1196" w:rsidRPr="00EB4D74" w:rsidRDefault="008B1196" w:rsidP="008B1196">
      <w:pPr>
        <w:rPr>
          <w:lang w:val="it-IT"/>
        </w:rPr>
      </w:pPr>
    </w:p>
    <w:p w:rsidR="008B1196" w:rsidRPr="00EB4D74" w:rsidRDefault="008B1196" w:rsidP="008B1196">
      <w:pPr>
        <w:rPr>
          <w:rFonts w:cs="Tahoma"/>
          <w:b/>
          <w:caps/>
          <w:noProof/>
          <w:sz w:val="22"/>
          <w:szCs w:val="18"/>
          <w:lang w:val="it-IT"/>
        </w:rPr>
      </w:pPr>
      <w:r w:rsidRPr="00EB4D74">
        <w:rPr>
          <w:lang w:val="it-IT"/>
        </w:rPr>
        <w:br w:type="page"/>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rPr>
        <w:lastRenderedPageBreak/>
        <w:fldChar w:fldCharType="begin"/>
      </w:r>
      <w:r w:rsidRPr="00EB4D74">
        <w:rPr>
          <w:color w:val="auto"/>
          <w:lang w:val="it-IT"/>
        </w:rPr>
        <w:instrText xml:space="preserve"> TOC \o "1-2" \t "Heading 3,3,Heading 4,4,Product Names,2" </w:instrText>
      </w:r>
      <w:r w:rsidRPr="00EB4D74">
        <w:rPr>
          <w:color w:val="auto"/>
        </w:rPr>
        <w:fldChar w:fldCharType="separate"/>
      </w:r>
      <w:r w:rsidRPr="00EB4D74">
        <w:rPr>
          <w:rFonts w:eastAsia="Times New Roman"/>
          <w:b w:val="0"/>
          <w:color w:val="auto"/>
          <w:lang w:val="es-ES"/>
        </w:rPr>
        <w:t>Microsoft</w:t>
      </w:r>
      <w:r w:rsidRPr="00EB4D74">
        <w:rPr>
          <w:rFonts w:eastAsia="Times New Roman"/>
          <w:b w:val="0"/>
          <w:color w:val="auto"/>
          <w:vertAlign w:val="superscript"/>
          <w:lang w:val="es-ES"/>
        </w:rPr>
        <w:t>®</w:t>
      </w:r>
      <w:r w:rsidRPr="00EB4D74">
        <w:rPr>
          <w:color w:val="auto"/>
          <w:lang w:val="it-IT"/>
        </w:rPr>
        <w:tab/>
      </w:r>
      <w:r w:rsidRPr="00EB4D74">
        <w:rPr>
          <w:color w:val="auto"/>
        </w:rPr>
        <w:fldChar w:fldCharType="begin"/>
      </w:r>
      <w:r w:rsidRPr="00EB4D74">
        <w:rPr>
          <w:color w:val="auto"/>
          <w:lang w:val="it-IT"/>
        </w:rPr>
        <w:instrText xml:space="preserve"> PAGEREF _Toc342914494 \h </w:instrText>
      </w:r>
      <w:r w:rsidRPr="00EB4D74">
        <w:rPr>
          <w:color w:val="auto"/>
        </w:rPr>
      </w:r>
      <w:r w:rsidRPr="00EB4D74">
        <w:rPr>
          <w:color w:val="auto"/>
        </w:rPr>
        <w:fldChar w:fldCharType="separate"/>
      </w:r>
      <w:r>
        <w:rPr>
          <w:color w:val="auto"/>
          <w:lang w:val="it-IT"/>
        </w:rPr>
        <w:t>1</w:t>
      </w:r>
      <w:r w:rsidRPr="00EB4D74">
        <w:rPr>
          <w:color w:val="auto"/>
        </w:rPr>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sobre este Documento</w:t>
      </w:r>
      <w:r w:rsidRPr="00EB4D74">
        <w:rPr>
          <w:color w:val="auto"/>
          <w:lang w:val="it-IT"/>
        </w:rPr>
        <w:tab/>
      </w:r>
      <w:r w:rsidRPr="00EB4D74">
        <w:rPr>
          <w:color w:val="auto"/>
        </w:rPr>
        <w:fldChar w:fldCharType="begin"/>
      </w:r>
      <w:r w:rsidRPr="00EB4D74">
        <w:rPr>
          <w:color w:val="auto"/>
          <w:lang w:val="it-IT"/>
        </w:rPr>
        <w:instrText xml:space="preserve"> PAGEREF _Toc342914495 \h </w:instrText>
      </w:r>
      <w:r w:rsidRPr="00EB4D74">
        <w:rPr>
          <w:color w:val="auto"/>
        </w:rPr>
      </w:r>
      <w:r w:rsidRPr="00EB4D74">
        <w:rPr>
          <w:color w:val="auto"/>
        </w:rPr>
        <w:fldChar w:fldCharType="separate"/>
      </w:r>
      <w:r>
        <w:rPr>
          <w:color w:val="auto"/>
          <w:lang w:val="it-IT"/>
        </w:rPr>
        <w:t>2</w:t>
      </w:r>
      <w:r w:rsidRPr="00EB4D74">
        <w:rPr>
          <w:color w:val="auto"/>
        </w:rPr>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como usar a lista de Produtos da Microsoft</w:t>
      </w:r>
      <w:r w:rsidRPr="00EB4D74">
        <w:rPr>
          <w:color w:val="auto"/>
          <w:lang w:val="it-IT"/>
        </w:rPr>
        <w:tab/>
      </w:r>
      <w:r w:rsidRPr="00EB4D74">
        <w:rPr>
          <w:color w:val="auto"/>
        </w:rPr>
        <w:fldChar w:fldCharType="begin"/>
      </w:r>
      <w:r w:rsidRPr="00EB4D74">
        <w:rPr>
          <w:color w:val="auto"/>
          <w:lang w:val="it-IT"/>
        </w:rPr>
        <w:instrText xml:space="preserve"> PAGEREF _Toc342914496 \h </w:instrText>
      </w:r>
      <w:r w:rsidRPr="00EB4D74">
        <w:rPr>
          <w:color w:val="auto"/>
        </w:rPr>
      </w:r>
      <w:r w:rsidRPr="00EB4D74">
        <w:rPr>
          <w:color w:val="auto"/>
        </w:rPr>
        <w:fldChar w:fldCharType="separate"/>
      </w:r>
      <w:r>
        <w:rPr>
          <w:color w:val="auto"/>
          <w:lang w:val="it-IT"/>
        </w:rPr>
        <w:t>2</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Legenda da Tabela</w:t>
      </w:r>
      <w:r w:rsidRPr="00EB4D74">
        <w:rPr>
          <w:lang w:val="it-IT"/>
        </w:rPr>
        <w:tab/>
      </w:r>
      <w:r w:rsidRPr="00EB4D74">
        <w:fldChar w:fldCharType="begin"/>
      </w:r>
      <w:r w:rsidRPr="00EB4D74">
        <w:rPr>
          <w:lang w:val="it-IT"/>
        </w:rPr>
        <w:instrText xml:space="preserve"> PAGEREF _Toc342914497 \h </w:instrText>
      </w:r>
      <w:r w:rsidRPr="00EB4D74">
        <w:fldChar w:fldCharType="separate"/>
      </w:r>
      <w:r>
        <w:rPr>
          <w:lang w:val="it-IT"/>
        </w:rPr>
        <w:t>14</w:t>
      </w:r>
      <w:r w:rsidRPr="00EB4D74">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lista de PRODUTOs</w:t>
      </w:r>
      <w:r w:rsidRPr="00EB4D74">
        <w:rPr>
          <w:color w:val="auto"/>
          <w:lang w:val="it-IT"/>
        </w:rPr>
        <w:tab/>
      </w:r>
      <w:r w:rsidRPr="00EB4D74">
        <w:rPr>
          <w:color w:val="auto"/>
        </w:rPr>
        <w:fldChar w:fldCharType="begin"/>
      </w:r>
      <w:r w:rsidRPr="00EB4D74">
        <w:rPr>
          <w:color w:val="auto"/>
          <w:lang w:val="it-IT"/>
        </w:rPr>
        <w:instrText xml:space="preserve"> PAGEREF _Toc342914498 \h </w:instrText>
      </w:r>
      <w:r w:rsidRPr="00EB4D74">
        <w:rPr>
          <w:color w:val="auto"/>
        </w:rPr>
      </w:r>
      <w:r w:rsidRPr="00EB4D74">
        <w:rPr>
          <w:color w:val="auto"/>
        </w:rPr>
        <w:fldChar w:fldCharType="separate"/>
      </w:r>
      <w:r>
        <w:rPr>
          <w:color w:val="auto"/>
          <w:lang w:val="it-IT"/>
        </w:rPr>
        <w:t>16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POOL DE APLICATIVOS</w:t>
      </w:r>
      <w:r w:rsidRPr="00EB4D74">
        <w:rPr>
          <w:color w:val="auto"/>
        </w:rPr>
        <w:tab/>
      </w:r>
      <w:r w:rsidRPr="00EB4D74">
        <w:rPr>
          <w:color w:val="auto"/>
        </w:rPr>
        <w:fldChar w:fldCharType="begin"/>
      </w:r>
      <w:r w:rsidRPr="00EB4D74">
        <w:rPr>
          <w:color w:val="auto"/>
        </w:rPr>
        <w:instrText xml:space="preserve"> PAGEREF _Toc342914499 \h </w:instrText>
      </w:r>
      <w:r w:rsidRPr="00EB4D74">
        <w:rPr>
          <w:color w:val="auto"/>
        </w:rPr>
      </w:r>
      <w:r w:rsidRPr="00EB4D74">
        <w:rPr>
          <w:color w:val="auto"/>
        </w:rPr>
        <w:fldChar w:fldCharType="separate"/>
      </w:r>
      <w:r>
        <w:rPr>
          <w:color w:val="auto"/>
        </w:rPr>
        <w:t>16</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Access 2013</w:t>
      </w:r>
      <w:r w:rsidRPr="00EB4D74">
        <w:tab/>
      </w:r>
      <w:r w:rsidRPr="00EB4D74">
        <w:fldChar w:fldCharType="begin"/>
      </w:r>
      <w:r w:rsidRPr="00EB4D74">
        <w:instrText xml:space="preserve"> PAGEREF _Toc342914500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AutoRoute 2013</w:t>
      </w:r>
      <w:r w:rsidRPr="00EB4D74">
        <w:tab/>
      </w:r>
      <w:r w:rsidRPr="00EB4D74">
        <w:fldChar w:fldCharType="begin"/>
      </w:r>
      <w:r w:rsidRPr="00EB4D74">
        <w:instrText xml:space="preserve"> PAGEREF _Toc342914501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Desktop com Pacote de Conteúdo Aprimorado</w:t>
      </w:r>
      <w:r w:rsidRPr="00EB4D74">
        <w:tab/>
      </w:r>
      <w:r w:rsidRPr="00EB4D74">
        <w:fldChar w:fldCharType="begin"/>
      </w:r>
      <w:r w:rsidRPr="00EB4D74">
        <w:instrText xml:space="preserve"> PAGEREF _Toc342914502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Excel 2013</w:t>
      </w:r>
      <w:r w:rsidRPr="00EB4D74">
        <w:tab/>
      </w:r>
      <w:r w:rsidRPr="00EB4D74">
        <w:fldChar w:fldCharType="begin"/>
      </w:r>
      <w:r w:rsidRPr="00EB4D74">
        <w:instrText xml:space="preserve"> PAGEREF _Toc342914503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Excel para Mac 2011</w:t>
      </w:r>
      <w:r w:rsidRPr="00EB4D74">
        <w:tab/>
      </w:r>
      <w:r w:rsidRPr="00EB4D74">
        <w:fldChar w:fldCharType="begin"/>
      </w:r>
      <w:r w:rsidRPr="00EB4D74">
        <w:instrText xml:space="preserve"> PAGEREF _Toc342914504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Expression Studio Professional 4</w:t>
      </w:r>
      <w:r w:rsidRPr="00EB4D74">
        <w:tab/>
      </w:r>
      <w:r w:rsidRPr="00EB4D74">
        <w:fldChar w:fldCharType="begin"/>
      </w:r>
      <w:r w:rsidRPr="00EB4D74">
        <w:instrText xml:space="preserve"> PAGEREF _Toc342914505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Expression Studio Ultimate 4</w:t>
      </w:r>
      <w:r w:rsidRPr="00EB4D74">
        <w:tab/>
      </w:r>
      <w:r w:rsidRPr="00EB4D74">
        <w:fldChar w:fldCharType="begin"/>
      </w:r>
      <w:r w:rsidRPr="00EB4D74">
        <w:instrText xml:space="preserve"> PAGEREF _Toc342914506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Expression Encoder Pro 4</w:t>
      </w:r>
      <w:r w:rsidRPr="00EB4D74">
        <w:tab/>
      </w:r>
      <w:r w:rsidRPr="00EB4D74">
        <w:fldChar w:fldCharType="begin"/>
      </w:r>
      <w:r w:rsidRPr="00EB4D74">
        <w:instrText xml:space="preserve"> PAGEREF _Toc342914507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GeoSynther 3.0</w:t>
      </w:r>
      <w:r w:rsidRPr="00EB4D74">
        <w:tab/>
      </w:r>
      <w:r w:rsidRPr="00EB4D74">
        <w:fldChar w:fldCharType="begin"/>
      </w:r>
      <w:r w:rsidRPr="00EB4D74">
        <w:instrText xml:space="preserve"> PAGEREF _Toc342914508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GeoSynth Viewer 3.0</w:t>
      </w:r>
      <w:r w:rsidRPr="00EB4D74">
        <w:tab/>
      </w:r>
      <w:r w:rsidRPr="00EB4D74">
        <w:fldChar w:fldCharType="begin"/>
      </w:r>
      <w:r w:rsidRPr="00EB4D74">
        <w:instrText xml:space="preserve"> PAGEREF _Toc342914509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InfoPath</w:t>
      </w:r>
      <w:r w:rsidRPr="00EB4D74">
        <w:rPr>
          <w:rFonts w:cs="Tahoma"/>
          <w:vertAlign w:val="superscript"/>
          <w:lang w:val="pt-BR"/>
        </w:rPr>
        <w:t>®</w:t>
      </w:r>
      <w:r w:rsidRPr="00EB4D74">
        <w:rPr>
          <w:rFonts w:cs="Tahoma"/>
          <w:lang w:val="pt-BR"/>
        </w:rPr>
        <w:t xml:space="preserve"> 2013</w:t>
      </w:r>
      <w:r w:rsidRPr="00EB4D74">
        <w:tab/>
      </w:r>
      <w:r w:rsidRPr="00EB4D74">
        <w:fldChar w:fldCharType="begin"/>
      </w:r>
      <w:r w:rsidRPr="00EB4D74">
        <w:instrText xml:space="preserve"> PAGEREF _Toc342914510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2013</w:t>
      </w:r>
      <w:r w:rsidRPr="00EB4D74">
        <w:tab/>
      </w:r>
      <w:r w:rsidRPr="00EB4D74">
        <w:fldChar w:fldCharType="begin"/>
      </w:r>
      <w:r w:rsidRPr="00EB4D74">
        <w:instrText xml:space="preserve"> PAGEREF _Toc342914511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para Mac 2011</w:t>
      </w:r>
      <w:r w:rsidRPr="00EB4D74">
        <w:tab/>
      </w:r>
      <w:r w:rsidRPr="00EB4D74">
        <w:fldChar w:fldCharType="begin"/>
      </w:r>
      <w:r w:rsidRPr="00EB4D74">
        <w:instrText xml:space="preserve"> PAGEREF _Toc342914512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MapPoint</w:t>
      </w:r>
      <w:r w:rsidRPr="00EB4D74">
        <w:rPr>
          <w:rFonts w:cs="Tahoma"/>
          <w:vertAlign w:val="superscript"/>
          <w:lang w:val="pt-BR"/>
        </w:rPr>
        <w:t>®</w:t>
      </w:r>
      <w:r w:rsidRPr="00EB4D74">
        <w:rPr>
          <w:rFonts w:cs="Tahoma"/>
          <w:lang w:val="pt-BR"/>
        </w:rPr>
        <w:t xml:space="preserve"> Fleet Edition 2013</w:t>
      </w:r>
      <w:r w:rsidRPr="00EB4D74">
        <w:tab/>
      </w:r>
      <w:r w:rsidRPr="00EB4D74">
        <w:fldChar w:fldCharType="begin"/>
      </w:r>
      <w:r w:rsidRPr="00EB4D74">
        <w:instrText xml:space="preserve"> PAGEREF _Toc342914513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MapPoint</w:t>
      </w:r>
      <w:r w:rsidRPr="00EB4D74">
        <w:rPr>
          <w:rFonts w:cs="Tahoma"/>
          <w:vertAlign w:val="superscript"/>
          <w:lang w:val="pt-BR"/>
        </w:rPr>
        <w:t>®</w:t>
      </w:r>
      <w:r w:rsidRPr="00EB4D74">
        <w:rPr>
          <w:rFonts w:cs="Tahoma"/>
          <w:lang w:val="pt-BR"/>
        </w:rPr>
        <w:t xml:space="preserve"> 2013 para Windows</w:t>
      </w:r>
      <w:r w:rsidRPr="00EB4D74">
        <w:tab/>
      </w:r>
      <w:r w:rsidRPr="00EB4D74">
        <w:fldChar w:fldCharType="begin"/>
      </w:r>
      <w:r w:rsidRPr="00EB4D74">
        <w:instrText xml:space="preserve"> PAGEREF _Toc342914514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MSDN Operating Systems</w:t>
      </w:r>
      <w:r w:rsidRPr="00EB4D74">
        <w:tab/>
      </w:r>
      <w:r w:rsidRPr="00EB4D74">
        <w:fldChar w:fldCharType="begin"/>
      </w:r>
      <w:r w:rsidRPr="00EB4D74">
        <w:instrText xml:space="preserve"> PAGEREF _Toc342914515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A2 (SL de Usuário)</w:t>
      </w:r>
      <w:r w:rsidRPr="00EB4D74">
        <w:tab/>
      </w:r>
      <w:r w:rsidRPr="00EB4D74">
        <w:fldChar w:fldCharType="begin"/>
      </w:r>
      <w:r w:rsidRPr="00EB4D74">
        <w:instrText xml:space="preserve"> PAGEREF _Toc342914516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A3 (SL de Usuário)</w:t>
      </w:r>
      <w:r w:rsidRPr="00EB4D74">
        <w:tab/>
      </w:r>
      <w:r w:rsidRPr="00EB4D74">
        <w:fldChar w:fldCharType="begin"/>
      </w:r>
      <w:r w:rsidRPr="00EB4D74">
        <w:instrText xml:space="preserve"> PAGEREF _Toc342914517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A4 (SL de Usuário)</w:t>
      </w:r>
      <w:r w:rsidRPr="00EB4D74">
        <w:tab/>
      </w:r>
      <w:r w:rsidRPr="00EB4D74">
        <w:fldChar w:fldCharType="begin"/>
      </w:r>
      <w:r w:rsidRPr="00EB4D74">
        <w:instrText xml:space="preserve"> PAGEREF _Toc342914518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Plano E2 (SL de Usuário)</w:t>
      </w:r>
      <w:r w:rsidRPr="00EB4D74">
        <w:tab/>
      </w:r>
      <w:r w:rsidRPr="00EB4D74">
        <w:fldChar w:fldCharType="begin"/>
      </w:r>
      <w:r w:rsidRPr="00EB4D74">
        <w:instrText xml:space="preserve"> PAGEREF _Toc342914519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Plano E3 (SL de Usuário)</w:t>
      </w:r>
      <w:r w:rsidRPr="00EB4D74">
        <w:tab/>
      </w:r>
      <w:r w:rsidRPr="00EB4D74">
        <w:fldChar w:fldCharType="begin"/>
      </w:r>
      <w:r w:rsidRPr="00EB4D74">
        <w:instrText xml:space="preserve"> PAGEREF _Toc342914520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Office 365 Plano E4 (SL de Usuário)</w:t>
      </w:r>
      <w:r w:rsidRPr="00EB4D74">
        <w:rPr>
          <w:lang w:val="it-IT"/>
        </w:rPr>
        <w:tab/>
      </w:r>
      <w:r w:rsidRPr="00EB4D74">
        <w:fldChar w:fldCharType="begin"/>
      </w:r>
      <w:r w:rsidRPr="00EB4D74">
        <w:rPr>
          <w:lang w:val="it-IT"/>
        </w:rPr>
        <w:instrText xml:space="preserve"> PAGEREF _Toc342914521 \h </w:instrText>
      </w:r>
      <w:r w:rsidRPr="00EB4D74">
        <w:fldChar w:fldCharType="separate"/>
      </w:r>
      <w:r>
        <w:rPr>
          <w:lang w:val="it-IT"/>
        </w:rP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Home e Student RT 2013</w:t>
      </w:r>
      <w:r w:rsidRPr="00EB4D74">
        <w:tab/>
      </w:r>
      <w:r w:rsidRPr="00EB4D74">
        <w:fldChar w:fldCharType="begin"/>
      </w:r>
      <w:r w:rsidRPr="00EB4D74">
        <w:instrText xml:space="preserve"> PAGEREF _Toc342914522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para Mac Standard 2011</w:t>
      </w:r>
      <w:r w:rsidRPr="00EB4D74">
        <w:tab/>
      </w:r>
      <w:r w:rsidRPr="00EB4D74">
        <w:fldChar w:fldCharType="begin"/>
      </w:r>
      <w:r w:rsidRPr="00EB4D74">
        <w:instrText xml:space="preserve"> PAGEREF _Toc342914523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Multi-Language Pack 2013</w:t>
      </w:r>
      <w:r w:rsidRPr="00EB4D74">
        <w:tab/>
      </w:r>
      <w:r w:rsidRPr="00EB4D74">
        <w:fldChar w:fldCharType="begin"/>
      </w:r>
      <w:r w:rsidRPr="00EB4D74">
        <w:instrText xml:space="preserve"> PAGEREF _Toc342914524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Professional Plus 2013</w:t>
      </w:r>
      <w:r w:rsidRPr="00EB4D74">
        <w:tab/>
      </w:r>
      <w:r w:rsidRPr="00EB4D74">
        <w:fldChar w:fldCharType="begin"/>
      </w:r>
      <w:r w:rsidRPr="00EB4D74">
        <w:instrText xml:space="preserve"> PAGEREF _Toc342914525 \h </w:instrText>
      </w:r>
      <w:r w:rsidRPr="00EB4D74">
        <w:fldChar w:fldCharType="separate"/>
      </w:r>
      <w:r>
        <w:t>16</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Office Standard 2013</w:t>
      </w:r>
      <w:r w:rsidRPr="00EB4D74">
        <w:rPr>
          <w:color w:val="auto"/>
        </w:rPr>
        <w:tab/>
      </w:r>
      <w:r w:rsidRPr="00EB4D74">
        <w:rPr>
          <w:color w:val="auto"/>
        </w:rPr>
        <w:fldChar w:fldCharType="begin"/>
      </w:r>
      <w:r w:rsidRPr="00EB4D74">
        <w:rPr>
          <w:color w:val="auto"/>
        </w:rPr>
        <w:instrText xml:space="preserve"> PAGEREF _Toc342914526 \h </w:instrText>
      </w:r>
      <w:r w:rsidRPr="00EB4D74">
        <w:rPr>
          <w:color w:val="auto"/>
        </w:rPr>
      </w:r>
      <w:r w:rsidRPr="00EB4D74">
        <w:rPr>
          <w:color w:val="auto"/>
        </w:rPr>
        <w:fldChar w:fldCharType="separate"/>
      </w:r>
      <w:r>
        <w:rPr>
          <w:color w:val="auto"/>
        </w:rPr>
        <w:t>16</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Assinatura do Office Professional Plus (SL de Usuário)</w:t>
      </w:r>
      <w:r w:rsidRPr="00EB4D74">
        <w:tab/>
      </w:r>
      <w:r w:rsidRPr="00EB4D74">
        <w:fldChar w:fldCharType="begin"/>
      </w:r>
      <w:r w:rsidRPr="00EB4D74">
        <w:instrText xml:space="preserve"> PAGEREF _Toc342914527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Assinatura A do Office Professional Plus (SL de Usuário)</w:t>
      </w:r>
      <w:r w:rsidRPr="00EB4D74">
        <w:tab/>
      </w:r>
      <w:r w:rsidRPr="00EB4D74">
        <w:fldChar w:fldCharType="begin"/>
      </w:r>
      <w:r w:rsidRPr="00EB4D74">
        <w:instrText xml:space="preserve"> PAGEREF _Toc342914528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Aplicativos da Web do Office A (SL do Usuário)</w:t>
      </w:r>
      <w:r w:rsidRPr="00EB4D74">
        <w:tab/>
      </w:r>
      <w:r w:rsidRPr="00EB4D74">
        <w:fldChar w:fldCharType="begin"/>
      </w:r>
      <w:r w:rsidRPr="00EB4D74">
        <w:instrText xml:space="preserve"> PAGEREF _Toc342914529 \h </w:instrText>
      </w:r>
      <w:r w:rsidRPr="00EB4D74">
        <w:fldChar w:fldCharType="separate"/>
      </w:r>
      <w:r>
        <w:t>16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OneNote</w:t>
      </w:r>
      <w:r w:rsidRPr="00EB4D74">
        <w:rPr>
          <w:rFonts w:cs="Tahoma"/>
          <w:vertAlign w:val="superscript"/>
          <w:lang w:val="pt-BR"/>
        </w:rPr>
        <w:t>®</w:t>
      </w:r>
      <w:r w:rsidRPr="00EB4D74">
        <w:rPr>
          <w:rFonts w:cs="Tahoma"/>
          <w:lang w:val="pt-BR"/>
        </w:rPr>
        <w:t xml:space="preserve"> 2013</w:t>
      </w:r>
      <w:r w:rsidRPr="00EB4D74">
        <w:tab/>
      </w:r>
      <w:r w:rsidRPr="00EB4D74">
        <w:fldChar w:fldCharType="begin"/>
      </w:r>
      <w:r w:rsidRPr="00EB4D74">
        <w:instrText xml:space="preserve"> PAGEREF _Toc342914530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Outlook</w:t>
      </w:r>
      <w:r w:rsidRPr="00EB4D74">
        <w:rPr>
          <w:rFonts w:cs="Tahoma"/>
          <w:vertAlign w:val="superscript"/>
          <w:lang w:val="pt-BR"/>
        </w:rPr>
        <w:t>®</w:t>
      </w:r>
      <w:r w:rsidRPr="00EB4D74">
        <w:rPr>
          <w:rFonts w:cs="Tahoma"/>
          <w:lang w:val="pt-BR"/>
        </w:rPr>
        <w:t xml:space="preserve"> 2013</w:t>
      </w:r>
      <w:r w:rsidRPr="00EB4D74">
        <w:tab/>
      </w:r>
      <w:r w:rsidRPr="00EB4D74">
        <w:fldChar w:fldCharType="begin"/>
      </w:r>
      <w:r w:rsidRPr="00EB4D74">
        <w:instrText xml:space="preserve"> PAGEREF _Toc342914531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Outlook para Mac 2011</w:t>
      </w:r>
      <w:r w:rsidRPr="00EB4D74">
        <w:tab/>
      </w:r>
      <w:r w:rsidRPr="00EB4D74">
        <w:fldChar w:fldCharType="begin"/>
      </w:r>
      <w:r w:rsidRPr="00EB4D74">
        <w:instrText xml:space="preserve"> PAGEREF _Toc342914532 \h </w:instrText>
      </w:r>
      <w:r w:rsidRPr="00EB4D74">
        <w:fldChar w:fldCharType="separate"/>
      </w:r>
      <w:r>
        <w:t>17</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PowerPoint 2013</w:t>
      </w:r>
      <w:r w:rsidRPr="00EB4D74">
        <w:rPr>
          <w:color w:val="auto"/>
        </w:rPr>
        <w:tab/>
      </w:r>
      <w:r w:rsidRPr="00EB4D74">
        <w:rPr>
          <w:color w:val="auto"/>
        </w:rPr>
        <w:fldChar w:fldCharType="begin"/>
      </w:r>
      <w:r w:rsidRPr="00EB4D74">
        <w:rPr>
          <w:color w:val="auto"/>
        </w:rPr>
        <w:instrText xml:space="preserve"> PAGEREF _Toc342914533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PowerPoint para Mac 2011</w:t>
      </w:r>
      <w:r w:rsidRPr="00EB4D74">
        <w:rPr>
          <w:color w:val="auto"/>
        </w:rPr>
        <w:tab/>
      </w:r>
      <w:r w:rsidRPr="00EB4D74">
        <w:rPr>
          <w:color w:val="auto"/>
        </w:rPr>
        <w:fldChar w:fldCharType="begin"/>
      </w:r>
      <w:r w:rsidRPr="00EB4D74">
        <w:rPr>
          <w:color w:val="auto"/>
        </w:rPr>
        <w:instrText xml:space="preserve"> PAGEREF _Toc342914534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Project 2013 Standard</w:t>
      </w:r>
      <w:r w:rsidRPr="00EB4D74">
        <w:rPr>
          <w:color w:val="auto"/>
        </w:rPr>
        <w:tab/>
      </w:r>
      <w:r w:rsidRPr="00EB4D74">
        <w:rPr>
          <w:color w:val="auto"/>
        </w:rPr>
        <w:fldChar w:fldCharType="begin"/>
      </w:r>
      <w:r w:rsidRPr="00EB4D74">
        <w:rPr>
          <w:color w:val="auto"/>
        </w:rPr>
        <w:instrText xml:space="preserve"> PAGEREF _Toc342914535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Project 2013 Professional</w:t>
      </w:r>
      <w:r w:rsidRPr="00EB4D74">
        <w:rPr>
          <w:color w:val="auto"/>
        </w:rPr>
        <w:tab/>
      </w:r>
      <w:r w:rsidRPr="00EB4D74">
        <w:rPr>
          <w:color w:val="auto"/>
        </w:rPr>
        <w:fldChar w:fldCharType="begin"/>
      </w:r>
      <w:r w:rsidRPr="00EB4D74">
        <w:rPr>
          <w:color w:val="auto"/>
        </w:rPr>
        <w:instrText xml:space="preserve"> PAGEREF _Toc342914536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Publisher 2013</w:t>
      </w:r>
      <w:r w:rsidRPr="00EB4D74">
        <w:rPr>
          <w:color w:val="auto"/>
        </w:rPr>
        <w:tab/>
      </w:r>
      <w:r w:rsidRPr="00EB4D74">
        <w:rPr>
          <w:color w:val="auto"/>
        </w:rPr>
        <w:fldChar w:fldCharType="begin"/>
      </w:r>
      <w:r w:rsidRPr="00EB4D74">
        <w:rPr>
          <w:color w:val="auto"/>
        </w:rPr>
        <w:instrText xml:space="preserve"> PAGEREF _Toc342914537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Direitos de Locação para Office Standard</w:t>
      </w:r>
      <w:r w:rsidRPr="00EB4D74">
        <w:rPr>
          <w:color w:val="auto"/>
        </w:rPr>
        <w:tab/>
      </w:r>
      <w:r w:rsidRPr="00EB4D74">
        <w:rPr>
          <w:color w:val="auto"/>
        </w:rPr>
        <w:fldChar w:fldCharType="begin"/>
      </w:r>
      <w:r w:rsidRPr="00EB4D74">
        <w:rPr>
          <w:color w:val="auto"/>
        </w:rPr>
        <w:instrText xml:space="preserve"> PAGEREF _Toc342914538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Direitos de Locação para Office Professional Plus</w:t>
      </w:r>
      <w:r w:rsidRPr="00EB4D74">
        <w:rPr>
          <w:color w:val="auto"/>
        </w:rPr>
        <w:tab/>
      </w:r>
      <w:r w:rsidRPr="00EB4D74">
        <w:rPr>
          <w:color w:val="auto"/>
        </w:rPr>
        <w:fldChar w:fldCharType="begin"/>
      </w:r>
      <w:r w:rsidRPr="00EB4D74">
        <w:rPr>
          <w:color w:val="auto"/>
        </w:rPr>
        <w:instrText xml:space="preserve"> PAGEREF _Toc342914539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Streets and Trips 2013</w:t>
      </w:r>
      <w:r w:rsidRPr="00EB4D74">
        <w:rPr>
          <w:color w:val="auto"/>
        </w:rPr>
        <w:tab/>
      </w:r>
      <w:r w:rsidRPr="00EB4D74">
        <w:rPr>
          <w:color w:val="auto"/>
        </w:rPr>
        <w:fldChar w:fldCharType="begin"/>
      </w:r>
      <w:r w:rsidRPr="00EB4D74">
        <w:rPr>
          <w:color w:val="auto"/>
        </w:rPr>
        <w:instrText xml:space="preserve"> PAGEREF _Toc342914540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Visio</w:t>
      </w:r>
      <w:r w:rsidRPr="00EB4D74">
        <w:rPr>
          <w:color w:val="auto"/>
          <w:vertAlign w:val="superscript"/>
          <w:lang w:val="pt-BR"/>
        </w:rPr>
        <w:t>®</w:t>
      </w:r>
      <w:r w:rsidRPr="00EB4D74">
        <w:rPr>
          <w:color w:val="auto"/>
          <w:lang w:val="pt-BR"/>
        </w:rPr>
        <w:t xml:space="preserve"> 2013 Professional</w:t>
      </w:r>
      <w:r w:rsidRPr="00EB4D74">
        <w:rPr>
          <w:color w:val="auto"/>
        </w:rPr>
        <w:tab/>
      </w:r>
      <w:r w:rsidRPr="00EB4D74">
        <w:rPr>
          <w:color w:val="auto"/>
        </w:rPr>
        <w:fldChar w:fldCharType="begin"/>
      </w:r>
      <w:r w:rsidRPr="00EB4D74">
        <w:rPr>
          <w:color w:val="auto"/>
        </w:rPr>
        <w:instrText xml:space="preserve"> PAGEREF _Toc342914541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Visio</w:t>
      </w:r>
      <w:r w:rsidRPr="00EB4D74">
        <w:rPr>
          <w:color w:val="auto"/>
          <w:vertAlign w:val="superscript"/>
          <w:lang w:val="pt-BR"/>
        </w:rPr>
        <w:t>®</w:t>
      </w:r>
      <w:r w:rsidRPr="00EB4D74">
        <w:rPr>
          <w:color w:val="auto"/>
          <w:lang w:val="pt-BR"/>
        </w:rPr>
        <w:t xml:space="preserve"> 2013 Standard</w:t>
      </w:r>
      <w:r w:rsidRPr="00EB4D74">
        <w:rPr>
          <w:color w:val="auto"/>
        </w:rPr>
        <w:tab/>
      </w:r>
      <w:r w:rsidRPr="00EB4D74">
        <w:rPr>
          <w:color w:val="auto"/>
        </w:rPr>
        <w:fldChar w:fldCharType="begin"/>
      </w:r>
      <w:r w:rsidRPr="00EB4D74">
        <w:rPr>
          <w:color w:val="auto"/>
        </w:rPr>
        <w:instrText xml:space="preserve"> PAGEREF _Toc342914542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TechNet Plus Direct</w:t>
      </w:r>
      <w:r w:rsidRPr="00EB4D74">
        <w:tab/>
      </w:r>
      <w:r w:rsidRPr="00EB4D74">
        <w:fldChar w:fldCharType="begin"/>
      </w:r>
      <w:r w:rsidRPr="00EB4D74">
        <w:instrText xml:space="preserve"> PAGEREF _Toc342914543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Visual Studio</w:t>
      </w:r>
      <w:r w:rsidRPr="00EB4D74">
        <w:rPr>
          <w:rFonts w:cs="Tahoma"/>
          <w:vertAlign w:val="superscript"/>
          <w:lang w:val="pt-BR"/>
        </w:rPr>
        <w:t>®</w:t>
      </w:r>
      <w:r w:rsidRPr="00EB4D74">
        <w:rPr>
          <w:rFonts w:cs="Tahoma"/>
          <w:lang w:val="pt-BR"/>
        </w:rPr>
        <w:t xml:space="preserve"> Professional 2012</w:t>
      </w:r>
      <w:r w:rsidRPr="00EB4D74">
        <w:tab/>
      </w:r>
      <w:r w:rsidRPr="00EB4D74">
        <w:fldChar w:fldCharType="begin"/>
      </w:r>
      <w:r w:rsidRPr="00EB4D74">
        <w:instrText xml:space="preserve"> PAGEREF _Toc342914544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Visual Studio</w:t>
      </w:r>
      <w:r w:rsidRPr="00EB4D74">
        <w:rPr>
          <w:rFonts w:cs="Tahoma"/>
          <w:vertAlign w:val="superscript"/>
          <w:lang w:val="pt-BR"/>
        </w:rPr>
        <w:t>®</w:t>
      </w:r>
      <w:r w:rsidRPr="00EB4D74">
        <w:rPr>
          <w:rFonts w:cs="Tahoma"/>
          <w:lang w:val="pt-BR"/>
        </w:rPr>
        <w:t xml:space="preserve"> Professional 2012 com MSDN</w:t>
      </w:r>
      <w:r w:rsidRPr="00EB4D74">
        <w:tab/>
      </w:r>
      <w:r w:rsidRPr="00EB4D74">
        <w:fldChar w:fldCharType="begin"/>
      </w:r>
      <w:r w:rsidRPr="00EB4D74">
        <w:instrText xml:space="preserve"> PAGEREF _Toc342914545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Visual Studio</w:t>
      </w:r>
      <w:r w:rsidRPr="00EB4D74">
        <w:rPr>
          <w:rFonts w:cs="Tahoma"/>
          <w:vertAlign w:val="superscript"/>
          <w:lang w:val="pt-BR"/>
        </w:rPr>
        <w:t>®</w:t>
      </w:r>
      <w:r w:rsidRPr="00EB4D74">
        <w:rPr>
          <w:rFonts w:cs="Tahoma"/>
          <w:lang w:val="pt-BR"/>
        </w:rPr>
        <w:t xml:space="preserve"> Premium 2012 com MSDN</w:t>
      </w:r>
      <w:r w:rsidRPr="00EB4D74">
        <w:tab/>
      </w:r>
      <w:r w:rsidRPr="00EB4D74">
        <w:fldChar w:fldCharType="begin"/>
      </w:r>
      <w:r w:rsidRPr="00EB4D74">
        <w:instrText xml:space="preserve"> PAGEREF _Toc342914546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Visual Studio</w:t>
      </w:r>
      <w:r w:rsidRPr="00EB4D74">
        <w:rPr>
          <w:rFonts w:cs="Tahoma"/>
          <w:vertAlign w:val="superscript"/>
          <w:lang w:val="pt-BR"/>
        </w:rPr>
        <w:t>®</w:t>
      </w:r>
      <w:r w:rsidRPr="00EB4D74">
        <w:rPr>
          <w:rFonts w:cs="Tahoma"/>
          <w:lang w:val="pt-BR"/>
        </w:rPr>
        <w:t xml:space="preserve"> Ultimate 2012 com MSDN</w:t>
      </w:r>
      <w:r w:rsidRPr="00EB4D74">
        <w:tab/>
      </w:r>
      <w:r w:rsidRPr="00EB4D74">
        <w:fldChar w:fldCharType="begin"/>
      </w:r>
      <w:r w:rsidRPr="00EB4D74">
        <w:instrText xml:space="preserve"> PAGEREF _Toc342914547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Visual Studio</w:t>
      </w:r>
      <w:r w:rsidRPr="00EB4D74">
        <w:rPr>
          <w:rFonts w:cs="Tahoma"/>
          <w:vertAlign w:val="superscript"/>
          <w:lang w:val="pt-BR"/>
        </w:rPr>
        <w:t>®</w:t>
      </w:r>
      <w:r w:rsidRPr="00EB4D74">
        <w:rPr>
          <w:rFonts w:cs="Tahoma"/>
          <w:lang w:val="pt-BR"/>
        </w:rPr>
        <w:t xml:space="preserve"> Test Professional 2012 com MSDN</w:t>
      </w:r>
      <w:r w:rsidRPr="00EB4D74">
        <w:tab/>
      </w:r>
      <w:r w:rsidRPr="00EB4D74">
        <w:fldChar w:fldCharType="begin"/>
      </w:r>
      <w:r w:rsidRPr="00EB4D74">
        <w:instrText xml:space="preserve"> PAGEREF _Toc342914548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Word 2013</w:t>
      </w:r>
      <w:r w:rsidRPr="00EB4D74">
        <w:tab/>
      </w:r>
      <w:r w:rsidRPr="00EB4D74">
        <w:fldChar w:fldCharType="begin"/>
      </w:r>
      <w:r w:rsidRPr="00EB4D74">
        <w:instrText xml:space="preserve"> PAGEREF _Toc342914549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lastRenderedPageBreak/>
        <w:t>Word para Mac 2011</w:t>
      </w:r>
      <w:r w:rsidRPr="00EB4D74">
        <w:tab/>
      </w:r>
      <w:r w:rsidRPr="00EB4D74">
        <w:fldChar w:fldCharType="begin"/>
      </w:r>
      <w:r w:rsidRPr="00EB4D74">
        <w:instrText xml:space="preserve"> PAGEREF _Toc342914550 \h </w:instrText>
      </w:r>
      <w:r w:rsidRPr="00EB4D74">
        <w:fldChar w:fldCharType="separate"/>
      </w:r>
      <w:r>
        <w:t>17</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POOL DE SISTEMAS</w:t>
      </w:r>
      <w:r w:rsidRPr="00EB4D74">
        <w:rPr>
          <w:color w:val="auto"/>
        </w:rPr>
        <w:tab/>
      </w:r>
      <w:r w:rsidRPr="00EB4D74">
        <w:rPr>
          <w:color w:val="auto"/>
        </w:rPr>
        <w:fldChar w:fldCharType="begin"/>
      </w:r>
      <w:r w:rsidRPr="00EB4D74">
        <w:rPr>
          <w:color w:val="auto"/>
        </w:rPr>
        <w:instrText xml:space="preserve"> PAGEREF _Toc342914551 \h </w:instrText>
      </w:r>
      <w:r w:rsidRPr="00EB4D74">
        <w:rPr>
          <w:color w:val="auto"/>
        </w:rPr>
      </w:r>
      <w:r w:rsidRPr="00EB4D74">
        <w:rPr>
          <w:color w:val="auto"/>
        </w:rPr>
        <w:fldChar w:fldCharType="separate"/>
      </w:r>
      <w:r>
        <w:rPr>
          <w:color w:val="auto"/>
        </w:rPr>
        <w:t>17</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Assinatura do Windows Companion</w:t>
      </w:r>
      <w:r w:rsidRPr="00EB4D74">
        <w:tab/>
      </w:r>
      <w:r w:rsidRPr="00EB4D74">
        <w:fldChar w:fldCharType="begin"/>
      </w:r>
      <w:r w:rsidRPr="00EB4D74">
        <w:instrText xml:space="preserve"> PAGEREF _Toc342914552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DVD Playback Pack Windows Vista</w:t>
      </w:r>
      <w:r w:rsidRPr="00EB4D74">
        <w:tab/>
      </w:r>
      <w:r w:rsidRPr="00EB4D74">
        <w:fldChar w:fldCharType="begin"/>
      </w:r>
      <w:r w:rsidRPr="00EB4D74">
        <w:instrText xml:space="preserve"> PAGEREF _Toc342914553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Microsoft Desktop Optimization Pack para Software Assurance</w:t>
      </w:r>
      <w:r w:rsidRPr="00EB4D74">
        <w:tab/>
      </w:r>
      <w:r w:rsidRPr="00EB4D74">
        <w:fldChar w:fldCharType="begin"/>
      </w:r>
      <w:r w:rsidRPr="00EB4D74">
        <w:instrText xml:space="preserve"> PAGEREF _Toc342914554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Microsoft Desktop Optimization Pack 2012 para Software Assurance</w:t>
      </w:r>
      <w:r w:rsidRPr="00EB4D74">
        <w:tab/>
      </w:r>
      <w:r w:rsidRPr="00EB4D74">
        <w:fldChar w:fldCharType="begin"/>
      </w:r>
      <w:r w:rsidRPr="00EB4D74">
        <w:instrText xml:space="preserve"> PAGEREF _Toc342914555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Direitos de Locação para Windows</w:t>
      </w:r>
      <w:r w:rsidRPr="00EB4D74">
        <w:tab/>
      </w:r>
      <w:r w:rsidRPr="00EB4D74">
        <w:fldChar w:fldCharType="begin"/>
      </w:r>
      <w:r w:rsidRPr="00EB4D74">
        <w:instrText xml:space="preserve"> PAGEREF _Toc342914556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8 Enterprise Sideloading (Pacote com 100)</w:t>
      </w:r>
      <w:r w:rsidRPr="00EB4D74">
        <w:tab/>
      </w:r>
      <w:r w:rsidRPr="00EB4D74">
        <w:fldChar w:fldCharType="begin"/>
      </w:r>
      <w:r w:rsidRPr="00EB4D74">
        <w:instrText xml:space="preserve"> PAGEREF _Toc342914557 \h </w:instrText>
      </w:r>
      <w:r w:rsidRPr="00EB4D74">
        <w:fldChar w:fldCharType="separate"/>
      </w:r>
      <w:r>
        <w:t>17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Parceiros na Aprendizagem do Windows</w:t>
      </w:r>
      <w:r w:rsidRPr="00EB4D74">
        <w:rPr>
          <w:rFonts w:cs="Tahoma"/>
          <w:vertAlign w:val="superscript"/>
          <w:lang w:val="pt-BR"/>
        </w:rPr>
        <w:t>®</w:t>
      </w:r>
      <w:r w:rsidRPr="00EB4D74">
        <w:rPr>
          <w:rFonts w:cs="Tahoma"/>
          <w:lang w:val="pt-BR"/>
        </w:rPr>
        <w:t xml:space="preserve"> 7</w:t>
      </w:r>
      <w:r w:rsidRPr="00EB4D74">
        <w:tab/>
      </w:r>
      <w:r w:rsidRPr="00EB4D74">
        <w:fldChar w:fldCharType="begin"/>
      </w:r>
      <w:r w:rsidRPr="00EB4D74">
        <w:instrText xml:space="preserve"> PAGEREF _Toc342914558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w:t>
      </w:r>
      <w:r w:rsidRPr="00EB4D74">
        <w:rPr>
          <w:rFonts w:cs="Tahoma"/>
          <w:vertAlign w:val="superscript"/>
          <w:lang w:val="pt-BR"/>
        </w:rPr>
        <w:t>®</w:t>
      </w:r>
      <w:r w:rsidRPr="00EB4D74">
        <w:rPr>
          <w:rFonts w:cs="Tahoma"/>
          <w:lang w:val="pt-BR"/>
        </w:rPr>
        <w:t xml:space="preserve"> 8 Pro</w:t>
      </w:r>
      <w:r w:rsidRPr="00EB4D74">
        <w:tab/>
      </w:r>
      <w:r w:rsidRPr="00EB4D74">
        <w:fldChar w:fldCharType="begin"/>
      </w:r>
      <w:r w:rsidRPr="00EB4D74">
        <w:instrText xml:space="preserve"> PAGEREF _Toc342914559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w:t>
      </w:r>
      <w:r w:rsidRPr="00EB4D74">
        <w:rPr>
          <w:rFonts w:cs="Tahoma"/>
          <w:vertAlign w:val="superscript"/>
          <w:lang w:val="pt-BR"/>
        </w:rPr>
        <w:t>®</w:t>
      </w:r>
      <w:r w:rsidRPr="00EB4D74">
        <w:rPr>
          <w:rFonts w:cs="Tahoma"/>
          <w:lang w:val="pt-BR"/>
        </w:rPr>
        <w:t xml:space="preserve"> 8 Pro com MDOP</w:t>
      </w:r>
      <w:r w:rsidRPr="00EB4D74">
        <w:tab/>
      </w:r>
      <w:r w:rsidRPr="00EB4D74">
        <w:fldChar w:fldCharType="begin"/>
      </w:r>
      <w:r w:rsidRPr="00EB4D74">
        <w:instrText xml:space="preserve"> PAGEREF _Toc342914560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Virtual Desktop Access (VDA)</w:t>
      </w:r>
      <w:r w:rsidRPr="00EB4D74">
        <w:tab/>
      </w:r>
      <w:r w:rsidRPr="00EB4D74">
        <w:fldChar w:fldCharType="begin"/>
      </w:r>
      <w:r w:rsidRPr="00EB4D74">
        <w:instrText xml:space="preserve"> PAGEREF _Toc342914561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Intune (Por Dispositivo)</w:t>
      </w:r>
      <w:r w:rsidRPr="00EB4D74">
        <w:tab/>
      </w:r>
      <w:r w:rsidRPr="00EB4D74">
        <w:fldChar w:fldCharType="begin"/>
      </w:r>
      <w:r w:rsidRPr="00EB4D74">
        <w:instrText xml:space="preserve"> PAGEREF _Toc342914562 \h </w:instrText>
      </w:r>
      <w:r w:rsidRPr="00EB4D74">
        <w:fldChar w:fldCharType="separate"/>
      </w:r>
      <w:r>
        <w:t>18</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POOL DE SERVIDORES</w:t>
      </w:r>
      <w:r w:rsidRPr="00EB4D74">
        <w:rPr>
          <w:color w:val="auto"/>
        </w:rPr>
        <w:tab/>
      </w:r>
      <w:r w:rsidRPr="00EB4D74">
        <w:rPr>
          <w:color w:val="auto"/>
        </w:rPr>
        <w:fldChar w:fldCharType="begin"/>
      </w:r>
      <w:r w:rsidRPr="00EB4D74">
        <w:rPr>
          <w:color w:val="auto"/>
        </w:rPr>
        <w:instrText xml:space="preserve"> PAGEREF _Toc342914563 \h </w:instrText>
      </w:r>
      <w:r w:rsidRPr="00EB4D74">
        <w:rPr>
          <w:color w:val="auto"/>
        </w:rPr>
      </w:r>
      <w:r w:rsidRPr="00EB4D74">
        <w:rPr>
          <w:color w:val="auto"/>
        </w:rPr>
        <w:fldChar w:fldCharType="separate"/>
      </w:r>
      <w:r>
        <w:rPr>
          <w:color w:val="auto"/>
        </w:rPr>
        <w:t>18</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Server</w:t>
      </w:r>
      <w:r w:rsidRPr="00EB4D74">
        <w:tab/>
      </w:r>
      <w:r w:rsidRPr="00EB4D74">
        <w:fldChar w:fldCharType="begin"/>
      </w:r>
      <w:r w:rsidRPr="00EB4D74">
        <w:instrText xml:space="preserve"> PAGEREF _Toc342914564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Bing Maps Server</w:t>
      </w:r>
      <w:r w:rsidRPr="00EB4D74">
        <w:tab/>
      </w:r>
      <w:r w:rsidRPr="00EB4D74">
        <w:fldChar w:fldCharType="begin"/>
      </w:r>
      <w:r w:rsidRPr="00EB4D74">
        <w:instrText xml:space="preserve"> PAGEREF _Toc342914565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Server com Pacote de Conteúdo Aprimorado</w:t>
      </w:r>
      <w:r w:rsidRPr="00EB4D74">
        <w:tab/>
      </w:r>
      <w:r w:rsidRPr="00EB4D74">
        <w:fldChar w:fldCharType="begin"/>
      </w:r>
      <w:r w:rsidRPr="00EB4D74">
        <w:instrText xml:space="preserve"> PAGEREF _Toc342914566 \h </w:instrText>
      </w:r>
      <w:r w:rsidRPr="00EB4D74">
        <w:fldChar w:fldCharType="separate"/>
      </w:r>
      <w:r>
        <w:t>18</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CAL do Bing Maps Server com Pacote de Conteúdo Aprimorado</w:t>
      </w:r>
      <w:r w:rsidRPr="00EB4D74">
        <w:rPr>
          <w:color w:val="auto"/>
        </w:rPr>
        <w:tab/>
      </w:r>
      <w:r w:rsidRPr="00EB4D74">
        <w:rPr>
          <w:color w:val="auto"/>
        </w:rPr>
        <w:fldChar w:fldCharType="begin"/>
      </w:r>
      <w:r w:rsidRPr="00EB4D74">
        <w:rPr>
          <w:color w:val="auto"/>
        </w:rPr>
        <w:instrText xml:space="preserve"> PAGEREF _Toc342914567 \h </w:instrText>
      </w:r>
      <w:r w:rsidRPr="00EB4D74">
        <w:rPr>
          <w:color w:val="auto"/>
        </w:rPr>
      </w:r>
      <w:r w:rsidRPr="00EB4D74">
        <w:rPr>
          <w:color w:val="auto"/>
        </w:rPr>
        <w:fldChar w:fldCharType="separate"/>
      </w:r>
      <w:r>
        <w:rPr>
          <w:color w:val="auto"/>
        </w:rPr>
        <w:t>18</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Standard ou Professional (SL de Usuário)</w:t>
      </w:r>
      <w:r w:rsidRPr="00EB4D74">
        <w:tab/>
      </w:r>
      <w:r w:rsidRPr="00EB4D74">
        <w:fldChar w:fldCharType="begin"/>
      </w:r>
      <w:r w:rsidRPr="00EB4D74">
        <w:instrText xml:space="preserve"> PAGEREF _Toc342914568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Standard (SL de Serviços)</w:t>
      </w:r>
      <w:r w:rsidRPr="00EB4D74">
        <w:tab/>
      </w:r>
      <w:r w:rsidRPr="00EB4D74">
        <w:fldChar w:fldCharType="begin"/>
      </w:r>
      <w:r w:rsidRPr="00EB4D74">
        <w:instrText xml:space="preserve"> PAGEREF _Toc342914569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Professional (SL de Serviços)</w:t>
      </w:r>
      <w:r w:rsidRPr="00EB4D74">
        <w:tab/>
      </w:r>
      <w:r w:rsidRPr="00EB4D74">
        <w:fldChar w:fldCharType="begin"/>
      </w:r>
      <w:r w:rsidRPr="00EB4D74">
        <w:instrText xml:space="preserve"> PAGEREF _Toc342914570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25KTrx (SL Complementar)</w:t>
      </w:r>
      <w:r w:rsidRPr="00EB4D74">
        <w:tab/>
      </w:r>
      <w:r w:rsidRPr="00EB4D74">
        <w:fldChar w:fldCharType="begin"/>
      </w:r>
      <w:r w:rsidRPr="00EB4D74">
        <w:instrText xml:space="preserve"> PAGEREF _Toc342914571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250KTrx (SL Complementar)</w:t>
      </w:r>
      <w:r w:rsidRPr="00EB4D74">
        <w:tab/>
      </w:r>
      <w:r w:rsidRPr="00EB4D74">
        <w:fldChar w:fldCharType="begin"/>
      </w:r>
      <w:r w:rsidRPr="00EB4D74">
        <w:instrText xml:space="preserve"> PAGEREF _Toc342914572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Bing Maps Unlimited Trx (SL Complementar)</w:t>
      </w:r>
      <w:r w:rsidRPr="00EB4D74">
        <w:tab/>
      </w:r>
      <w:r w:rsidRPr="00EB4D74">
        <w:fldChar w:fldCharType="begin"/>
      </w:r>
      <w:r w:rsidRPr="00EB4D74">
        <w:instrText xml:space="preserve"> PAGEREF _Toc342914573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BizTalk</w:t>
      </w:r>
      <w:r w:rsidRPr="00EB4D74">
        <w:rPr>
          <w:rFonts w:cs="Tahoma"/>
          <w:vertAlign w:val="superscript"/>
          <w:lang w:val="pt-BR"/>
        </w:rPr>
        <w:t>®</w:t>
      </w:r>
      <w:r w:rsidRPr="00EB4D74">
        <w:rPr>
          <w:rFonts w:cs="Tahoma"/>
          <w:lang w:val="pt-BR"/>
        </w:rPr>
        <w:t xml:space="preserve"> Server 2010 Branch Edition</w:t>
      </w:r>
      <w:r w:rsidRPr="00EB4D74">
        <w:tab/>
      </w:r>
      <w:r w:rsidRPr="00EB4D74">
        <w:fldChar w:fldCharType="begin"/>
      </w:r>
      <w:r w:rsidRPr="00EB4D74">
        <w:instrText xml:space="preserve"> PAGEREF _Toc342914574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BizTalk</w:t>
      </w:r>
      <w:r w:rsidRPr="00EB4D74">
        <w:rPr>
          <w:rFonts w:cs="Tahoma"/>
          <w:vertAlign w:val="superscript"/>
          <w:lang w:val="pt-BR"/>
        </w:rPr>
        <w:t>®</w:t>
      </w:r>
      <w:r w:rsidRPr="00EB4D74">
        <w:rPr>
          <w:rFonts w:cs="Tahoma"/>
          <w:lang w:val="pt-BR"/>
        </w:rPr>
        <w:t xml:space="preserve"> Server 2010 Enterprise Edition</w:t>
      </w:r>
      <w:r w:rsidRPr="00EB4D74">
        <w:tab/>
      </w:r>
      <w:r w:rsidRPr="00EB4D74">
        <w:fldChar w:fldCharType="begin"/>
      </w:r>
      <w:r w:rsidRPr="00EB4D74">
        <w:instrText xml:space="preserve"> PAGEREF _Toc342914575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BizTalk</w:t>
      </w:r>
      <w:r w:rsidRPr="00EB4D74">
        <w:rPr>
          <w:rFonts w:cs="Tahoma"/>
          <w:vertAlign w:val="superscript"/>
          <w:lang w:val="pt-BR"/>
        </w:rPr>
        <w:t>®</w:t>
      </w:r>
      <w:r w:rsidRPr="00EB4D74">
        <w:rPr>
          <w:rFonts w:cs="Tahoma"/>
          <w:lang w:val="pt-BR"/>
        </w:rPr>
        <w:t xml:space="preserve"> Server 2010 Enterprise RFID</w:t>
      </w:r>
      <w:r w:rsidRPr="00EB4D74">
        <w:tab/>
      </w:r>
      <w:r w:rsidRPr="00EB4D74">
        <w:fldChar w:fldCharType="begin"/>
      </w:r>
      <w:r w:rsidRPr="00EB4D74">
        <w:instrText xml:space="preserve"> PAGEREF _Toc342914576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BizTalk</w:t>
      </w:r>
      <w:r w:rsidRPr="00EB4D74">
        <w:rPr>
          <w:rFonts w:cs="Tahoma"/>
          <w:vertAlign w:val="superscript"/>
          <w:lang w:val="pt-BR"/>
        </w:rPr>
        <w:t>®</w:t>
      </w:r>
      <w:r w:rsidRPr="00EB4D74">
        <w:rPr>
          <w:rFonts w:cs="Tahoma"/>
          <w:lang w:val="pt-BR"/>
        </w:rPr>
        <w:t xml:space="preserve"> Server 2010 Standard Edition</w:t>
      </w:r>
      <w:r w:rsidRPr="00EB4D74">
        <w:tab/>
      </w:r>
      <w:r w:rsidRPr="00EB4D74">
        <w:fldChar w:fldCharType="begin"/>
      </w:r>
      <w:r w:rsidRPr="00EB4D74">
        <w:instrText xml:space="preserve"> PAGEREF _Toc342914577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BizTalk</w:t>
      </w:r>
      <w:r w:rsidRPr="00EB4D74">
        <w:rPr>
          <w:rFonts w:cs="Tahoma"/>
          <w:vertAlign w:val="superscript"/>
          <w:lang w:val="pt-BR"/>
        </w:rPr>
        <w:t>®</w:t>
      </w:r>
      <w:r w:rsidRPr="00EB4D74">
        <w:rPr>
          <w:rFonts w:cs="Tahoma"/>
          <w:lang w:val="pt-BR"/>
        </w:rPr>
        <w:t xml:space="preserve"> Server 2010 Branch IDC</w:t>
      </w:r>
      <w:r w:rsidRPr="00EB4D74">
        <w:tab/>
      </w:r>
      <w:r w:rsidRPr="00EB4D74">
        <w:fldChar w:fldCharType="begin"/>
      </w:r>
      <w:r w:rsidRPr="00EB4D74">
        <w:instrText xml:space="preserve"> PAGEREF _Toc342914578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BizTalk</w:t>
      </w:r>
      <w:r w:rsidRPr="00EB4D74">
        <w:rPr>
          <w:rFonts w:cs="Tahoma"/>
          <w:vertAlign w:val="superscript"/>
          <w:lang w:val="pt-BR"/>
        </w:rPr>
        <w:t>®</w:t>
      </w:r>
      <w:r w:rsidRPr="00EB4D74">
        <w:rPr>
          <w:rFonts w:cs="Tahoma"/>
          <w:lang w:val="pt-BR"/>
        </w:rPr>
        <w:t xml:space="preserve"> Server 2010 Developer IDC</w:t>
      </w:r>
      <w:r w:rsidRPr="00EB4D74">
        <w:tab/>
      </w:r>
      <w:r w:rsidRPr="00EB4D74">
        <w:fldChar w:fldCharType="begin"/>
      </w:r>
      <w:r w:rsidRPr="00EB4D74">
        <w:instrText xml:space="preserve"> PAGEREF _Toc342914579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Business Intelligence Appliance 2012</w:t>
      </w:r>
      <w:r w:rsidRPr="00EB4D74">
        <w:tab/>
      </w:r>
      <w:r w:rsidRPr="00EB4D74">
        <w:fldChar w:fldCharType="begin"/>
      </w:r>
      <w:r w:rsidRPr="00EB4D74">
        <w:instrText xml:space="preserve"> PAGEREF _Toc342914580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Bridge do Pacote de CALs Principais para Office 365 (Usuário e Dispositivo)</w:t>
      </w:r>
      <w:r w:rsidRPr="00EB4D74">
        <w:tab/>
      </w:r>
      <w:r w:rsidRPr="00EB4D74">
        <w:fldChar w:fldCharType="begin"/>
      </w:r>
      <w:r w:rsidRPr="00EB4D74">
        <w:instrText xml:space="preserve"> PAGEREF _Toc342914581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Bridge do Pacote de CALs Principais para Office 365 e Windows</w:t>
      </w:r>
      <w:r w:rsidRPr="00EB4D74">
        <w:rPr>
          <w:rFonts w:cs="Tahoma"/>
          <w:vertAlign w:val="superscript"/>
          <w:lang w:val="pt-BR"/>
        </w:rPr>
        <w:t>®</w:t>
      </w:r>
      <w:r w:rsidRPr="00EB4D74">
        <w:rPr>
          <w:rFonts w:cs="Tahoma"/>
          <w:lang w:val="pt-BR"/>
        </w:rPr>
        <w:t xml:space="preserve"> Intune (Usuário e Dispositivo)</w:t>
      </w:r>
      <w:r w:rsidRPr="00EB4D74">
        <w:tab/>
      </w:r>
      <w:r w:rsidRPr="00EB4D74">
        <w:fldChar w:fldCharType="begin"/>
      </w:r>
      <w:r w:rsidRPr="00EB4D74">
        <w:instrText xml:space="preserve"> PAGEREF _Toc342914582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Bridge do Pacote de CALs Principais para Windows</w:t>
      </w:r>
      <w:r w:rsidRPr="00EB4D74">
        <w:rPr>
          <w:rFonts w:cs="Tahoma"/>
          <w:vertAlign w:val="superscript"/>
          <w:lang w:val="pt-BR"/>
        </w:rPr>
        <w:t>®</w:t>
      </w:r>
      <w:r w:rsidRPr="00EB4D74">
        <w:rPr>
          <w:rFonts w:cs="Tahoma"/>
          <w:lang w:val="pt-BR"/>
        </w:rPr>
        <w:t xml:space="preserve"> Intune (Usuário e Dispositivo)</w:t>
      </w:r>
      <w:r w:rsidRPr="00EB4D74">
        <w:rPr>
          <w:lang w:val="it-IT"/>
        </w:rPr>
        <w:tab/>
      </w:r>
      <w:r w:rsidRPr="00EB4D74">
        <w:fldChar w:fldCharType="begin"/>
      </w:r>
      <w:r w:rsidRPr="00EB4D74">
        <w:rPr>
          <w:lang w:val="it-IT"/>
        </w:rPr>
        <w:instrText xml:space="preserve"> PAGEREF _Toc342914583 \h </w:instrText>
      </w:r>
      <w:r w:rsidRPr="00EB4D74">
        <w:fldChar w:fldCharType="separate"/>
      </w:r>
      <w:r>
        <w:rPr>
          <w:lang w:val="it-IT"/>
        </w:rP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Core CAL Suite (Usuário e Dispositivo)</w:t>
      </w:r>
      <w:r w:rsidRPr="00EB4D74">
        <w:rPr>
          <w:lang w:val="it-IT"/>
        </w:rPr>
        <w:tab/>
      </w:r>
      <w:r w:rsidRPr="00EB4D74">
        <w:fldChar w:fldCharType="begin"/>
      </w:r>
      <w:r w:rsidRPr="00EB4D74">
        <w:rPr>
          <w:lang w:val="it-IT"/>
        </w:rPr>
        <w:instrText xml:space="preserve"> PAGEREF _Toc342914584 \h </w:instrText>
      </w:r>
      <w:r w:rsidRPr="00EB4D74">
        <w:fldChar w:fldCharType="separate"/>
      </w:r>
      <w:r>
        <w:rPr>
          <w:lang w:val="it-IT"/>
        </w:rP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Core Infrastructure Server Suite Standard</w:t>
      </w:r>
      <w:r w:rsidRPr="00EB4D74">
        <w:tab/>
      </w:r>
      <w:r w:rsidRPr="00EB4D74">
        <w:fldChar w:fldCharType="begin"/>
      </w:r>
      <w:r w:rsidRPr="00EB4D74">
        <w:instrText xml:space="preserve"> PAGEREF _Toc342914585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Core Infrastructure Server Suite Enterprise</w:t>
      </w:r>
      <w:r w:rsidRPr="00EB4D74">
        <w:tab/>
      </w:r>
      <w:r w:rsidRPr="00EB4D74">
        <w:fldChar w:fldCharType="begin"/>
      </w:r>
      <w:r w:rsidRPr="00EB4D74">
        <w:instrText xml:space="preserve"> PAGEREF _Toc342914586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Core Infrastructure Server Suite Datacenter</w:t>
      </w:r>
      <w:r w:rsidRPr="00EB4D74">
        <w:tab/>
      </w:r>
      <w:r w:rsidRPr="00EB4D74">
        <w:fldChar w:fldCharType="begin"/>
      </w:r>
      <w:r w:rsidRPr="00EB4D74">
        <w:instrText xml:space="preserve"> PAGEREF _Toc342914587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Data Warehouse Appliance 2012</w:t>
      </w:r>
      <w:r w:rsidRPr="00EB4D74">
        <w:tab/>
      </w:r>
      <w:r w:rsidRPr="00EB4D74">
        <w:fldChar w:fldCharType="begin"/>
      </w:r>
      <w:r w:rsidRPr="00EB4D74">
        <w:instrText xml:space="preserve"> PAGEREF _Toc342914588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Dynamics CRM Online Extra Storage</w:t>
      </w:r>
      <w:r w:rsidRPr="00EB4D74">
        <w:tab/>
      </w:r>
      <w:r w:rsidRPr="00EB4D74">
        <w:fldChar w:fldCharType="begin"/>
      </w:r>
      <w:r w:rsidRPr="00EB4D74">
        <w:instrText xml:space="preserve"> PAGEREF _Toc342914589 \h </w:instrText>
      </w:r>
      <w:r w:rsidRPr="00EB4D74">
        <w:fldChar w:fldCharType="separate"/>
      </w:r>
      <w:r>
        <w:t>18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Dynamics CRM Online por Usuário</w:t>
      </w:r>
      <w:r w:rsidRPr="00EB4D74">
        <w:tab/>
      </w:r>
      <w:r w:rsidRPr="00EB4D74">
        <w:fldChar w:fldCharType="begin"/>
      </w:r>
      <w:r w:rsidRPr="00EB4D74">
        <w:instrText xml:space="preserve"> PAGEREF _Toc342914590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Dynamics CRM Online para SA</w:t>
      </w:r>
      <w:r w:rsidRPr="00EB4D74">
        <w:rPr>
          <w:lang w:val="it-IT"/>
        </w:rPr>
        <w:tab/>
      </w:r>
      <w:r w:rsidRPr="00EB4D74">
        <w:fldChar w:fldCharType="begin"/>
      </w:r>
      <w:r w:rsidRPr="00EB4D74">
        <w:rPr>
          <w:lang w:val="it-IT"/>
        </w:rPr>
        <w:instrText xml:space="preserve"> PAGEREF _Toc342914591 \h </w:instrText>
      </w:r>
      <w:r w:rsidRPr="00EB4D74">
        <w:fldChar w:fldCharType="separate"/>
      </w:r>
      <w:r>
        <w:rPr>
          <w:lang w:val="it-IT"/>
        </w:rP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Bridge do Pacote de CALs Empresariais para Office 365 (Usuário e Dispositivo)</w:t>
      </w:r>
      <w:r w:rsidRPr="00EB4D74">
        <w:rPr>
          <w:lang w:val="it-IT"/>
        </w:rPr>
        <w:tab/>
      </w:r>
      <w:r w:rsidRPr="00EB4D74">
        <w:fldChar w:fldCharType="begin"/>
      </w:r>
      <w:r w:rsidRPr="00EB4D74">
        <w:rPr>
          <w:lang w:val="it-IT"/>
        </w:rPr>
        <w:instrText xml:space="preserve"> PAGEREF _Toc342914592 \h </w:instrText>
      </w:r>
      <w:r w:rsidRPr="00EB4D74">
        <w:fldChar w:fldCharType="separate"/>
      </w:r>
      <w:r>
        <w:rPr>
          <w:lang w:val="it-IT"/>
        </w:rP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Bridge do Pacote de CALs Empresariais para Office 365 e Windows</w:t>
      </w:r>
      <w:r w:rsidRPr="00EB4D74">
        <w:rPr>
          <w:rFonts w:cs="Tahoma"/>
          <w:vertAlign w:val="superscript"/>
          <w:lang w:val="pt-BR"/>
        </w:rPr>
        <w:t>®</w:t>
      </w:r>
      <w:r w:rsidRPr="00EB4D74">
        <w:rPr>
          <w:rFonts w:cs="Tahoma"/>
          <w:lang w:val="pt-BR"/>
        </w:rPr>
        <w:t xml:space="preserve"> Intune (Usuário e Dispositivo)</w:t>
      </w:r>
      <w:r w:rsidRPr="00EB4D74">
        <w:rPr>
          <w:lang w:val="it-IT"/>
        </w:rPr>
        <w:tab/>
      </w:r>
      <w:r w:rsidRPr="00EB4D74">
        <w:fldChar w:fldCharType="begin"/>
      </w:r>
      <w:r w:rsidRPr="00EB4D74">
        <w:rPr>
          <w:lang w:val="it-IT"/>
        </w:rPr>
        <w:instrText xml:space="preserve"> PAGEREF _Toc342914593 \h </w:instrText>
      </w:r>
      <w:r w:rsidRPr="00EB4D74">
        <w:fldChar w:fldCharType="separate"/>
      </w:r>
      <w:r>
        <w:rPr>
          <w:lang w:val="it-IT"/>
        </w:rP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Bridge do Pacote de CALs Empresariais para Windows</w:t>
      </w:r>
      <w:r w:rsidRPr="00EB4D74">
        <w:rPr>
          <w:rFonts w:cs="Tahoma"/>
          <w:vertAlign w:val="superscript"/>
          <w:lang w:val="pt-BR"/>
        </w:rPr>
        <w:t>®</w:t>
      </w:r>
      <w:r w:rsidRPr="00EB4D74">
        <w:rPr>
          <w:rFonts w:cs="Tahoma"/>
          <w:lang w:val="pt-BR"/>
        </w:rPr>
        <w:t xml:space="preserve"> Intune (Usuário e Dispositivo)</w:t>
      </w:r>
      <w:r w:rsidRPr="00EB4D74">
        <w:rPr>
          <w:lang w:val="it-IT"/>
        </w:rPr>
        <w:tab/>
      </w:r>
      <w:r w:rsidRPr="00EB4D74">
        <w:fldChar w:fldCharType="begin"/>
      </w:r>
      <w:r w:rsidRPr="00EB4D74">
        <w:rPr>
          <w:lang w:val="it-IT"/>
        </w:rPr>
        <w:instrText xml:space="preserve"> PAGEREF _Toc342914594 \h </w:instrText>
      </w:r>
      <w:r w:rsidRPr="00EB4D74">
        <w:fldChar w:fldCharType="separate"/>
      </w:r>
      <w:r>
        <w:rPr>
          <w:lang w:val="it-IT"/>
        </w:rP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Pacote de CALs Empresariais (Usuário e Dispositivo)</w:t>
      </w:r>
      <w:r w:rsidRPr="00EB4D74">
        <w:rPr>
          <w:lang w:val="it-IT"/>
        </w:rPr>
        <w:tab/>
      </w:r>
      <w:r w:rsidRPr="00EB4D74">
        <w:fldChar w:fldCharType="begin"/>
      </w:r>
      <w:r w:rsidRPr="00EB4D74">
        <w:rPr>
          <w:lang w:val="it-IT"/>
        </w:rPr>
        <w:instrText xml:space="preserve"> PAGEREF _Toc342914595 \h </w:instrText>
      </w:r>
      <w:r w:rsidRPr="00EB4D74">
        <w:fldChar w:fldCharType="separate"/>
      </w:r>
      <w:r>
        <w:rPr>
          <w:lang w:val="it-IT"/>
        </w:rP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Empresarial do Exchange com Serviços 2013</w:t>
      </w:r>
      <w:r w:rsidRPr="00EB4D74">
        <w:tab/>
      </w:r>
      <w:r w:rsidRPr="00EB4D74">
        <w:fldChar w:fldCharType="begin"/>
      </w:r>
      <w:r w:rsidRPr="00EB4D74">
        <w:instrText xml:space="preserve"> PAGEREF _Toc342914596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Empresarial do Exchange sem Serviços 2013</w:t>
      </w:r>
      <w:r w:rsidRPr="00EB4D74">
        <w:tab/>
      </w:r>
      <w:r w:rsidRPr="00EB4D74">
        <w:fldChar w:fldCharType="begin"/>
      </w:r>
      <w:r w:rsidRPr="00EB4D74">
        <w:instrText xml:space="preserve"> PAGEREF _Toc342914597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Arquivamento do Exchange Online</w:t>
      </w:r>
      <w:r w:rsidRPr="00EB4D74">
        <w:tab/>
      </w:r>
      <w:r w:rsidRPr="00EB4D74">
        <w:fldChar w:fldCharType="begin"/>
      </w:r>
      <w:r w:rsidRPr="00EB4D74">
        <w:instrText xml:space="preserve"> PAGEREF _Toc342914598 \h </w:instrText>
      </w:r>
      <w:r w:rsidRPr="00EB4D74">
        <w:fldChar w:fldCharType="separate"/>
      </w:r>
      <w:r>
        <w:t>19</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Servidor A (SL de Usuário)</w:t>
      </w:r>
      <w:r w:rsidRPr="00EB4D74">
        <w:rPr>
          <w:color w:val="auto"/>
        </w:rPr>
        <w:tab/>
      </w:r>
      <w:r w:rsidRPr="00EB4D74">
        <w:rPr>
          <w:color w:val="auto"/>
        </w:rPr>
        <w:fldChar w:fldCharType="begin"/>
      </w:r>
      <w:r w:rsidRPr="00EB4D74">
        <w:rPr>
          <w:color w:val="auto"/>
        </w:rPr>
        <w:instrText xml:space="preserve"> PAGEREF _Toc342914599 \h </w:instrText>
      </w:r>
      <w:r w:rsidRPr="00EB4D74">
        <w:rPr>
          <w:color w:val="auto"/>
        </w:rPr>
      </w:r>
      <w:r w:rsidRPr="00EB4D74">
        <w:rPr>
          <w:color w:val="auto"/>
        </w:rPr>
        <w:fldChar w:fldCharType="separate"/>
      </w:r>
      <w:r>
        <w:rPr>
          <w:color w:val="auto"/>
        </w:rPr>
        <w:t>19</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Hosted Archive (SL de Usuário)</w:t>
      </w:r>
      <w:r w:rsidRPr="00EB4D74">
        <w:tab/>
      </w:r>
      <w:r w:rsidRPr="00EB4D74">
        <w:fldChar w:fldCharType="begin"/>
      </w:r>
      <w:r w:rsidRPr="00EB4D74">
        <w:instrText xml:space="preserve"> PAGEREF _Toc342914600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Hosted Archive Extra Storage (SL de Usuário)</w:t>
      </w:r>
      <w:r w:rsidRPr="00EB4D74">
        <w:tab/>
      </w:r>
      <w:r w:rsidRPr="00EB4D74">
        <w:fldChar w:fldCharType="begin"/>
      </w:r>
      <w:r w:rsidRPr="00EB4D74">
        <w:instrText xml:space="preserve"> PAGEREF _Toc342914601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Hosted Encryption (SL de Usuário)</w:t>
      </w:r>
      <w:r w:rsidRPr="00EB4D74">
        <w:tab/>
      </w:r>
      <w:r w:rsidRPr="00EB4D74">
        <w:fldChar w:fldCharType="begin"/>
      </w:r>
      <w:r w:rsidRPr="00EB4D74">
        <w:instrText xml:space="preserve"> PAGEREF _Toc342914602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Quiosque do Exchange Online (SL de Usuário)</w:t>
      </w:r>
      <w:r w:rsidRPr="00EB4D74">
        <w:tab/>
      </w:r>
      <w:r w:rsidRPr="00EB4D74">
        <w:fldChar w:fldCharType="begin"/>
      </w:r>
      <w:r w:rsidRPr="00EB4D74">
        <w:instrText xml:space="preserve"> PAGEREF _Toc342914603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Online Plano 1 (SL de Usuário)</w:t>
      </w:r>
      <w:r w:rsidRPr="00EB4D74">
        <w:tab/>
      </w:r>
      <w:r w:rsidRPr="00EB4D74">
        <w:fldChar w:fldCharType="begin"/>
      </w:r>
      <w:r w:rsidRPr="00EB4D74">
        <w:instrText xml:space="preserve"> PAGEREF _Toc342914604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Online Plano 2 (SL de Usuário)</w:t>
      </w:r>
      <w:r w:rsidRPr="00EB4D74">
        <w:tab/>
      </w:r>
      <w:r w:rsidRPr="00EB4D74">
        <w:fldChar w:fldCharType="begin"/>
      </w:r>
      <w:r w:rsidRPr="00EB4D74">
        <w:instrText xml:space="preserve"> PAGEREF _Toc342914605 \h </w:instrText>
      </w:r>
      <w:r w:rsidRPr="00EB4D74">
        <w:fldChar w:fldCharType="separate"/>
      </w:r>
      <w:r>
        <w:t>19</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Exchange Online Plan 1A para Alunos (SL do Usuário)</w:t>
      </w:r>
      <w:r w:rsidRPr="00EB4D74">
        <w:rPr>
          <w:color w:val="auto"/>
        </w:rPr>
        <w:tab/>
      </w:r>
      <w:r w:rsidRPr="00EB4D74">
        <w:rPr>
          <w:color w:val="auto"/>
        </w:rPr>
        <w:fldChar w:fldCharType="begin"/>
      </w:r>
      <w:r w:rsidRPr="00EB4D74">
        <w:rPr>
          <w:color w:val="auto"/>
        </w:rPr>
        <w:instrText xml:space="preserve"> PAGEREF _Toc342914606 \h </w:instrText>
      </w:r>
      <w:r w:rsidRPr="00EB4D74">
        <w:rPr>
          <w:color w:val="auto"/>
        </w:rPr>
      </w:r>
      <w:r w:rsidRPr="00EB4D74">
        <w:rPr>
          <w:color w:val="auto"/>
        </w:rPr>
        <w:fldChar w:fldCharType="separate"/>
      </w:r>
      <w:r>
        <w:rPr>
          <w:color w:val="auto"/>
        </w:rPr>
        <w:t>19</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Exchange Online Plano 2A (SL de Usuário)</w:t>
      </w:r>
      <w:r w:rsidRPr="00EB4D74">
        <w:rPr>
          <w:color w:val="auto"/>
        </w:rPr>
        <w:tab/>
      </w:r>
      <w:r w:rsidRPr="00EB4D74">
        <w:rPr>
          <w:color w:val="auto"/>
        </w:rPr>
        <w:fldChar w:fldCharType="begin"/>
      </w:r>
      <w:r w:rsidRPr="00EB4D74">
        <w:rPr>
          <w:color w:val="auto"/>
        </w:rPr>
        <w:instrText xml:space="preserve"> PAGEREF _Toc342914607 \h </w:instrText>
      </w:r>
      <w:r w:rsidRPr="00EB4D74">
        <w:rPr>
          <w:color w:val="auto"/>
        </w:rPr>
      </w:r>
      <w:r w:rsidRPr="00EB4D74">
        <w:rPr>
          <w:color w:val="auto"/>
        </w:rPr>
        <w:fldChar w:fldCharType="separate"/>
      </w:r>
      <w:r>
        <w:rPr>
          <w:color w:val="auto"/>
        </w:rPr>
        <w:t>19</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Server Enterprise 2013</w:t>
      </w:r>
      <w:r w:rsidRPr="00EB4D74">
        <w:tab/>
      </w:r>
      <w:r w:rsidRPr="00EB4D74">
        <w:fldChar w:fldCharType="begin"/>
      </w:r>
      <w:r w:rsidRPr="00EB4D74">
        <w:instrText xml:space="preserve"> PAGEREF _Toc342914608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lastRenderedPageBreak/>
        <w:t>Exchange Server Standard 2013</w:t>
      </w:r>
      <w:r w:rsidRPr="00EB4D74">
        <w:tab/>
      </w:r>
      <w:r w:rsidRPr="00EB4D74">
        <w:fldChar w:fldCharType="begin"/>
      </w:r>
      <w:r w:rsidRPr="00EB4D74">
        <w:instrText xml:space="preserve"> PAGEREF _Toc342914609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Server 2007 Standard for Small Business</w:t>
      </w:r>
      <w:r w:rsidRPr="00EB4D74">
        <w:tab/>
      </w:r>
      <w:r w:rsidRPr="00EB4D74">
        <w:fldChar w:fldCharType="begin"/>
      </w:r>
      <w:r w:rsidRPr="00EB4D74">
        <w:instrText xml:space="preserve"> PAGEREF _Toc342914610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Exchange Server 2007 Standard for Small Business</w:t>
      </w:r>
      <w:r w:rsidRPr="00EB4D74">
        <w:tab/>
      </w:r>
      <w:r w:rsidRPr="00EB4D74">
        <w:fldChar w:fldCharType="begin"/>
      </w:r>
      <w:r w:rsidRPr="00EB4D74">
        <w:instrText xml:space="preserve"> PAGEREF _Toc342914611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Exchange Server 2010 Standard (Dispositivo e Usuário)</w:t>
      </w:r>
      <w:r w:rsidRPr="00EB4D74">
        <w:tab/>
      </w:r>
      <w:r w:rsidRPr="00EB4D74">
        <w:fldChar w:fldCharType="begin"/>
      </w:r>
      <w:r w:rsidRPr="00EB4D74">
        <w:instrText xml:space="preserve"> PAGEREF _Toc342914612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Endpoint Protection</w:t>
      </w:r>
      <w:r w:rsidRPr="00EB4D74">
        <w:tab/>
      </w:r>
      <w:r w:rsidRPr="00EB4D74">
        <w:fldChar w:fldCharType="begin"/>
      </w:r>
      <w:r w:rsidRPr="00EB4D74">
        <w:instrText xml:space="preserve"> PAGEREF _Toc342914613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Forefront Identity Manager 2010 R2 (Somente usuário)</w:t>
      </w:r>
      <w:r w:rsidRPr="00EB4D74">
        <w:tab/>
      </w:r>
      <w:r w:rsidRPr="00EB4D74">
        <w:fldChar w:fldCharType="begin"/>
      </w:r>
      <w:r w:rsidRPr="00EB4D74">
        <w:instrText xml:space="preserve"> PAGEREF _Toc342914614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Identity Manager 2010 R2 External Connector</w:t>
      </w:r>
      <w:r w:rsidRPr="00EB4D74">
        <w:tab/>
      </w:r>
      <w:r w:rsidRPr="00EB4D74">
        <w:fldChar w:fldCharType="begin"/>
      </w:r>
      <w:r w:rsidRPr="00EB4D74">
        <w:instrText xml:space="preserve"> PAGEREF _Toc342914615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Identity Manager 2010 R2 Server</w:t>
      </w:r>
      <w:r w:rsidRPr="00EB4D74">
        <w:tab/>
      </w:r>
      <w:r w:rsidRPr="00EB4D74">
        <w:fldChar w:fldCharType="begin"/>
      </w:r>
      <w:r w:rsidRPr="00EB4D74">
        <w:instrText xml:space="preserve"> PAGEREF _Toc342914616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Identity Manager 2010 R2 – Windows Live Edition</w:t>
      </w:r>
      <w:r w:rsidRPr="00EB4D74">
        <w:tab/>
      </w:r>
      <w:r w:rsidRPr="00EB4D74">
        <w:fldChar w:fldCharType="begin"/>
      </w:r>
      <w:r w:rsidRPr="00EB4D74">
        <w:instrText xml:space="preserve"> PAGEREF _Toc342914617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Online Protection for Exchange (SL de Dispositivo e Usuário)</w:t>
      </w:r>
      <w:r w:rsidRPr="00EB4D74">
        <w:tab/>
      </w:r>
      <w:r w:rsidRPr="00EB4D74">
        <w:fldChar w:fldCharType="begin"/>
      </w:r>
      <w:r w:rsidRPr="00EB4D74">
        <w:instrText xml:space="preserve"> PAGEREF _Toc342914618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Protection 2010 for Exchange Server (SL de Dispositivo e Usuário)</w:t>
      </w:r>
      <w:r w:rsidRPr="00EB4D74">
        <w:tab/>
      </w:r>
      <w:r w:rsidRPr="00EB4D74">
        <w:fldChar w:fldCharType="begin"/>
      </w:r>
      <w:r w:rsidRPr="00EB4D74">
        <w:instrText xml:space="preserve"> PAGEREF _Toc342914619 \h </w:instrText>
      </w:r>
      <w:r w:rsidRPr="00EB4D74">
        <w:fldChar w:fldCharType="separate"/>
      </w:r>
      <w:r>
        <w:t>19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Protection Suite (SL de Dispositivo e Usuário)</w:t>
      </w:r>
      <w:r w:rsidRPr="00EB4D74">
        <w:tab/>
      </w:r>
      <w:r w:rsidRPr="00EB4D74">
        <w:fldChar w:fldCharType="begin"/>
      </w:r>
      <w:r w:rsidRPr="00EB4D74">
        <w:instrText xml:space="preserve"> PAGEREF _Toc342914620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Security for Office Communications Server (SL de Dispositivo e Usuário)</w:t>
      </w:r>
      <w:r w:rsidRPr="00EB4D74">
        <w:tab/>
      </w:r>
      <w:r w:rsidRPr="00EB4D74">
        <w:fldChar w:fldCharType="begin"/>
      </w:r>
      <w:r w:rsidRPr="00EB4D74">
        <w:instrText xml:space="preserve"> PAGEREF _Toc342914621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Protection 2010 for SharePoint (SL de Dispositivo e Usuário)</w:t>
      </w:r>
      <w:r w:rsidRPr="00EB4D74">
        <w:tab/>
      </w:r>
      <w:r w:rsidRPr="00EB4D74">
        <w:fldChar w:fldCharType="begin"/>
      </w:r>
      <w:r w:rsidRPr="00EB4D74">
        <w:instrText xml:space="preserve"> PAGEREF _Toc342914622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Protection 2010 for SharePoint for Internet Sites (SL Complementar)</w:t>
      </w:r>
      <w:r w:rsidRPr="00EB4D74">
        <w:tab/>
      </w:r>
      <w:r w:rsidRPr="00EB4D74">
        <w:fldChar w:fldCharType="begin"/>
      </w:r>
      <w:r w:rsidRPr="00EB4D74">
        <w:instrText xml:space="preserve"> PAGEREF _Toc342914623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Threat Management Gateway Web Protection Services</w:t>
      </w:r>
      <w:r w:rsidRPr="00EB4D74">
        <w:tab/>
      </w:r>
      <w:r w:rsidRPr="00EB4D74">
        <w:fldChar w:fldCharType="begin"/>
      </w:r>
      <w:r w:rsidRPr="00EB4D74">
        <w:instrText xml:space="preserve"> PAGEREF _Toc342914624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Unified Access Gateway Server 2010</w:t>
      </w:r>
      <w:r w:rsidRPr="00EB4D74">
        <w:tab/>
      </w:r>
      <w:r w:rsidRPr="00EB4D74">
        <w:fldChar w:fldCharType="begin"/>
      </w:r>
      <w:r w:rsidRPr="00EB4D74">
        <w:instrText xml:space="preserve"> PAGEREF _Toc342914625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External Connector do Forefront Unified Access Gateway 2010</w:t>
      </w:r>
      <w:r w:rsidRPr="00EB4D74">
        <w:tab/>
      </w:r>
      <w:r w:rsidRPr="00EB4D74">
        <w:fldChar w:fldCharType="begin"/>
      </w:r>
      <w:r w:rsidRPr="00EB4D74">
        <w:instrText xml:space="preserve"> PAGEREF _Toc342914626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Forefront Unified Access Gateway 2010</w:t>
      </w:r>
      <w:r w:rsidRPr="00EB4D74">
        <w:tab/>
      </w:r>
      <w:r w:rsidRPr="00EB4D74">
        <w:fldChar w:fldCharType="begin"/>
      </w:r>
      <w:r w:rsidRPr="00EB4D74">
        <w:instrText xml:space="preserve"> PAGEREF _Toc342914627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Pacote CAL do Forefront Unified Access Gateway 2010 10K</w:t>
      </w:r>
      <w:r w:rsidRPr="00EB4D74">
        <w:tab/>
      </w:r>
      <w:r w:rsidRPr="00EB4D74">
        <w:fldChar w:fldCharType="begin"/>
      </w:r>
      <w:r w:rsidRPr="00EB4D74">
        <w:instrText xml:space="preserve"> PAGEREF _Toc342914628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GeoSynth Server</w:t>
      </w:r>
      <w:r w:rsidRPr="00EB4D74">
        <w:tab/>
      </w:r>
      <w:r w:rsidRPr="00EB4D74">
        <w:fldChar w:fldCharType="begin"/>
      </w:r>
      <w:r w:rsidRPr="00EB4D74">
        <w:instrText xml:space="preserve"> PAGEREF _Toc342914629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HPC Pack 2008 R2 Enterprise</w:t>
      </w:r>
      <w:r w:rsidRPr="00EB4D74">
        <w:tab/>
      </w:r>
      <w:r w:rsidRPr="00EB4D74">
        <w:fldChar w:fldCharType="begin"/>
      </w:r>
      <w:r w:rsidRPr="00EB4D74">
        <w:instrText xml:space="preserve"> PAGEREF _Toc342914630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HPC Pack 2008 R2 para Workstation</w:t>
      </w:r>
      <w:r w:rsidRPr="00EB4D74">
        <w:tab/>
      </w:r>
      <w:r w:rsidRPr="00EB4D74">
        <w:fldChar w:fldCharType="begin"/>
      </w:r>
      <w:r w:rsidRPr="00EB4D74">
        <w:instrText xml:space="preserve"> PAGEREF _Toc342914631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Learning Solutions Combination E-Reference Library (SL de Usuário)</w:t>
      </w:r>
      <w:r w:rsidRPr="00EB4D74">
        <w:tab/>
      </w:r>
      <w:r w:rsidRPr="00EB4D74">
        <w:fldChar w:fldCharType="begin"/>
      </w:r>
      <w:r w:rsidRPr="00EB4D74">
        <w:instrText xml:space="preserve"> PAGEREF _Toc342914632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Learning Solutions IT Academy (SL de Serviços)</w:t>
      </w:r>
      <w:r w:rsidRPr="00EB4D74">
        <w:tab/>
      </w:r>
      <w:r w:rsidRPr="00EB4D74">
        <w:fldChar w:fldCharType="begin"/>
      </w:r>
      <w:r w:rsidRPr="00EB4D74">
        <w:instrText xml:space="preserve"> PAGEREF _Toc342914633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Cupons do Learning Solutions MCP 1 Exam/Mês (SL de Serviços)</w:t>
      </w:r>
      <w:r w:rsidRPr="00EB4D74">
        <w:tab/>
      </w:r>
      <w:r w:rsidRPr="00EB4D74">
        <w:fldChar w:fldCharType="begin"/>
      </w:r>
      <w:r w:rsidRPr="00EB4D74">
        <w:instrText xml:space="preserve"> PAGEREF _Toc342914634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Online Plano 1 (SL de Usuário)</w:t>
      </w:r>
      <w:r w:rsidRPr="00EB4D74">
        <w:tab/>
      </w:r>
      <w:r w:rsidRPr="00EB4D74">
        <w:fldChar w:fldCharType="begin"/>
      </w:r>
      <w:r w:rsidRPr="00EB4D74">
        <w:instrText xml:space="preserve"> PAGEREF _Toc342914635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Online Plano 2 (SL de Usuário)</w:t>
      </w:r>
      <w:r w:rsidRPr="00EB4D74">
        <w:tab/>
      </w:r>
      <w:r w:rsidRPr="00EB4D74">
        <w:fldChar w:fldCharType="begin"/>
      </w:r>
      <w:r w:rsidRPr="00EB4D74">
        <w:instrText xml:space="preserve"> PAGEREF _Toc342914636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Online Plano 3 (SL de Usuário)</w:t>
      </w:r>
      <w:r w:rsidRPr="00EB4D74">
        <w:tab/>
      </w:r>
      <w:r w:rsidRPr="00EB4D74">
        <w:fldChar w:fldCharType="begin"/>
      </w:r>
      <w:r w:rsidRPr="00EB4D74">
        <w:instrText xml:space="preserve"> PAGEREF _Toc342914637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Online Plano 3A (SL de Usuário)</w:t>
      </w:r>
      <w:r w:rsidRPr="00EB4D74">
        <w:tab/>
      </w:r>
      <w:r w:rsidRPr="00EB4D74">
        <w:fldChar w:fldCharType="begin"/>
      </w:r>
      <w:r w:rsidRPr="00EB4D74">
        <w:instrText xml:space="preserve"> PAGEREF _Toc342914638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Lync Server 2013</w:t>
      </w:r>
      <w:r w:rsidRPr="00EB4D74">
        <w:tab/>
      </w:r>
      <w:r w:rsidRPr="00EB4D74">
        <w:fldChar w:fldCharType="begin"/>
      </w:r>
      <w:r w:rsidRPr="00EB4D74">
        <w:instrText xml:space="preserve"> PAGEREF _Toc342914639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Empresarial do Lync Server 2013</w:t>
      </w:r>
      <w:r w:rsidRPr="00EB4D74">
        <w:tab/>
      </w:r>
      <w:r w:rsidRPr="00EB4D74">
        <w:fldChar w:fldCharType="begin"/>
      </w:r>
      <w:r w:rsidRPr="00EB4D74">
        <w:instrText xml:space="preserve"> PAGEREF _Toc342914640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Lync Server Plus 2013</w:t>
      </w:r>
      <w:r w:rsidRPr="00EB4D74">
        <w:tab/>
      </w:r>
      <w:r w:rsidRPr="00EB4D74">
        <w:fldChar w:fldCharType="begin"/>
      </w:r>
      <w:r w:rsidRPr="00EB4D74">
        <w:instrText xml:space="preserve"> PAGEREF _Toc342914641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Lync Server Standard 2013</w:t>
      </w:r>
      <w:r w:rsidRPr="00EB4D74">
        <w:tab/>
      </w:r>
      <w:r w:rsidRPr="00EB4D74">
        <w:fldChar w:fldCharType="begin"/>
      </w:r>
      <w:r w:rsidRPr="00EB4D74">
        <w:instrText xml:space="preserve"> PAGEREF _Toc342914642 \h </w:instrText>
      </w:r>
      <w:r w:rsidRPr="00EB4D74">
        <w:fldChar w:fldCharType="separate"/>
      </w:r>
      <w: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 xml:space="preserve">CAL Aditiva </w:t>
      </w:r>
      <w:r>
        <w:rPr>
          <w:rFonts w:cs="Tahoma"/>
          <w:lang w:val="pt-BR"/>
        </w:rPr>
        <w:t>do Microsoft Dynamics AX 2012</w:t>
      </w:r>
      <w:r w:rsidRPr="00EB4D74">
        <w:rPr>
          <w:rFonts w:cs="Tahoma"/>
          <w:lang w:val="pt-BR"/>
        </w:rPr>
        <w:t xml:space="preserve"> Enterprise (usuário e Dispositivo)</w:t>
      </w:r>
      <w:r w:rsidRPr="00EB4D74">
        <w:rPr>
          <w:lang w:val="it-IT"/>
        </w:rPr>
        <w:tab/>
      </w:r>
      <w:r w:rsidRPr="00EB4D74">
        <w:fldChar w:fldCharType="begin"/>
      </w:r>
      <w:r w:rsidRPr="00EB4D74">
        <w:rPr>
          <w:lang w:val="it-IT"/>
        </w:rPr>
        <w:instrText xml:space="preserve"> PAGEREF _Toc342914643 \h </w:instrText>
      </w:r>
      <w:r w:rsidRPr="00EB4D74">
        <w:fldChar w:fldCharType="separate"/>
      </w:r>
      <w:r>
        <w:rPr>
          <w:lang w:val="it-IT"/>
        </w:rP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Empresarial d</w:t>
      </w:r>
      <w:r>
        <w:rPr>
          <w:rFonts w:cs="Tahoma"/>
          <w:lang w:val="pt-BR"/>
        </w:rPr>
        <w:t xml:space="preserve">o Microsoft Dynamics AX 2012 </w:t>
      </w:r>
      <w:r w:rsidRPr="00EB4D74">
        <w:rPr>
          <w:rFonts w:cs="Tahoma"/>
          <w:lang w:val="pt-BR"/>
        </w:rPr>
        <w:t>(Usuário e Dispositivo)</w:t>
      </w:r>
      <w:r w:rsidRPr="00EB4D74">
        <w:rPr>
          <w:lang w:val="it-IT"/>
        </w:rPr>
        <w:tab/>
      </w:r>
      <w:r w:rsidRPr="00EB4D74">
        <w:fldChar w:fldCharType="begin"/>
      </w:r>
      <w:r w:rsidRPr="00EB4D74">
        <w:rPr>
          <w:lang w:val="it-IT"/>
        </w:rPr>
        <w:instrText xml:space="preserve"> PAGEREF _Toc342914644 \h </w:instrText>
      </w:r>
      <w:r w:rsidRPr="00EB4D74">
        <w:fldChar w:fldCharType="separate"/>
      </w:r>
      <w:r>
        <w:rPr>
          <w:lang w:val="it-IT"/>
        </w:rP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Aditiva do Micros</w:t>
      </w:r>
      <w:r>
        <w:rPr>
          <w:rFonts w:cs="Tahoma"/>
          <w:lang w:val="pt-BR"/>
        </w:rPr>
        <w:t xml:space="preserve">oft Dynamics AX 2012 </w:t>
      </w:r>
      <w:r w:rsidRPr="00EB4D74">
        <w:rPr>
          <w:rFonts w:cs="Tahoma"/>
          <w:lang w:val="pt-BR"/>
        </w:rPr>
        <w:t>Funcional (Usuário e Dispositivo)</w:t>
      </w:r>
      <w:r w:rsidRPr="00EB4D74">
        <w:rPr>
          <w:lang w:val="it-IT"/>
        </w:rPr>
        <w:tab/>
      </w:r>
      <w:r w:rsidRPr="00EB4D74">
        <w:fldChar w:fldCharType="begin"/>
      </w:r>
      <w:r w:rsidRPr="00EB4D74">
        <w:rPr>
          <w:lang w:val="it-IT"/>
        </w:rPr>
        <w:instrText xml:space="preserve"> PAGEREF _Toc342914645 \h </w:instrText>
      </w:r>
      <w:r w:rsidRPr="00EB4D74">
        <w:fldChar w:fldCharType="separate"/>
      </w:r>
      <w:r>
        <w:rPr>
          <w:lang w:val="it-IT"/>
        </w:rP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Funcional d</w:t>
      </w:r>
      <w:r>
        <w:rPr>
          <w:rFonts w:cs="Tahoma"/>
          <w:lang w:val="pt-BR"/>
        </w:rPr>
        <w:t xml:space="preserve">o Microsoft Dynamics AX 2012 </w:t>
      </w:r>
      <w:r w:rsidRPr="00EB4D74">
        <w:rPr>
          <w:rFonts w:cs="Tahoma"/>
          <w:lang w:val="pt-BR"/>
        </w:rPr>
        <w:t>(Usuário e Dispositivo)</w:t>
      </w:r>
      <w:r w:rsidRPr="00EB4D74">
        <w:rPr>
          <w:lang w:val="it-IT"/>
        </w:rPr>
        <w:tab/>
      </w:r>
      <w:r w:rsidRPr="00EB4D74">
        <w:fldChar w:fldCharType="begin"/>
      </w:r>
      <w:r w:rsidRPr="00EB4D74">
        <w:rPr>
          <w:lang w:val="it-IT"/>
        </w:rPr>
        <w:instrText xml:space="preserve"> PAGEREF _Toc342914646 \h </w:instrText>
      </w:r>
      <w:r w:rsidRPr="00EB4D74">
        <w:fldChar w:fldCharType="separate"/>
      </w:r>
      <w:r>
        <w:rPr>
          <w:lang w:val="it-IT"/>
        </w:rP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de Autoatendimento d</w:t>
      </w:r>
      <w:r>
        <w:rPr>
          <w:rFonts w:cs="Tahoma"/>
          <w:lang w:val="pt-BR"/>
        </w:rPr>
        <w:t xml:space="preserve">o Microsoft Dynamics AX 2012 </w:t>
      </w:r>
      <w:r w:rsidRPr="00EB4D74">
        <w:rPr>
          <w:rFonts w:cs="Tahoma"/>
          <w:lang w:val="pt-BR"/>
        </w:rPr>
        <w:t>(Usuário e Dispositivo)</w:t>
      </w:r>
      <w:r w:rsidRPr="00EB4D74">
        <w:rPr>
          <w:lang w:val="it-IT"/>
        </w:rPr>
        <w:tab/>
      </w:r>
      <w:r w:rsidRPr="00EB4D74">
        <w:fldChar w:fldCharType="begin"/>
      </w:r>
      <w:r w:rsidRPr="00EB4D74">
        <w:rPr>
          <w:lang w:val="it-IT"/>
        </w:rPr>
        <w:instrText xml:space="preserve"> PAGEREF _Toc342914647 \h </w:instrText>
      </w:r>
      <w:r w:rsidRPr="00EB4D74">
        <w:fldChar w:fldCharType="separate"/>
      </w:r>
      <w:r>
        <w:rPr>
          <w:lang w:val="it-IT"/>
        </w:rP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Microsoft Dyn</w:t>
      </w:r>
      <w:r>
        <w:rPr>
          <w:rFonts w:cs="Tahoma"/>
          <w:lang w:val="pt-BR"/>
        </w:rPr>
        <w:t xml:space="preserve">amics AX 2012 </w:t>
      </w:r>
      <w:r w:rsidRPr="00EB4D74">
        <w:rPr>
          <w:rFonts w:cs="Tahoma"/>
          <w:lang w:val="pt-BR"/>
        </w:rPr>
        <w:t>Server</w:t>
      </w:r>
      <w:r w:rsidRPr="00EB4D74">
        <w:rPr>
          <w:lang w:val="it-IT"/>
        </w:rPr>
        <w:tab/>
      </w:r>
      <w:r w:rsidRPr="00EB4D74">
        <w:fldChar w:fldCharType="begin"/>
      </w:r>
      <w:r w:rsidRPr="00EB4D74">
        <w:rPr>
          <w:lang w:val="it-IT"/>
        </w:rPr>
        <w:instrText xml:space="preserve"> PAGEREF _Toc342914648 \h </w:instrText>
      </w:r>
      <w:r w:rsidRPr="00EB4D74">
        <w:fldChar w:fldCharType="separate"/>
      </w:r>
      <w:r>
        <w:rPr>
          <w:lang w:val="it-IT"/>
        </w:rPr>
        <w:t>20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 xml:space="preserve">CAL Aditiva de Tarefa </w:t>
      </w:r>
      <w:r>
        <w:rPr>
          <w:rFonts w:cs="Tahoma"/>
          <w:lang w:val="pt-BR"/>
        </w:rPr>
        <w:t>do Microsoft Dynamics AX 2012</w:t>
      </w:r>
      <w:r w:rsidRPr="00EB4D74">
        <w:rPr>
          <w:rFonts w:cs="Tahoma"/>
          <w:lang w:val="pt-BR"/>
        </w:rPr>
        <w:t xml:space="preserve"> (Usuário e Dispositivo)</w:t>
      </w:r>
      <w:r w:rsidRPr="00EB4D74">
        <w:rPr>
          <w:lang w:val="it-IT"/>
        </w:rPr>
        <w:tab/>
      </w:r>
      <w:r w:rsidRPr="00EB4D74">
        <w:fldChar w:fldCharType="begin"/>
      </w:r>
      <w:r w:rsidRPr="00EB4D74">
        <w:rPr>
          <w:lang w:val="it-IT"/>
        </w:rPr>
        <w:instrText xml:space="preserve"> PAGEREF _Toc342914649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de Tarefa d</w:t>
      </w:r>
      <w:r>
        <w:rPr>
          <w:rFonts w:cs="Tahoma"/>
          <w:lang w:val="pt-BR"/>
        </w:rPr>
        <w:t xml:space="preserve">o Microsoft Dynamics AX 2012 </w:t>
      </w:r>
      <w:r w:rsidRPr="00EB4D74">
        <w:rPr>
          <w:rFonts w:cs="Tahoma"/>
          <w:lang w:val="pt-BR"/>
        </w:rPr>
        <w:t>(Usuário e Dispositivo)</w:t>
      </w:r>
      <w:r w:rsidRPr="00EB4D74">
        <w:rPr>
          <w:lang w:val="it-IT"/>
        </w:rPr>
        <w:tab/>
      </w:r>
      <w:r w:rsidRPr="00EB4D74">
        <w:fldChar w:fldCharType="begin"/>
      </w:r>
      <w:r w:rsidRPr="00EB4D74">
        <w:rPr>
          <w:lang w:val="it-IT"/>
        </w:rPr>
        <w:instrText xml:space="preserve"> PAGEREF _Toc342914650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do Microsoft Dynamics CRM 2011 (Usuário e Dispositivo)</w:t>
      </w:r>
      <w:r w:rsidRPr="00EB4D74">
        <w:rPr>
          <w:lang w:val="it-IT"/>
        </w:rPr>
        <w:tab/>
      </w:r>
      <w:r w:rsidRPr="00EB4D74">
        <w:fldChar w:fldCharType="begin"/>
      </w:r>
      <w:r w:rsidRPr="00EB4D74">
        <w:rPr>
          <w:lang w:val="it-IT"/>
        </w:rPr>
        <w:instrText xml:space="preserve"> PAGEREF _Toc342914651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do Microsoft Dynamics CRM 2011 Employee Self Service (Usuário e Dispositivo)</w:t>
      </w:r>
      <w:r w:rsidRPr="00EB4D74">
        <w:rPr>
          <w:lang w:val="it-IT"/>
        </w:rPr>
        <w:tab/>
      </w:r>
      <w:r w:rsidRPr="00EB4D74">
        <w:fldChar w:fldCharType="begin"/>
      </w:r>
      <w:r w:rsidRPr="00EB4D74">
        <w:rPr>
          <w:lang w:val="it-IT"/>
        </w:rPr>
        <w:instrText xml:space="preserve"> PAGEREF _Toc342914652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Conector Externo para Microsoft Dynamics CRM 2011</w:t>
      </w:r>
      <w:r w:rsidRPr="00EB4D74">
        <w:rPr>
          <w:lang w:val="it-IT"/>
        </w:rPr>
        <w:tab/>
      </w:r>
      <w:r w:rsidRPr="00EB4D74">
        <w:fldChar w:fldCharType="begin"/>
      </w:r>
      <w:r w:rsidRPr="00EB4D74">
        <w:rPr>
          <w:lang w:val="it-IT"/>
        </w:rPr>
        <w:instrText xml:space="preserve"> PAGEREF _Toc342914653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Adicional de Uso Completo do Microsoft Dynamics CRM 2011 (Usuário e Dispositivo)</w:t>
      </w:r>
      <w:r w:rsidRPr="00EB4D74">
        <w:rPr>
          <w:lang w:val="it-IT"/>
        </w:rPr>
        <w:tab/>
      </w:r>
      <w:r w:rsidRPr="00EB4D74">
        <w:fldChar w:fldCharType="begin"/>
      </w:r>
      <w:r w:rsidRPr="00EB4D74">
        <w:rPr>
          <w:lang w:val="it-IT"/>
        </w:rPr>
        <w:instrText xml:space="preserve"> PAGEREF _Toc342914654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Limitada para Microsoft Dynamics CRM 2011 (Usuários e Dispositivo)</w:t>
      </w:r>
      <w:r w:rsidRPr="00EB4D74">
        <w:rPr>
          <w:lang w:val="it-IT"/>
        </w:rPr>
        <w:tab/>
      </w:r>
      <w:r w:rsidRPr="00EB4D74">
        <w:fldChar w:fldCharType="begin"/>
      </w:r>
      <w:r w:rsidRPr="00EB4D74">
        <w:rPr>
          <w:lang w:val="it-IT"/>
        </w:rPr>
        <w:instrText xml:space="preserve"> PAGEREF _Toc342914655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CAL Adicional de Uso Limitado do Microsoft Dynamics CRM 2011 (Usuário e Dispositivo)</w:t>
      </w:r>
      <w:r w:rsidRPr="00EB4D74">
        <w:rPr>
          <w:lang w:val="it-IT"/>
        </w:rPr>
        <w:tab/>
      </w:r>
      <w:r w:rsidRPr="00EB4D74">
        <w:fldChar w:fldCharType="begin"/>
      </w:r>
      <w:r w:rsidRPr="00EB4D74">
        <w:rPr>
          <w:lang w:val="it-IT"/>
        </w:rPr>
        <w:instrText xml:space="preserve"> PAGEREF _Toc342914656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Microsoft Dynamics CRM Server 2011</w:t>
      </w:r>
      <w:r w:rsidRPr="00EB4D74">
        <w:tab/>
      </w:r>
      <w:r w:rsidRPr="00EB4D74">
        <w:fldChar w:fldCharType="begin"/>
      </w:r>
      <w:r w:rsidRPr="00EB4D74">
        <w:instrText xml:space="preserve"> PAGEREF _Toc342914657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Microsoft Dynamics CRM Workgroup Server 2011</w:t>
      </w:r>
      <w:r w:rsidRPr="00EB4D74">
        <w:tab/>
      </w:r>
      <w:r w:rsidRPr="00EB4D74">
        <w:fldChar w:fldCharType="begin"/>
      </w:r>
      <w:r w:rsidRPr="00EB4D74">
        <w:instrText xml:space="preserve"> PAGEREF _Toc342914658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API do Tradutor da Microsoft</w:t>
      </w:r>
      <w:r w:rsidRPr="00EB4D74">
        <w:rPr>
          <w:lang w:val="it-IT"/>
        </w:rPr>
        <w:tab/>
      </w:r>
      <w:r w:rsidRPr="00EB4D74">
        <w:fldChar w:fldCharType="begin"/>
      </w:r>
      <w:r w:rsidRPr="00EB4D74">
        <w:rPr>
          <w:lang w:val="it-IT"/>
        </w:rPr>
        <w:instrText xml:space="preserve"> PAGEREF _Toc342914659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Office 365 Plano A2 (SL de Usuário)</w:t>
      </w:r>
      <w:r w:rsidRPr="00EB4D74">
        <w:rPr>
          <w:lang w:val="it-IT"/>
        </w:rPr>
        <w:tab/>
      </w:r>
      <w:r w:rsidRPr="00EB4D74">
        <w:fldChar w:fldCharType="begin"/>
      </w:r>
      <w:r w:rsidRPr="00EB4D74">
        <w:rPr>
          <w:lang w:val="it-IT"/>
        </w:rPr>
        <w:instrText xml:space="preserve"> PAGEREF _Toc342914660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Office 365 Plano A3 (SL de Usuário)</w:t>
      </w:r>
      <w:r w:rsidRPr="00EB4D74">
        <w:rPr>
          <w:lang w:val="it-IT"/>
        </w:rPr>
        <w:tab/>
      </w:r>
      <w:r w:rsidRPr="00EB4D74">
        <w:fldChar w:fldCharType="begin"/>
      </w:r>
      <w:r w:rsidRPr="00EB4D74">
        <w:rPr>
          <w:lang w:val="it-IT"/>
        </w:rPr>
        <w:instrText xml:space="preserve"> PAGEREF _Toc342914661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Office 365 Plano A4 (SL de Usuário)</w:t>
      </w:r>
      <w:r w:rsidRPr="00EB4D74">
        <w:rPr>
          <w:lang w:val="it-IT"/>
        </w:rPr>
        <w:tab/>
      </w:r>
      <w:r w:rsidRPr="00EB4D74">
        <w:fldChar w:fldCharType="begin"/>
      </w:r>
      <w:r w:rsidRPr="00EB4D74">
        <w:rPr>
          <w:lang w:val="it-IT"/>
        </w:rPr>
        <w:instrText xml:space="preserve"> PAGEREF _Toc342914662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Office 365 Plano E1 (SL de Usuário)</w:t>
      </w:r>
      <w:r w:rsidRPr="00EB4D74">
        <w:rPr>
          <w:lang w:val="it-IT"/>
        </w:rPr>
        <w:tab/>
      </w:r>
      <w:r w:rsidRPr="00EB4D74">
        <w:fldChar w:fldCharType="begin"/>
      </w:r>
      <w:r w:rsidRPr="00EB4D74">
        <w:rPr>
          <w:lang w:val="it-IT"/>
        </w:rPr>
        <w:instrText xml:space="preserve"> PAGEREF _Toc342914663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Office 365 Plano E2 – E4 (SL de Usuário)</w:t>
      </w:r>
      <w:r w:rsidRPr="00EB4D74">
        <w:rPr>
          <w:lang w:val="it-IT"/>
        </w:rPr>
        <w:tab/>
      </w:r>
      <w:r w:rsidRPr="00EB4D74">
        <w:fldChar w:fldCharType="begin"/>
      </w:r>
      <w:r w:rsidRPr="00EB4D74">
        <w:rPr>
          <w:lang w:val="it-IT"/>
        </w:rPr>
        <w:instrText xml:space="preserve"> PAGEREF _Toc342914664 \h </w:instrText>
      </w:r>
      <w:r w:rsidRPr="00EB4D74">
        <w:fldChar w:fldCharType="separate"/>
      </w:r>
      <w:r>
        <w:rPr>
          <w:lang w:val="it-IT"/>
        </w:rP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Plano G1 – G4 (SL de Usuário)</w:t>
      </w:r>
      <w:r w:rsidRPr="00EB4D74">
        <w:tab/>
      </w:r>
      <w:r w:rsidRPr="00EB4D74">
        <w:fldChar w:fldCharType="begin"/>
      </w:r>
      <w:r w:rsidRPr="00EB4D74">
        <w:instrText xml:space="preserve"> PAGEREF _Toc342914665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Plano K1 (SL de Usuário)</w:t>
      </w:r>
      <w:r w:rsidRPr="00EB4D74">
        <w:tab/>
      </w:r>
      <w:r w:rsidRPr="00EB4D74">
        <w:fldChar w:fldCharType="begin"/>
      </w:r>
      <w:r w:rsidRPr="00EB4D74">
        <w:instrText xml:space="preserve"> PAGEREF _Toc342914666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Office 365 Plano K2 (SL de Usuário)</w:t>
      </w:r>
      <w:r w:rsidRPr="00EB4D74">
        <w:tab/>
      </w:r>
      <w:r w:rsidRPr="00EB4D74">
        <w:fldChar w:fldCharType="begin"/>
      </w:r>
      <w:r w:rsidRPr="00EB4D74">
        <w:instrText xml:space="preserve"> PAGEREF _Toc342914667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lastRenderedPageBreak/>
        <w:t>Aplicativos da Web do Office com SharePoint Plano 2A (SL do Usuário)</w:t>
      </w:r>
      <w:r w:rsidRPr="00EB4D74">
        <w:tab/>
      </w:r>
      <w:r w:rsidRPr="00EB4D74">
        <w:fldChar w:fldCharType="begin"/>
      </w:r>
      <w:r w:rsidRPr="00EB4D74">
        <w:instrText xml:space="preserve"> PAGEREF _Toc342914668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Project Server 2013</w:t>
      </w:r>
      <w:r w:rsidRPr="00EB4D74">
        <w:tab/>
      </w:r>
      <w:r w:rsidRPr="00EB4D74">
        <w:fldChar w:fldCharType="begin"/>
      </w:r>
      <w:r w:rsidRPr="00EB4D74">
        <w:instrText xml:space="preserve"> PAGEREF _Toc342914669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Project Server 2013</w:t>
      </w:r>
      <w:r w:rsidRPr="00EB4D74">
        <w:tab/>
      </w:r>
      <w:r w:rsidRPr="00EB4D74">
        <w:fldChar w:fldCharType="begin"/>
      </w:r>
      <w:r w:rsidRPr="00EB4D74">
        <w:instrText xml:space="preserve"> PAGEREF _Toc342914670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Armazenamento Extra do SharePoint™ Online de 1 GB (SL Complementar)</w:t>
      </w:r>
      <w:r w:rsidRPr="00EB4D74">
        <w:tab/>
      </w:r>
      <w:r w:rsidRPr="00EB4D74">
        <w:fldChar w:fldCharType="begin"/>
      </w:r>
      <w:r w:rsidRPr="00EB4D74">
        <w:instrText xml:space="preserve"> PAGEREF _Toc342914671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Armazenamento Extra do SharePoint™ Online de A 1 GB (SL Complementar)</w:t>
      </w:r>
      <w:r w:rsidRPr="00EB4D74">
        <w:tab/>
      </w:r>
      <w:r w:rsidRPr="00EB4D74">
        <w:fldChar w:fldCharType="begin"/>
      </w:r>
      <w:r w:rsidRPr="00EB4D74">
        <w:instrText xml:space="preserve"> PAGEREF _Toc342914672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SharePoint™ Online Plano 1 (SL de Usuário)</w:t>
      </w:r>
      <w:r w:rsidRPr="00EB4D74">
        <w:tab/>
      </w:r>
      <w:r w:rsidRPr="00EB4D74">
        <w:fldChar w:fldCharType="begin"/>
      </w:r>
      <w:r w:rsidRPr="00EB4D74">
        <w:instrText xml:space="preserve"> PAGEREF _Toc342914673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SharePoint™ Online Plano 2 (SL de Usuário)</w:t>
      </w:r>
      <w:r w:rsidRPr="00EB4D74">
        <w:tab/>
      </w:r>
      <w:r w:rsidRPr="00EB4D74">
        <w:fldChar w:fldCharType="begin"/>
      </w:r>
      <w:r w:rsidRPr="00EB4D74">
        <w:instrText xml:space="preserve"> PAGEREF _Toc342914674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SharePoint™ Server 2013</w:t>
      </w:r>
      <w:r w:rsidRPr="00EB4D74">
        <w:tab/>
      </w:r>
      <w:r w:rsidRPr="00EB4D74">
        <w:fldChar w:fldCharType="begin"/>
      </w:r>
      <w:r w:rsidRPr="00EB4D74">
        <w:instrText xml:space="preserve"> PAGEREF _Toc342914675 \h </w:instrText>
      </w:r>
      <w:r w:rsidRPr="00EB4D74">
        <w:fldChar w:fldCharType="separate"/>
      </w:r>
      <w:r>
        <w:t>21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Empresarial do SharePoint™ Server 2013</w:t>
      </w:r>
      <w:r w:rsidRPr="00EB4D74">
        <w:tab/>
      </w:r>
      <w:r w:rsidRPr="00EB4D74">
        <w:fldChar w:fldCharType="begin"/>
      </w:r>
      <w:r w:rsidRPr="00EB4D74">
        <w:instrText xml:space="preserve"> PAGEREF _Toc342914676 \h </w:instrText>
      </w:r>
      <w:r w:rsidRPr="00EB4D74">
        <w:fldChar w:fldCharType="separate"/>
      </w:r>
      <w:r>
        <w:t>21</w:t>
      </w:r>
      <w:r w:rsidRPr="00EB4D74">
        <w:fldChar w:fldCharType="end"/>
      </w:r>
    </w:p>
    <w:p w:rsidR="008B1196" w:rsidRPr="00EB4D74" w:rsidRDefault="008B1196" w:rsidP="008B1196">
      <w:pPr>
        <w:pStyle w:val="TOC2"/>
        <w:rPr>
          <w:rFonts w:cs="Tahoma"/>
          <w:lang w:val="pt-BR"/>
        </w:rPr>
      </w:pPr>
      <w:r w:rsidRPr="00EB4D74">
        <w:rPr>
          <w:rFonts w:cs="Tahoma"/>
          <w:lang w:val="pt-BR"/>
        </w:rPr>
        <w:t>CAL Padrão do SharePoint™ Server 2013</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_Toc342914677 \h </w:instrText>
      </w:r>
      <w:r w:rsidRPr="00EB4D74">
        <w:rPr>
          <w:rFonts w:cs="Tahoma"/>
          <w:lang w:val="pt-BR"/>
        </w:rPr>
      </w:r>
      <w:r w:rsidRPr="00EB4D74">
        <w:rPr>
          <w:rFonts w:cs="Tahoma"/>
          <w:lang w:val="pt-BR"/>
        </w:rPr>
        <w:fldChar w:fldCharType="separate"/>
      </w:r>
      <w:r>
        <w:rPr>
          <w:rFonts w:cs="Tahoma"/>
          <w:lang w:val="pt-BR"/>
        </w:rPr>
        <w:t>21</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Licença para um processador do SQL Server</w:t>
      </w:r>
      <w:r w:rsidRPr="00EB4D74">
        <w:rPr>
          <w:rFonts w:cs="Tahoma"/>
          <w:vertAlign w:val="superscript"/>
          <w:lang w:val="pt-BR"/>
        </w:rPr>
        <w:t>®</w:t>
      </w:r>
      <w:r w:rsidRPr="00EB4D74">
        <w:rPr>
          <w:rFonts w:cs="Tahoma"/>
          <w:lang w:val="pt-BR"/>
        </w:rPr>
        <w:t xml:space="preserve"> 2008 R2 Datacenter</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_Toc342914678 \h </w:instrText>
      </w:r>
      <w:r w:rsidRPr="00EB4D74">
        <w:rPr>
          <w:rFonts w:cs="Tahoma"/>
          <w:lang w:val="pt-BR"/>
        </w:rPr>
      </w:r>
      <w:r w:rsidRPr="00EB4D74">
        <w:rPr>
          <w:rFonts w:cs="Tahoma"/>
          <w:lang w:val="pt-BR"/>
        </w:rPr>
        <w:fldChar w:fldCharType="separate"/>
      </w:r>
      <w:r>
        <w:rPr>
          <w:rFonts w:cs="Tahoma"/>
          <w:lang w:val="pt-BR"/>
        </w:rPr>
        <w:t>21</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2008 R2 Parallel Data Warehouse</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_Toc342914679 \h </w:instrText>
      </w:r>
      <w:r w:rsidRPr="00EB4D74">
        <w:rPr>
          <w:rFonts w:cs="Tahoma"/>
          <w:lang w:val="pt-BR"/>
        </w:rPr>
      </w:r>
      <w:r w:rsidRPr="00EB4D74">
        <w:rPr>
          <w:rFonts w:cs="Tahoma"/>
          <w:lang w:val="pt-BR"/>
        </w:rPr>
        <w:fldChar w:fldCharType="separate"/>
      </w:r>
      <w:r>
        <w:rPr>
          <w:rFonts w:cs="Tahoma"/>
          <w:lang w:val="pt-BR"/>
        </w:rPr>
        <w:t>21</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2008 R2 Parallel Data Warehouse Developer</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_Toc342914680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2008 R2 Small Business</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_Toc342914681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CAL do SQL Server</w:t>
      </w:r>
      <w:r w:rsidRPr="00EB4D74">
        <w:rPr>
          <w:rFonts w:cs="Tahoma"/>
          <w:vertAlign w:val="superscript"/>
          <w:lang w:val="pt-BR"/>
        </w:rPr>
        <w:t>®</w:t>
      </w:r>
      <w:r w:rsidRPr="00EB4D74">
        <w:rPr>
          <w:rFonts w:cs="Tahoma"/>
          <w:lang w:val="pt-BR"/>
        </w:rPr>
        <w:t xml:space="preserve"> 2008 R2 Small Business</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_Toc342914682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2008 R2 Web por Processador</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_Toc342914683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CAL do SQL Server</w:t>
      </w:r>
      <w:r w:rsidRPr="00EB4D74">
        <w:rPr>
          <w:rFonts w:cs="Tahoma"/>
          <w:vertAlign w:val="superscript"/>
          <w:lang w:val="pt-BR"/>
        </w:rPr>
        <w:t>®</w:t>
      </w:r>
      <w:r w:rsidRPr="00EB4D74">
        <w:rPr>
          <w:rFonts w:cs="Tahoma"/>
          <w:lang w:val="pt-BR"/>
        </w:rPr>
        <w:t xml:space="preserve"> 2008 R2 Workgroup</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_Toc342914684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Licença para um Processador do SQL Server</w:t>
      </w:r>
      <w:r w:rsidRPr="00EB4D74">
        <w:rPr>
          <w:rFonts w:cs="Tahoma"/>
          <w:vertAlign w:val="superscript"/>
          <w:lang w:val="pt-BR"/>
        </w:rPr>
        <w:t>®</w:t>
      </w:r>
      <w:r w:rsidRPr="00EB4D74">
        <w:rPr>
          <w:rFonts w:cs="Tahoma"/>
          <w:lang w:val="pt-BR"/>
        </w:rPr>
        <w:t xml:space="preserve"> 2008 R2 Workgroup</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_Toc342914685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2008 R2 Workgroup (Complementar para 5 Clientes)</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_Toc342914686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2012 Business Intelligence</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_Toc342914687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CAL do SQL Server</w:t>
      </w:r>
      <w:r w:rsidRPr="00EB4D74">
        <w:rPr>
          <w:rFonts w:cs="Tahoma"/>
          <w:vertAlign w:val="superscript"/>
          <w:lang w:val="pt-BR"/>
        </w:rPr>
        <w:t>®</w:t>
      </w:r>
      <w:r w:rsidRPr="00EB4D74">
        <w:rPr>
          <w:rFonts w:cs="Tahoma"/>
          <w:lang w:val="pt-BR"/>
        </w:rPr>
        <w:t xml:space="preserve"> 2012 (SL de Dispositivo e Usuário)</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_Toc342914688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2012 Developer</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_Toc342914689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2012 Enterprise</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_Toc342914690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2012 Enterprise Core (duas Licenças Principais de pacote)</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_Toc342914691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2012 Standard</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_Toc342914692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SQL Server</w:t>
      </w:r>
      <w:r w:rsidRPr="00EB4D74">
        <w:rPr>
          <w:rFonts w:cs="Tahoma"/>
          <w:vertAlign w:val="superscript"/>
          <w:lang w:val="pt-BR"/>
        </w:rPr>
        <w:t>®</w:t>
      </w:r>
      <w:r w:rsidRPr="00EB4D74">
        <w:rPr>
          <w:rFonts w:cs="Tahoma"/>
          <w:lang w:val="pt-BR"/>
        </w:rPr>
        <w:t xml:space="preserve"> 2012 Standard Core (duas Licenças Principais de pacote)</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_Toc342914693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Configuration Manager 2007 R3</w:t>
      </w:r>
      <w:r w:rsidRPr="00EB4D74">
        <w:tab/>
      </w:r>
      <w:r w:rsidRPr="00EB4D74">
        <w:fldChar w:fldCharType="begin"/>
      </w:r>
      <w:r w:rsidRPr="00EB4D74">
        <w:instrText xml:space="preserve"> PAGEREF _Toc342914694 \h </w:instrText>
      </w:r>
      <w:r w:rsidRPr="00EB4D74">
        <w:fldChar w:fldCharType="separate"/>
      </w:r>
      <w:r>
        <w:t>22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Servidor Enterprise do System Center Configuration Manager 2007 R3</w:t>
      </w:r>
      <w:r w:rsidRPr="00EB4D74">
        <w:tab/>
      </w:r>
      <w:r w:rsidRPr="00EB4D74">
        <w:fldChar w:fldCharType="begin"/>
      </w:r>
      <w:r w:rsidRPr="00EB4D74">
        <w:instrText xml:space="preserve"> PAGEREF _Toc342914695 \h </w:instrText>
      </w:r>
      <w:r w:rsidRPr="00EB4D74">
        <w:fldChar w:fldCharType="separate"/>
      </w:r>
      <w:r>
        <w:t>22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 xml:space="preserve">Licença de Gerenciamento de Servidor Standard (ML de Servidor Standard) do System Center </w:t>
      </w:r>
      <w:r w:rsidRPr="00EB4D74">
        <w:rPr>
          <w:rFonts w:cs="Tahoma"/>
          <w:lang w:val="pt-BR"/>
        </w:rPr>
        <w:br/>
        <w:t>Configuration Manager 2007 R3)</w:t>
      </w:r>
      <w:r w:rsidRPr="00EB4D74">
        <w:tab/>
      </w:r>
      <w:r w:rsidRPr="00EB4D74">
        <w:fldChar w:fldCharType="begin"/>
      </w:r>
      <w:r w:rsidRPr="00EB4D74">
        <w:instrText xml:space="preserve"> PAGEREF _Toc342914696 \h </w:instrText>
      </w:r>
      <w:r w:rsidRPr="00EB4D74">
        <w:fldChar w:fldCharType="separate"/>
      </w:r>
      <w:r>
        <w:t>22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Configuration Manager 2007 R3 com Tecnologia SQL Server 2008</w:t>
      </w:r>
      <w:r w:rsidRPr="00EB4D74">
        <w:tab/>
      </w:r>
      <w:r w:rsidRPr="00EB4D74">
        <w:fldChar w:fldCharType="begin"/>
      </w:r>
      <w:r w:rsidRPr="00EB4D74">
        <w:instrText xml:space="preserve"> PAGEREF _Toc342914697 \h </w:instrText>
      </w:r>
      <w:r w:rsidRPr="00EB4D74">
        <w:fldChar w:fldCharType="separate"/>
      </w:r>
      <w:r>
        <w:t>22</w:t>
      </w:r>
      <w:r w:rsidRPr="00EB4D74">
        <w:fldChar w:fldCharType="end"/>
      </w:r>
    </w:p>
    <w:p w:rsidR="008B1196" w:rsidRPr="00EB4D74" w:rsidRDefault="008B1196" w:rsidP="008B1196">
      <w:pPr>
        <w:pStyle w:val="TOC2"/>
        <w:rPr>
          <w:rFonts w:cs="Tahoma"/>
          <w:lang w:val="pt-BR"/>
        </w:rPr>
      </w:pPr>
      <w:r w:rsidRPr="00EB4D74">
        <w:rPr>
          <w:rFonts w:cs="Tahoma"/>
          <w:lang w:val="pt-BR"/>
        </w:rPr>
        <w:t>Licença de Gerenciamento de Cliente do System Center Data Protection Manager 2010 por Usuário</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_Toc342914698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Licença de Gerenciamento de Cliente do System Center Data Protection Manager 2010 por OSE</w:t>
      </w:r>
      <w:r w:rsidRPr="00EB4D74">
        <w:rPr>
          <w:rFonts w:cs="Tahoma"/>
          <w:lang w:val="pt-BR"/>
        </w:rPr>
        <w:tab/>
      </w:r>
      <w:r w:rsidRPr="00EB4D74">
        <w:rPr>
          <w:rFonts w:cs="Tahoma"/>
          <w:lang w:val="pt-BR"/>
        </w:rPr>
        <w:fldChar w:fldCharType="begin"/>
      </w:r>
      <w:r w:rsidRPr="00EB4D74">
        <w:rPr>
          <w:rFonts w:cs="Tahoma"/>
          <w:lang w:val="pt-BR"/>
        </w:rPr>
        <w:instrText xml:space="preserve"> PAGEREF _Toc342914699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Licença de Gerenciamento de Servidor Enterprise do System Center Data Protection Manager 2010</w:t>
      </w:r>
      <w:r w:rsidRPr="00EB4D74">
        <w:rPr>
          <w:rFonts w:cs="Tahoma"/>
          <w:lang w:val="pt-BR"/>
        </w:rPr>
        <w:tab/>
      </w:r>
      <w:r w:rsidRPr="00EB4D74">
        <w:rPr>
          <w:rFonts w:cs="Tahoma"/>
          <w:lang w:val="pt-BR"/>
        </w:rPr>
        <w:fldChar w:fldCharType="begin"/>
      </w:r>
      <w:r w:rsidRPr="00EB4D74">
        <w:rPr>
          <w:rFonts w:cs="Tahoma"/>
          <w:lang w:val="pt-BR"/>
        </w:rPr>
        <w:instrText xml:space="preserve"> PAGEREF _Toc342914700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Licença de Gerenciamento de Servidor Standard do System Center Data Protection Manager 2010</w:t>
      </w:r>
      <w:r w:rsidRPr="00EB4D74">
        <w:rPr>
          <w:rFonts w:cs="Tahoma"/>
          <w:lang w:val="pt-BR"/>
        </w:rPr>
        <w:tab/>
      </w:r>
      <w:r w:rsidRPr="00EB4D74">
        <w:rPr>
          <w:rFonts w:cs="Tahoma"/>
          <w:lang w:val="pt-BR"/>
        </w:rPr>
        <w:fldChar w:fldCharType="begin"/>
      </w:r>
      <w:r w:rsidRPr="00EB4D74">
        <w:rPr>
          <w:rFonts w:cs="Tahoma"/>
          <w:lang w:val="pt-BR"/>
        </w:rPr>
        <w:instrText xml:space="preserve"> PAGEREF _Toc342914701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System Center Essentials 2010</w:t>
      </w:r>
      <w:r w:rsidRPr="00EB4D74">
        <w:rPr>
          <w:rFonts w:cs="Tahoma"/>
          <w:lang w:val="pt-BR"/>
        </w:rPr>
        <w:tab/>
      </w:r>
      <w:r w:rsidRPr="00EB4D74">
        <w:rPr>
          <w:rFonts w:cs="Tahoma"/>
          <w:lang w:val="pt-BR"/>
        </w:rPr>
        <w:fldChar w:fldCharType="begin"/>
      </w:r>
      <w:r w:rsidRPr="00EB4D74">
        <w:rPr>
          <w:rFonts w:cs="Tahoma"/>
          <w:lang w:val="pt-BR"/>
        </w:rPr>
        <w:instrText xml:space="preserve"> PAGEREF _Toc342914702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cs="Tahoma"/>
          <w:lang w:val="pt-BR"/>
        </w:rPr>
      </w:pPr>
      <w:r w:rsidRPr="00EB4D74">
        <w:rPr>
          <w:rFonts w:cs="Tahoma"/>
          <w:lang w:val="pt-BR"/>
        </w:rPr>
        <w:t>ML de Cliente do System Center Essentials 2010</w:t>
      </w:r>
      <w:r w:rsidRPr="00EB4D74">
        <w:rPr>
          <w:rFonts w:cs="Tahoma"/>
          <w:lang w:val="pt-BR"/>
        </w:rPr>
        <w:tab/>
      </w:r>
      <w:r w:rsidRPr="00EB4D74">
        <w:rPr>
          <w:rFonts w:cs="Tahoma"/>
          <w:lang w:val="pt-BR"/>
        </w:rPr>
        <w:fldChar w:fldCharType="begin"/>
      </w:r>
      <w:r w:rsidRPr="00EB4D74">
        <w:rPr>
          <w:rFonts w:cs="Tahoma"/>
          <w:lang w:val="pt-BR"/>
        </w:rPr>
        <w:instrText xml:space="preserve"> PAGEREF _Toc342914703 \h </w:instrText>
      </w:r>
      <w:r w:rsidRPr="00EB4D74">
        <w:rPr>
          <w:rFonts w:cs="Tahoma"/>
          <w:lang w:val="pt-BR"/>
        </w:rPr>
      </w:r>
      <w:r w:rsidRPr="00EB4D74">
        <w:rPr>
          <w:rFonts w:cs="Tahoma"/>
          <w:lang w:val="pt-BR"/>
        </w:rPr>
        <w:fldChar w:fldCharType="separate"/>
      </w:r>
      <w:r>
        <w:rPr>
          <w:rFonts w:cs="Tahoma"/>
          <w:lang w:val="pt-BR"/>
        </w:rPr>
        <w:t>22</w:t>
      </w:r>
      <w:r w:rsidRPr="00EB4D74">
        <w:rPr>
          <w:rFonts w:cs="Tahoma"/>
          <w:lang w:val="pt-BR"/>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ML de Servidor do System Center Essentials 2010</w:t>
      </w:r>
      <w:r w:rsidRPr="00EB4D74">
        <w:tab/>
      </w:r>
      <w:r w:rsidRPr="00EB4D74">
        <w:fldChar w:fldCharType="begin"/>
      </w:r>
      <w:r w:rsidRPr="00EB4D74">
        <w:instrText xml:space="preserve"> PAGEREF _Toc342914704 \h </w:instrText>
      </w:r>
      <w:r w:rsidRPr="00EB4D74">
        <w:fldChar w:fldCharType="separate"/>
      </w:r>
      <w:r>
        <w:t>22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Essentials 2010 com Tecnologia SQL Server 2008</w:t>
      </w:r>
      <w:r w:rsidRPr="00EB4D74">
        <w:tab/>
      </w:r>
      <w:r w:rsidRPr="00EB4D74">
        <w:fldChar w:fldCharType="begin"/>
      </w:r>
      <w:r w:rsidRPr="00EB4D74">
        <w:instrText xml:space="preserve"> PAGEREF _Toc342914705 \h </w:instrText>
      </w:r>
      <w:r w:rsidRPr="00EB4D74">
        <w:fldChar w:fldCharType="separate"/>
      </w:r>
      <w:r>
        <w:t>22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Management License Suite do System Center Essentials Plus 2010 Client</w:t>
      </w:r>
      <w:r w:rsidRPr="00EB4D74">
        <w:tab/>
      </w:r>
      <w:r w:rsidRPr="00EB4D74">
        <w:fldChar w:fldCharType="begin"/>
      </w:r>
      <w:r w:rsidRPr="00EB4D74">
        <w:instrText xml:space="preserve"> PAGEREF _Toc342914706 \h </w:instrText>
      </w:r>
      <w:r w:rsidRPr="00EB4D74">
        <w:fldChar w:fldCharType="separate"/>
      </w:r>
      <w:r>
        <w:t>22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Management License Suite do System Center Essentials Plus 2010 Server</w:t>
      </w:r>
      <w:r w:rsidRPr="00EB4D74">
        <w:tab/>
      </w:r>
      <w:r w:rsidRPr="00EB4D74">
        <w:fldChar w:fldCharType="begin"/>
      </w:r>
      <w:r w:rsidRPr="00EB4D74">
        <w:instrText xml:space="preserve"> PAGEREF _Toc342914707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Operations Manager 2007 R2</w:t>
      </w:r>
      <w:r w:rsidRPr="00EB4D74">
        <w:tab/>
      </w:r>
      <w:r w:rsidRPr="00EB4D74">
        <w:fldChar w:fldCharType="begin"/>
      </w:r>
      <w:r w:rsidRPr="00EB4D74">
        <w:instrText xml:space="preserve"> PAGEREF _Toc342914708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Operations Manager 2007 R2 com Tecnologia SQL Server 2008</w:t>
      </w:r>
      <w:r w:rsidRPr="00EB4D74">
        <w:tab/>
      </w:r>
      <w:r w:rsidRPr="00EB4D74">
        <w:fldChar w:fldCharType="begin"/>
      </w:r>
      <w:r w:rsidRPr="00EB4D74">
        <w:instrText xml:space="preserve"> PAGEREF _Toc342914709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Servidor Standard do System Center Operations Manager 2007 R2</w:t>
      </w:r>
      <w:r w:rsidRPr="00EB4D74">
        <w:tab/>
      </w:r>
      <w:r w:rsidRPr="00EB4D74">
        <w:fldChar w:fldCharType="begin"/>
      </w:r>
      <w:r w:rsidRPr="00EB4D74">
        <w:instrText xml:space="preserve"> PAGEREF _Toc342914710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Servidor Enterprise do System Center Operations Manager 2007 R2</w:t>
      </w:r>
      <w:r w:rsidRPr="00EB4D74">
        <w:tab/>
      </w:r>
      <w:r w:rsidRPr="00EB4D74">
        <w:fldChar w:fldCharType="begin"/>
      </w:r>
      <w:r w:rsidRPr="00EB4D74">
        <w:instrText xml:space="preserve"> PAGEREF _Toc342914711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Cliente do System Center Operations Manager 2007 R2 por OSE</w:t>
      </w:r>
      <w:r w:rsidRPr="00EB4D74">
        <w:tab/>
      </w:r>
      <w:r w:rsidRPr="00EB4D74">
        <w:fldChar w:fldCharType="begin"/>
      </w:r>
      <w:r w:rsidRPr="00EB4D74">
        <w:instrText xml:space="preserve"> PAGEREF _Toc342914712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Cliente do System Center Operations Manager 2007 R2 por Usuário</w:t>
      </w:r>
      <w:r w:rsidRPr="00EB4D74">
        <w:tab/>
      </w:r>
      <w:r w:rsidRPr="00EB4D74">
        <w:fldChar w:fldCharType="begin"/>
      </w:r>
      <w:r w:rsidRPr="00EB4D74">
        <w:instrText xml:space="preserve"> PAGEREF _Toc342914713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Reporting Manager 2006</w:t>
      </w:r>
      <w:r w:rsidRPr="00EB4D74">
        <w:tab/>
      </w:r>
      <w:r w:rsidRPr="00EB4D74">
        <w:fldChar w:fldCharType="begin"/>
      </w:r>
      <w:r w:rsidRPr="00EB4D74">
        <w:instrText xml:space="preserve"> PAGEREF _Toc342914714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Server Management Suite Enterprise</w:t>
      </w:r>
      <w:r w:rsidRPr="00EB4D74">
        <w:tab/>
      </w:r>
      <w:r w:rsidRPr="00EB4D74">
        <w:fldChar w:fldCharType="begin"/>
      </w:r>
      <w:r w:rsidRPr="00EB4D74">
        <w:instrText xml:space="preserve"> PAGEREF _Toc342914715 \h </w:instrText>
      </w:r>
      <w:r w:rsidRPr="00EB4D74">
        <w:fldChar w:fldCharType="separate"/>
      </w:r>
      <w:r>
        <w:t>23</w:t>
      </w:r>
      <w:r w:rsidRPr="00EB4D74">
        <w:fldChar w:fldCharType="end"/>
      </w:r>
    </w:p>
    <w:p w:rsidR="008B1196" w:rsidRPr="00EB4D74" w:rsidRDefault="008B1196" w:rsidP="008B1196">
      <w:pPr>
        <w:pStyle w:val="TOC4"/>
        <w:rPr>
          <w:rFonts w:asciiTheme="minorHAnsi" w:eastAsiaTheme="minorEastAsia" w:hAnsiTheme="minorHAnsi" w:cstheme="minorBidi"/>
          <w:noProof/>
          <w:sz w:val="22"/>
          <w:szCs w:val="22"/>
        </w:rPr>
      </w:pPr>
      <w:r w:rsidRPr="00EB4D74">
        <w:rPr>
          <w:rFonts w:cs="Tahoma"/>
          <w:noProof/>
          <w:lang w:val="pt-BR"/>
        </w:rPr>
        <w:t>System Center Server Management Suite Datacenter</w:t>
      </w:r>
      <w:r w:rsidRPr="00EB4D74">
        <w:rPr>
          <w:noProof/>
        </w:rPr>
        <w:tab/>
      </w:r>
      <w:r w:rsidRPr="00EB4D74">
        <w:rPr>
          <w:noProof/>
        </w:rPr>
        <w:fldChar w:fldCharType="begin"/>
      </w:r>
      <w:r w:rsidRPr="00EB4D74">
        <w:rPr>
          <w:noProof/>
        </w:rPr>
        <w:instrText xml:space="preserve"> PAGEREF _Toc342914716 \h </w:instrText>
      </w:r>
      <w:r w:rsidRPr="00EB4D74">
        <w:rPr>
          <w:noProof/>
        </w:rPr>
      </w:r>
      <w:r w:rsidRPr="00EB4D74">
        <w:rPr>
          <w:noProof/>
        </w:rPr>
        <w:fldChar w:fldCharType="separate"/>
      </w:r>
      <w:r>
        <w:rPr>
          <w:noProof/>
        </w:rPr>
        <w:t>23</w:t>
      </w:r>
      <w:r w:rsidRPr="00EB4D74">
        <w:rPr>
          <w:noProof/>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System Center Service Manager 2010</w:t>
      </w:r>
      <w:r w:rsidRPr="00EB4D74">
        <w:rPr>
          <w:color w:val="auto"/>
        </w:rPr>
        <w:tab/>
      </w:r>
      <w:r w:rsidRPr="00EB4D74">
        <w:rPr>
          <w:color w:val="auto"/>
        </w:rPr>
        <w:fldChar w:fldCharType="begin"/>
      </w:r>
      <w:r w:rsidRPr="00EB4D74">
        <w:rPr>
          <w:color w:val="auto"/>
        </w:rPr>
        <w:instrText xml:space="preserve"> PAGEREF _Toc342914717 \h </w:instrText>
      </w:r>
      <w:r w:rsidRPr="00EB4D74">
        <w:rPr>
          <w:color w:val="auto"/>
        </w:rPr>
      </w:r>
      <w:r w:rsidRPr="00EB4D74">
        <w:rPr>
          <w:color w:val="auto"/>
        </w:rPr>
        <w:fldChar w:fldCharType="separate"/>
      </w:r>
      <w:r>
        <w:rPr>
          <w:color w:val="auto"/>
        </w:rPr>
        <w:t>23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System Center Service Manager 2010 com Tecnologia SQL Server 2008</w:t>
      </w:r>
      <w:r w:rsidRPr="00EB4D74">
        <w:rPr>
          <w:color w:val="auto"/>
        </w:rPr>
        <w:tab/>
      </w:r>
      <w:r w:rsidRPr="00EB4D74">
        <w:rPr>
          <w:color w:val="auto"/>
        </w:rPr>
        <w:fldChar w:fldCharType="begin"/>
      </w:r>
      <w:r w:rsidRPr="00EB4D74">
        <w:rPr>
          <w:color w:val="auto"/>
        </w:rPr>
        <w:instrText xml:space="preserve"> PAGEREF _Toc342914718 \h </w:instrText>
      </w:r>
      <w:r w:rsidRPr="00EB4D74">
        <w:rPr>
          <w:color w:val="auto"/>
        </w:rPr>
      </w:r>
      <w:r w:rsidRPr="00EB4D74">
        <w:rPr>
          <w:color w:val="auto"/>
        </w:rPr>
        <w:fldChar w:fldCharType="separate"/>
      </w:r>
      <w:r>
        <w:rPr>
          <w:color w:val="auto"/>
        </w:rPr>
        <w:t>23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Licença de Gerenciamento de Cliente (ML de Cliente) do System Center Service Manager 2010 por OSE</w:t>
      </w:r>
      <w:r w:rsidRPr="00EB4D74">
        <w:rPr>
          <w:color w:val="auto"/>
        </w:rPr>
        <w:tab/>
      </w:r>
      <w:r w:rsidRPr="00EB4D74">
        <w:rPr>
          <w:color w:val="auto"/>
        </w:rPr>
        <w:fldChar w:fldCharType="begin"/>
      </w:r>
      <w:r w:rsidRPr="00EB4D74">
        <w:rPr>
          <w:color w:val="auto"/>
        </w:rPr>
        <w:instrText xml:space="preserve"> PAGEREF _Toc342914719 \h </w:instrText>
      </w:r>
      <w:r w:rsidRPr="00EB4D74">
        <w:rPr>
          <w:color w:val="auto"/>
        </w:rPr>
      </w:r>
      <w:r w:rsidRPr="00EB4D74">
        <w:rPr>
          <w:color w:val="auto"/>
        </w:rPr>
        <w:fldChar w:fldCharType="separate"/>
      </w:r>
      <w:r>
        <w:rPr>
          <w:color w:val="auto"/>
        </w:rPr>
        <w:t>23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Licença de Gerenciamento de Cliente (ML de Cliente) do System Center Service Manager 2010 por Usuário</w:t>
      </w:r>
      <w:r w:rsidRPr="00EB4D74">
        <w:rPr>
          <w:color w:val="auto"/>
        </w:rPr>
        <w:tab/>
      </w:r>
      <w:r w:rsidRPr="00EB4D74">
        <w:rPr>
          <w:color w:val="auto"/>
        </w:rPr>
        <w:fldChar w:fldCharType="begin"/>
      </w:r>
      <w:r w:rsidRPr="00EB4D74">
        <w:rPr>
          <w:color w:val="auto"/>
        </w:rPr>
        <w:instrText xml:space="preserve"> PAGEREF _Toc342914720 \h </w:instrText>
      </w:r>
      <w:r w:rsidRPr="00EB4D74">
        <w:rPr>
          <w:color w:val="auto"/>
        </w:rPr>
      </w:r>
      <w:r w:rsidRPr="00EB4D74">
        <w:rPr>
          <w:color w:val="auto"/>
        </w:rPr>
        <w:fldChar w:fldCharType="separate"/>
      </w:r>
      <w:r>
        <w:rPr>
          <w:color w:val="auto"/>
        </w:rPr>
        <w:t>23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Licença de Gerenciamento de Servidor (ML de Servidor) do System Center Service Manager 2010 por OSE</w:t>
      </w:r>
      <w:r w:rsidRPr="00EB4D74">
        <w:rPr>
          <w:color w:val="auto"/>
        </w:rPr>
        <w:tab/>
      </w:r>
      <w:r w:rsidRPr="00EB4D74">
        <w:rPr>
          <w:color w:val="auto"/>
        </w:rPr>
        <w:fldChar w:fldCharType="begin"/>
      </w:r>
      <w:r w:rsidRPr="00EB4D74">
        <w:rPr>
          <w:color w:val="auto"/>
        </w:rPr>
        <w:instrText xml:space="preserve"> PAGEREF _Toc342914721 \h </w:instrText>
      </w:r>
      <w:r w:rsidRPr="00EB4D74">
        <w:rPr>
          <w:color w:val="auto"/>
        </w:rPr>
      </w:r>
      <w:r w:rsidRPr="00EB4D74">
        <w:rPr>
          <w:color w:val="auto"/>
        </w:rPr>
        <w:fldChar w:fldCharType="separate"/>
      </w:r>
      <w:r>
        <w:rPr>
          <w:color w:val="auto"/>
        </w:rPr>
        <w:t>23</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Cliente do System Center Virtual Machine Manager 2008 R2 por OSE</w:t>
      </w:r>
      <w:r w:rsidRPr="00EB4D74">
        <w:tab/>
      </w:r>
      <w:r w:rsidRPr="00EB4D74">
        <w:fldChar w:fldCharType="begin"/>
      </w:r>
      <w:r w:rsidRPr="00EB4D74">
        <w:instrText xml:space="preserve"> PAGEREF _Toc342914722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Cliente do System Center Virtual Machine Manager 2008 R2 por Usuário</w:t>
      </w:r>
      <w:r w:rsidRPr="00EB4D74">
        <w:tab/>
      </w:r>
      <w:r w:rsidRPr="00EB4D74">
        <w:fldChar w:fldCharType="begin"/>
      </w:r>
      <w:r w:rsidRPr="00EB4D74">
        <w:instrText xml:space="preserve"> PAGEREF _Toc342914723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Servidor Enterprise do System Center Virtual Machine Manager 2008 R2</w:t>
      </w:r>
      <w:r w:rsidRPr="00EB4D74">
        <w:tab/>
      </w:r>
      <w:r w:rsidRPr="00EB4D74">
        <w:fldChar w:fldCharType="begin"/>
      </w:r>
      <w:r w:rsidRPr="00EB4D74">
        <w:instrText xml:space="preserve"> PAGEREF _Toc342914724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Virtual Machine Manager 2008 R2 Workgroup Edition</w:t>
      </w:r>
      <w:r w:rsidRPr="00EB4D74">
        <w:tab/>
      </w:r>
      <w:r w:rsidRPr="00EB4D74">
        <w:fldChar w:fldCharType="begin"/>
      </w:r>
      <w:r w:rsidRPr="00EB4D74">
        <w:instrText xml:space="preserve"> PAGEREF _Toc342914725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lastRenderedPageBreak/>
        <w:t>System Center 2012 Client Management Suite (ML de Cliente) por OSE</w:t>
      </w:r>
      <w:r w:rsidRPr="00EB4D74">
        <w:tab/>
      </w:r>
      <w:r w:rsidRPr="00EB4D74">
        <w:fldChar w:fldCharType="begin"/>
      </w:r>
      <w:r w:rsidRPr="00EB4D74">
        <w:instrText xml:space="preserve"> PAGEREF _Toc342914726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2012 Client Management Suite (ML de Cliente) por Usuário</w:t>
      </w:r>
      <w:r w:rsidRPr="00EB4D74">
        <w:tab/>
      </w:r>
      <w:r w:rsidRPr="00EB4D74">
        <w:fldChar w:fldCharType="begin"/>
      </w:r>
      <w:r w:rsidRPr="00EB4D74">
        <w:instrText xml:space="preserve"> PAGEREF _Toc342914727 \h </w:instrText>
      </w:r>
      <w:r w:rsidRPr="00EB4D74">
        <w:fldChar w:fldCharType="separate"/>
      </w:r>
      <w: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Licença de Gerenciamento de Cliente (ML de Cliente) do System Center 2012 Configuration Manager (Somente para Aluno)</w:t>
      </w:r>
      <w:r w:rsidRPr="00EB4D74">
        <w:rPr>
          <w:lang w:val="it-IT"/>
        </w:rPr>
        <w:tab/>
      </w:r>
      <w:r w:rsidRPr="00EB4D74">
        <w:fldChar w:fldCharType="begin"/>
      </w:r>
      <w:r w:rsidRPr="00EB4D74">
        <w:rPr>
          <w:lang w:val="it-IT"/>
        </w:rPr>
        <w:instrText xml:space="preserve"> PAGEREF _Toc342914728 \h </w:instrText>
      </w:r>
      <w:r w:rsidRPr="00EB4D74">
        <w:fldChar w:fldCharType="separate"/>
      </w:r>
      <w:r>
        <w:rPr>
          <w:lang w:val="it-IT"/>
        </w:rP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Licença de Gerenciamento de Cliente do System Center 2012 Configuration Manager por OSE</w:t>
      </w:r>
      <w:r w:rsidRPr="00EB4D74">
        <w:rPr>
          <w:lang w:val="it-IT"/>
        </w:rPr>
        <w:tab/>
      </w:r>
      <w:r w:rsidRPr="00EB4D74">
        <w:fldChar w:fldCharType="begin"/>
      </w:r>
      <w:r w:rsidRPr="00EB4D74">
        <w:rPr>
          <w:lang w:val="it-IT"/>
        </w:rPr>
        <w:instrText xml:space="preserve"> PAGEREF _Toc342914729 \h </w:instrText>
      </w:r>
      <w:r w:rsidRPr="00EB4D74">
        <w:fldChar w:fldCharType="separate"/>
      </w:r>
      <w:r>
        <w:rPr>
          <w:lang w:val="it-IT"/>
        </w:rPr>
        <w:t>23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Licença de Gerenciamento de Cliente do System Center 2012 Configuration Manager por Usuário</w:t>
      </w:r>
      <w:r w:rsidRPr="00EB4D74">
        <w:rPr>
          <w:lang w:val="it-IT"/>
        </w:rPr>
        <w:tab/>
      </w:r>
      <w:r w:rsidRPr="00EB4D74">
        <w:fldChar w:fldCharType="begin"/>
      </w:r>
      <w:r w:rsidRPr="00EB4D74">
        <w:rPr>
          <w:lang w:val="it-IT"/>
        </w:rPr>
        <w:instrText xml:space="preserve"> PAGEREF _Toc342914730 \h </w:instrText>
      </w:r>
      <w:r w:rsidRPr="00EB4D74">
        <w:fldChar w:fldCharType="separate"/>
      </w:r>
      <w:r>
        <w:rPr>
          <w:lang w:val="it-IT"/>
        </w:rP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do System Center 2012 Datacenter Server (2 processadores)</w:t>
      </w:r>
      <w:r w:rsidRPr="00EB4D74">
        <w:tab/>
      </w:r>
      <w:r w:rsidRPr="00EB4D74">
        <w:fldChar w:fldCharType="begin"/>
      </w:r>
      <w:r w:rsidRPr="00EB4D74">
        <w:instrText xml:space="preserve"> PAGEREF _Toc342914731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System Center 2012 Endpoint Protection</w:t>
      </w:r>
      <w:r w:rsidRPr="00EB4D74">
        <w:tab/>
      </w:r>
      <w:r w:rsidRPr="00EB4D74">
        <w:fldChar w:fldCharType="begin"/>
      </w:r>
      <w:r w:rsidRPr="00EB4D74">
        <w:instrText xml:space="preserve"> PAGEREF _Toc342914732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do System Center 2012 Standard Server (2 processadores)</w:t>
      </w:r>
      <w:r w:rsidRPr="00EB4D74">
        <w:tab/>
      </w:r>
      <w:r w:rsidRPr="00EB4D74">
        <w:fldChar w:fldCharType="begin"/>
      </w:r>
      <w:r w:rsidRPr="00EB4D74">
        <w:instrText xml:space="preserve"> PAGEREF _Toc342914733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TechNet Plus Single User</w:t>
      </w:r>
      <w:r w:rsidRPr="00EB4D74">
        <w:tab/>
      </w:r>
      <w:r w:rsidRPr="00EB4D74">
        <w:fldChar w:fldCharType="begin"/>
      </w:r>
      <w:r w:rsidRPr="00EB4D74">
        <w:instrText xml:space="preserve"> PAGEREF _Toc342914734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VDI Suite</w:t>
      </w:r>
      <w:r w:rsidRPr="00EB4D74">
        <w:tab/>
      </w:r>
      <w:r w:rsidRPr="00EB4D74">
        <w:fldChar w:fldCharType="begin"/>
      </w:r>
      <w:r w:rsidRPr="00EB4D74">
        <w:instrText xml:space="preserve"> PAGEREF _Toc342914735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VDI Suite com MDOP</w:t>
      </w:r>
      <w:r w:rsidRPr="00EB4D74">
        <w:tab/>
      </w:r>
      <w:r w:rsidRPr="00EB4D74">
        <w:fldChar w:fldCharType="begin"/>
      </w:r>
      <w:r w:rsidRPr="00EB4D74">
        <w:instrText xml:space="preserve"> PAGEREF _Toc342914736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VDI Standard Suite</w:t>
      </w:r>
      <w:r w:rsidRPr="00EB4D74">
        <w:tab/>
      </w:r>
      <w:r w:rsidRPr="00EB4D74">
        <w:fldChar w:fldCharType="begin"/>
      </w:r>
      <w:r w:rsidRPr="00EB4D74">
        <w:instrText xml:space="preserve"> PAGEREF _Toc342914737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VDI Standard Suite com MDOP</w:t>
      </w:r>
      <w:r w:rsidRPr="00EB4D74">
        <w:tab/>
      </w:r>
      <w:r w:rsidRPr="00EB4D74">
        <w:fldChar w:fldCharType="begin"/>
      </w:r>
      <w:r w:rsidRPr="00EB4D74">
        <w:instrText xml:space="preserve"> PAGEREF _Toc342914738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VDI Premium Suite</w:t>
      </w:r>
      <w:r w:rsidRPr="00EB4D74">
        <w:tab/>
      </w:r>
      <w:r w:rsidRPr="00EB4D74">
        <w:fldChar w:fldCharType="begin"/>
      </w:r>
      <w:r w:rsidRPr="00EB4D74">
        <w:instrText xml:space="preserve"> PAGEREF _Toc342914739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VDI Premium Suite com MDOP</w:t>
      </w:r>
      <w:r w:rsidRPr="00EB4D74">
        <w:tab/>
      </w:r>
      <w:r w:rsidRPr="00EB4D74">
        <w:fldChar w:fldCharType="begin"/>
      </w:r>
      <w:r w:rsidRPr="00EB4D74">
        <w:instrText xml:space="preserve"> PAGEREF _Toc342914740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Virtual Server 2005 R2 Enterprise Edition</w:t>
      </w:r>
      <w:r w:rsidRPr="00EB4D74">
        <w:tab/>
      </w:r>
      <w:r w:rsidRPr="00EB4D74">
        <w:fldChar w:fldCharType="begin"/>
      </w:r>
      <w:r w:rsidRPr="00EB4D74">
        <w:instrText xml:space="preserve"> PAGEREF _Toc342914741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Visual Studio</w:t>
      </w:r>
      <w:r w:rsidRPr="00EB4D74">
        <w:rPr>
          <w:rFonts w:cs="Tahoma"/>
          <w:vertAlign w:val="superscript"/>
          <w:lang w:val="pt-BR"/>
        </w:rPr>
        <w:t>®</w:t>
      </w:r>
      <w:r w:rsidRPr="00EB4D74">
        <w:rPr>
          <w:rFonts w:cs="Tahoma"/>
          <w:lang w:val="pt-BR"/>
        </w:rPr>
        <w:t xml:space="preserve"> Team Foundation Server 2012 com Tecnologia SQL Server 2012</w:t>
      </w:r>
      <w:r w:rsidRPr="00EB4D74">
        <w:tab/>
      </w:r>
      <w:r w:rsidRPr="00EB4D74">
        <w:fldChar w:fldCharType="begin"/>
      </w:r>
      <w:r w:rsidRPr="00EB4D74">
        <w:instrText xml:space="preserve"> PAGEREF _Toc342914742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Dispositivo do Visual Studio</w:t>
      </w:r>
      <w:r w:rsidRPr="00EB4D74">
        <w:rPr>
          <w:rFonts w:cs="Tahoma"/>
          <w:vertAlign w:val="superscript"/>
          <w:lang w:val="pt-BR"/>
        </w:rPr>
        <w:t>®</w:t>
      </w:r>
      <w:r w:rsidRPr="00EB4D74">
        <w:rPr>
          <w:rFonts w:cs="Tahoma"/>
          <w:lang w:val="pt-BR"/>
        </w:rPr>
        <w:t xml:space="preserve"> Team Foundation Server 2012</w:t>
      </w:r>
      <w:r w:rsidRPr="00EB4D74">
        <w:tab/>
      </w:r>
      <w:r w:rsidRPr="00EB4D74">
        <w:fldChar w:fldCharType="begin"/>
      </w:r>
      <w:r w:rsidRPr="00EB4D74">
        <w:instrText xml:space="preserve"> PAGEREF _Toc342914743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Usuário do Visual Studio</w:t>
      </w:r>
      <w:r w:rsidRPr="00EB4D74">
        <w:rPr>
          <w:rFonts w:cs="Tahoma"/>
          <w:vertAlign w:val="superscript"/>
          <w:lang w:val="pt-BR"/>
        </w:rPr>
        <w:t>®</w:t>
      </w:r>
      <w:r w:rsidRPr="00EB4D74">
        <w:rPr>
          <w:rFonts w:cs="Tahoma"/>
          <w:lang w:val="pt-BR"/>
        </w:rPr>
        <w:t xml:space="preserve"> Team Foundation Server 2012</w:t>
      </w:r>
      <w:r w:rsidRPr="00EB4D74">
        <w:tab/>
      </w:r>
      <w:r w:rsidRPr="00EB4D74">
        <w:fldChar w:fldCharType="begin"/>
      </w:r>
      <w:r w:rsidRPr="00EB4D74">
        <w:instrText xml:space="preserve"> PAGEREF _Toc342914744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External Connector do Visual Studio</w:t>
      </w:r>
      <w:r w:rsidRPr="00EB4D74">
        <w:rPr>
          <w:rFonts w:cs="Tahoma"/>
          <w:vertAlign w:val="superscript"/>
          <w:lang w:val="pt-BR"/>
        </w:rPr>
        <w:t>®</w:t>
      </w:r>
      <w:r w:rsidRPr="00EB4D74">
        <w:rPr>
          <w:rFonts w:cs="Tahoma"/>
          <w:lang w:val="pt-BR"/>
        </w:rPr>
        <w:t xml:space="preserve"> Team Foundation Server 2012</w:t>
      </w:r>
      <w:r w:rsidRPr="00EB4D74">
        <w:tab/>
      </w:r>
      <w:r w:rsidRPr="00EB4D74">
        <w:fldChar w:fldCharType="begin"/>
      </w:r>
      <w:r w:rsidRPr="00EB4D74">
        <w:instrText xml:space="preserve"> PAGEREF _Toc342914745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 xml:space="preserve">Assinatura do Web Antimalware para Forefront Threat Management Gateway Medium </w:t>
      </w:r>
      <w:r w:rsidRPr="00EB4D74">
        <w:rPr>
          <w:rFonts w:cs="Tahoma"/>
          <w:lang w:val="pt-BR"/>
        </w:rPr>
        <w:br/>
        <w:t>Business Edition (Dispositivo e Usuário)</w:t>
      </w:r>
      <w:r w:rsidRPr="00EB4D74">
        <w:tab/>
      </w:r>
      <w:r w:rsidRPr="00EB4D74">
        <w:fldChar w:fldCharType="begin"/>
      </w:r>
      <w:r w:rsidRPr="00EB4D74">
        <w:instrText xml:space="preserve"> PAGEREF _Toc342914746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Serviços do Windows Azure</w:t>
      </w:r>
      <w:r w:rsidRPr="00EB4D74">
        <w:tab/>
      </w:r>
      <w:r w:rsidRPr="00EB4D74">
        <w:fldChar w:fldCharType="begin"/>
      </w:r>
      <w:r w:rsidRPr="00EB4D74">
        <w:instrText xml:space="preserve"> PAGEREF _Toc342914747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w:t>
      </w:r>
      <w:r w:rsidRPr="00EB4D74">
        <w:rPr>
          <w:rFonts w:cs="Tahoma"/>
          <w:vertAlign w:val="superscript"/>
          <w:lang w:val="pt-BR"/>
        </w:rPr>
        <w:t>®</w:t>
      </w:r>
      <w:r w:rsidRPr="00EB4D74">
        <w:rPr>
          <w:rFonts w:cs="Tahoma"/>
          <w:lang w:val="pt-BR"/>
        </w:rPr>
        <w:t xml:space="preserve"> Embedded Device Manager 2011</w:t>
      </w:r>
      <w:r w:rsidRPr="00EB4D74">
        <w:tab/>
      </w:r>
      <w:r w:rsidRPr="00EB4D74">
        <w:fldChar w:fldCharType="begin"/>
      </w:r>
      <w:r w:rsidRPr="00EB4D74">
        <w:instrText xml:space="preserve"> PAGEREF _Toc342914748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Cliente do Windows</w:t>
      </w:r>
      <w:r w:rsidRPr="00EB4D74">
        <w:rPr>
          <w:rFonts w:cs="Tahoma"/>
          <w:vertAlign w:val="superscript"/>
          <w:lang w:val="pt-BR"/>
        </w:rPr>
        <w:t>®</w:t>
      </w:r>
      <w:r w:rsidRPr="00EB4D74">
        <w:rPr>
          <w:rFonts w:cs="Tahoma"/>
          <w:lang w:val="pt-BR"/>
        </w:rPr>
        <w:t xml:space="preserve"> Embedded Device Manager 2011 por OSE</w:t>
      </w:r>
      <w:r w:rsidRPr="00EB4D74">
        <w:tab/>
      </w:r>
      <w:r w:rsidRPr="00EB4D74">
        <w:fldChar w:fldCharType="begin"/>
      </w:r>
      <w:r w:rsidRPr="00EB4D74">
        <w:instrText xml:space="preserve"> PAGEREF _Toc342914749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de Gerenciamento de Cliente do Windows</w:t>
      </w:r>
      <w:r w:rsidRPr="00EB4D74">
        <w:rPr>
          <w:rFonts w:cs="Tahoma"/>
          <w:vertAlign w:val="superscript"/>
          <w:lang w:val="pt-BR"/>
        </w:rPr>
        <w:t>®</w:t>
      </w:r>
      <w:r w:rsidRPr="00EB4D74">
        <w:rPr>
          <w:rFonts w:cs="Tahoma"/>
          <w:lang w:val="pt-BR"/>
        </w:rPr>
        <w:t xml:space="preserve"> Embedded Device Manager 2011 por Usuário</w:t>
      </w:r>
      <w:r w:rsidRPr="00EB4D74">
        <w:tab/>
      </w:r>
      <w:r w:rsidRPr="00EB4D74">
        <w:fldChar w:fldCharType="begin"/>
      </w:r>
      <w:r w:rsidRPr="00EB4D74">
        <w:instrText xml:space="preserve"> PAGEREF _Toc342914750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w:t>
      </w:r>
      <w:r w:rsidRPr="00EB4D74">
        <w:rPr>
          <w:rFonts w:cs="Tahoma"/>
          <w:vertAlign w:val="superscript"/>
          <w:lang w:val="pt-BR"/>
        </w:rPr>
        <w:t>®</w:t>
      </w:r>
      <w:r w:rsidRPr="00EB4D74">
        <w:rPr>
          <w:rFonts w:cs="Tahoma"/>
          <w:lang w:val="pt-BR"/>
        </w:rPr>
        <w:t xml:space="preserve"> Embedded Device Manager 2011 com Tecnologia SQL Server</w:t>
      </w:r>
      <w:r w:rsidRPr="00EB4D74">
        <w:rPr>
          <w:rFonts w:cs="Tahoma"/>
          <w:vertAlign w:val="superscript"/>
          <w:lang w:val="pt-BR"/>
        </w:rPr>
        <w:t>®</w:t>
      </w:r>
      <w:r w:rsidRPr="00EB4D74">
        <w:rPr>
          <w:rFonts w:cs="Tahoma"/>
          <w:lang w:val="pt-BR"/>
        </w:rPr>
        <w:t xml:space="preserve"> 2008</w:t>
      </w:r>
      <w:r w:rsidRPr="00EB4D74">
        <w:tab/>
      </w:r>
      <w:r w:rsidRPr="00EB4D74">
        <w:fldChar w:fldCharType="begin"/>
      </w:r>
      <w:r w:rsidRPr="00EB4D74">
        <w:instrText xml:space="preserve"> PAGEREF _Toc342914751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Standard</w:t>
      </w:r>
      <w:r w:rsidRPr="00EB4D74">
        <w:tab/>
      </w:r>
      <w:r w:rsidRPr="00EB4D74">
        <w:fldChar w:fldCharType="begin"/>
      </w:r>
      <w:r w:rsidRPr="00EB4D74">
        <w:instrText xml:space="preserve"> PAGEREF _Toc342914752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w:t>
      </w:r>
      <w:r w:rsidRPr="00EB4D74">
        <w:tab/>
      </w:r>
      <w:r w:rsidRPr="00EB4D74">
        <w:fldChar w:fldCharType="begin"/>
      </w:r>
      <w:r w:rsidRPr="00EB4D74">
        <w:instrText xml:space="preserve"> PAGEREF _Toc342914753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(5 clientes)</w:t>
      </w:r>
      <w:r w:rsidRPr="00EB4D74">
        <w:tab/>
      </w:r>
      <w:r w:rsidRPr="00EB4D74">
        <w:fldChar w:fldCharType="begin"/>
      </w:r>
      <w:r w:rsidRPr="00EB4D74">
        <w:instrText xml:space="preserve"> PAGEREF _Toc342914754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(20 clientes)</w:t>
      </w:r>
      <w:r w:rsidRPr="00EB4D74">
        <w:tab/>
      </w:r>
      <w:r w:rsidRPr="00EB4D74">
        <w:fldChar w:fldCharType="begin"/>
      </w:r>
      <w:r w:rsidRPr="00EB4D74">
        <w:instrText xml:space="preserve"> PAGEREF _Toc342914755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(50 clientes)</w:t>
      </w:r>
      <w:r w:rsidRPr="00EB4D74">
        <w:tab/>
      </w:r>
      <w:r w:rsidRPr="00EB4D74">
        <w:fldChar w:fldCharType="begin"/>
      </w:r>
      <w:r w:rsidRPr="00EB4D74">
        <w:instrText xml:space="preserve"> PAGEREF _Toc342914756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Premium</w:t>
      </w:r>
      <w:r w:rsidRPr="00EB4D74">
        <w:tab/>
      </w:r>
      <w:r w:rsidRPr="00EB4D74">
        <w:fldChar w:fldCharType="begin"/>
      </w:r>
      <w:r w:rsidRPr="00EB4D74">
        <w:instrText xml:space="preserve"> PAGEREF _Toc342914757 \h </w:instrText>
      </w:r>
      <w:r w:rsidRPr="00EB4D74">
        <w:fldChar w:fldCharType="separate"/>
      </w:r>
      <w:r>
        <w:t>24</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para Usuários ou Dispositivos Premium</w:t>
      </w:r>
      <w:r w:rsidRPr="00EB4D74">
        <w:tab/>
      </w:r>
      <w:r w:rsidRPr="00EB4D74">
        <w:fldChar w:fldCharType="begin"/>
      </w:r>
      <w:r w:rsidRPr="00EB4D74">
        <w:instrText xml:space="preserve"> PAGEREF _Toc342914758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para Usuários ou Dispositivos Premium (5 clientes)</w:t>
      </w:r>
      <w:r w:rsidRPr="00EB4D74">
        <w:tab/>
      </w:r>
      <w:r w:rsidRPr="00EB4D74">
        <w:fldChar w:fldCharType="begin"/>
      </w:r>
      <w:r w:rsidRPr="00EB4D74">
        <w:instrText xml:space="preserve"> PAGEREF _Toc342914759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para Usuários ou Dispositivos Premium (20 clientes)</w:t>
      </w:r>
      <w:r w:rsidRPr="00EB4D74">
        <w:tab/>
      </w:r>
      <w:r w:rsidRPr="00EB4D74">
        <w:fldChar w:fldCharType="begin"/>
      </w:r>
      <w:r w:rsidRPr="00EB4D74">
        <w:instrText xml:space="preserve"> PAGEREF _Toc342914760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Essential Business Server 2008 CAL Suite para Usuários ou Dispositivos Premium (50 clientes)</w:t>
      </w:r>
      <w:r w:rsidRPr="00EB4D74">
        <w:tab/>
      </w:r>
      <w:r w:rsidRPr="00EB4D74">
        <w:fldChar w:fldCharType="begin"/>
      </w:r>
      <w:r w:rsidRPr="00EB4D74">
        <w:instrText xml:space="preserve"> PAGEREF _Toc342914761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HPC Server 2008 R2 Suite</w:t>
      </w:r>
      <w:r w:rsidRPr="00EB4D74">
        <w:tab/>
      </w:r>
      <w:r w:rsidRPr="00EB4D74">
        <w:fldChar w:fldCharType="begin"/>
      </w:r>
      <w:r w:rsidRPr="00EB4D74">
        <w:instrText xml:space="preserve"> PAGEREF _Toc342914762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Complemento do Windows Intune (por Dispositivo)</w:t>
      </w:r>
      <w:r w:rsidRPr="00EB4D74">
        <w:tab/>
      </w:r>
      <w:r w:rsidRPr="00EB4D74">
        <w:fldChar w:fldCharType="begin"/>
      </w:r>
      <w:r w:rsidRPr="00EB4D74">
        <w:instrText xml:space="preserve"> PAGEREF _Toc342914763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Intune (por Dispositivo)</w:t>
      </w:r>
      <w:r w:rsidRPr="00EB4D74">
        <w:tab/>
      </w:r>
      <w:r w:rsidRPr="00EB4D74">
        <w:fldChar w:fldCharType="begin"/>
      </w:r>
      <w:r w:rsidRPr="00EB4D74">
        <w:instrText xml:space="preserve"> PAGEREF _Toc342914764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 xml:space="preserve">Complemento do Windows Intune para System Center Configuration Manager e System Center </w:t>
      </w:r>
      <w:r w:rsidRPr="00EB4D74">
        <w:rPr>
          <w:rFonts w:cs="Tahoma"/>
          <w:lang w:val="pt-BR"/>
        </w:rPr>
        <w:br/>
        <w:t>Endppoint Protection (por usuário)</w:t>
      </w:r>
      <w:r w:rsidRPr="00EB4D74">
        <w:tab/>
      </w:r>
      <w:r w:rsidRPr="00EB4D74">
        <w:fldChar w:fldCharType="begin"/>
      </w:r>
      <w:r w:rsidRPr="00EB4D74">
        <w:instrText xml:space="preserve"> PAGEREF _Toc342914765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Intune (por usuário)</w:t>
      </w:r>
      <w:r w:rsidRPr="00EB4D74">
        <w:tab/>
      </w:r>
      <w:r w:rsidRPr="00EB4D74">
        <w:fldChar w:fldCharType="begin"/>
      </w:r>
      <w:r w:rsidRPr="00EB4D74">
        <w:instrText xml:space="preserve"> PAGEREF _Toc342914766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Armazenamento Extra de 1 GB do Windows Intune</w:t>
      </w:r>
      <w:r w:rsidRPr="00EB4D74">
        <w:tab/>
      </w:r>
      <w:r w:rsidRPr="00EB4D74">
        <w:fldChar w:fldCharType="begin"/>
      </w:r>
      <w:r w:rsidRPr="00EB4D74">
        <w:instrText xml:space="preserve"> PAGEREF _Toc342914767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SL do Usuário do Windows Intune</w:t>
      </w:r>
      <w:r w:rsidRPr="00EB4D74">
        <w:tab/>
      </w:r>
      <w:r w:rsidRPr="00EB4D74">
        <w:fldChar w:fldCharType="begin"/>
      </w:r>
      <w:r w:rsidRPr="00EB4D74">
        <w:instrText xml:space="preserve"> PAGEREF _Toc342914768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Complemento da SL do Usuário do Windows Intune</w:t>
      </w:r>
      <w:r w:rsidRPr="00EB4D74">
        <w:tab/>
      </w:r>
      <w:r w:rsidRPr="00EB4D74">
        <w:fldChar w:fldCharType="begin"/>
      </w:r>
      <w:r w:rsidRPr="00EB4D74">
        <w:instrText xml:space="preserve"> PAGEREF _Toc342914769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Armazenamento Extra de 1 GB de SL do Usuário do Windows Intune</w:t>
      </w:r>
      <w:r w:rsidRPr="00EB4D74">
        <w:tab/>
      </w:r>
      <w:r w:rsidRPr="00EB4D74">
        <w:fldChar w:fldCharType="begin"/>
      </w:r>
      <w:r w:rsidRPr="00EB4D74">
        <w:instrText xml:space="preserve"> PAGEREF _Toc342914770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MultiPoint Server 2012 Standard</w:t>
      </w:r>
      <w:r w:rsidRPr="00EB4D74">
        <w:tab/>
      </w:r>
      <w:r w:rsidRPr="00EB4D74">
        <w:fldChar w:fldCharType="begin"/>
      </w:r>
      <w:r w:rsidRPr="00EB4D74">
        <w:instrText xml:space="preserve"> PAGEREF _Toc342914771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MultiPoint Server 2012 Premium</w:t>
      </w:r>
      <w:r w:rsidRPr="00EB4D74">
        <w:tab/>
      </w:r>
      <w:r w:rsidRPr="00EB4D74">
        <w:fldChar w:fldCharType="begin"/>
      </w:r>
      <w:r w:rsidRPr="00EB4D74">
        <w:instrText xml:space="preserve"> PAGEREF _Toc342914772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Windows MultiPoint Server 2012</w:t>
      </w:r>
      <w:r w:rsidRPr="00EB4D74">
        <w:tab/>
      </w:r>
      <w:r w:rsidRPr="00EB4D74">
        <w:fldChar w:fldCharType="begin"/>
      </w:r>
      <w:r w:rsidRPr="00EB4D74">
        <w:instrText xml:space="preserve"> PAGEREF _Toc342914773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Windows MultiPoint Server 2012 com CAL do Windows Server 2012</w:t>
      </w:r>
      <w:r w:rsidRPr="00EB4D74">
        <w:tab/>
      </w:r>
      <w:r w:rsidRPr="00EB4D74">
        <w:fldChar w:fldCharType="begin"/>
      </w:r>
      <w:r w:rsidRPr="00EB4D74">
        <w:instrText xml:space="preserve"> PAGEREF _Toc342914774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MultiPoint Server 2012 Premium com Windows MultiPoint Server 2012 (CAL) (5 Clientes)</w:t>
      </w:r>
      <w:r w:rsidRPr="00EB4D74">
        <w:tab/>
      </w:r>
      <w:r w:rsidRPr="00EB4D74">
        <w:fldChar w:fldCharType="begin"/>
      </w:r>
      <w:r w:rsidRPr="00EB4D74">
        <w:instrText xml:space="preserve"> PAGEREF _Toc342914775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 xml:space="preserve">Windows MultiPoint Server 2012 Premium com Windows MultiPoint Server 2012 (CAL) (5 Clientes) </w:t>
      </w:r>
      <w:r w:rsidRPr="00EB4D74">
        <w:rPr>
          <w:rFonts w:cs="Tahoma"/>
          <w:lang w:val="pt-BR"/>
        </w:rPr>
        <w:br/>
        <w:t>com CAL do Windows Server 2012 (5 Clientes)</w:t>
      </w:r>
      <w:r w:rsidRPr="00EB4D74">
        <w:tab/>
      </w:r>
      <w:r w:rsidRPr="00EB4D74">
        <w:fldChar w:fldCharType="begin"/>
      </w:r>
      <w:r w:rsidRPr="00EB4D74">
        <w:instrText xml:space="preserve"> PAGEREF _Toc342914776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Server™ 2008 R2 HPC Edition</w:t>
      </w:r>
      <w:r w:rsidRPr="00EB4D74">
        <w:tab/>
      </w:r>
      <w:r w:rsidRPr="00EB4D74">
        <w:fldChar w:fldCharType="begin"/>
      </w:r>
      <w:r w:rsidRPr="00EB4D74">
        <w:instrText xml:space="preserve"> PAGEREF _Toc342914777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Server™ 2008 R2 Enterprise</w:t>
      </w:r>
      <w:r w:rsidRPr="00EB4D74">
        <w:tab/>
      </w:r>
      <w:r w:rsidRPr="00EB4D74">
        <w:fldChar w:fldCharType="begin"/>
      </w:r>
      <w:r w:rsidRPr="00EB4D74">
        <w:instrText xml:space="preserve"> PAGEREF _Toc342914778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Server™ 2008 R2 Itanium Based Systems</w:t>
      </w:r>
      <w:r w:rsidRPr="00EB4D74">
        <w:tab/>
      </w:r>
      <w:r w:rsidRPr="00EB4D74">
        <w:fldChar w:fldCharType="begin"/>
      </w:r>
      <w:r w:rsidRPr="00EB4D74">
        <w:instrText xml:space="preserve"> PAGEREF _Toc342914779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 Windows Server™ 2012 (Dispositivo e Usuário)</w:t>
      </w:r>
      <w:r w:rsidRPr="00EB4D74">
        <w:tab/>
      </w:r>
      <w:r w:rsidRPr="00EB4D74">
        <w:fldChar w:fldCharType="begin"/>
      </w:r>
      <w:r w:rsidRPr="00EB4D74">
        <w:instrText xml:space="preserve"> PAGEREF _Toc342914780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lastRenderedPageBreak/>
        <w:t>Windows Server™ 2012 Datacenter</w:t>
      </w:r>
      <w:r w:rsidRPr="00EB4D74">
        <w:tab/>
      </w:r>
      <w:r w:rsidRPr="00EB4D74">
        <w:fldChar w:fldCharType="begin"/>
      </w:r>
      <w:r w:rsidRPr="00EB4D74">
        <w:instrText xml:space="preserve"> PAGEREF _Toc342914781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Server™ 2012 Standard</w:t>
      </w:r>
      <w:r w:rsidRPr="00EB4D74">
        <w:tab/>
      </w:r>
      <w:r w:rsidRPr="00EB4D74">
        <w:fldChar w:fldCharType="begin"/>
      </w:r>
      <w:r w:rsidRPr="00EB4D74">
        <w:instrText xml:space="preserve"> PAGEREF _Toc342914782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External Connector do Windows Server™</w:t>
      </w:r>
      <w:r w:rsidRPr="00EB4D74">
        <w:tab/>
      </w:r>
      <w:r w:rsidRPr="00EB4D74">
        <w:fldChar w:fldCharType="begin"/>
      </w:r>
      <w:r w:rsidRPr="00EB4D74">
        <w:instrText xml:space="preserve"> PAGEREF _Toc342914783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de Serviços de Área de Trabalho Remota do Windows Server™ 2012</w:t>
      </w:r>
      <w:r w:rsidRPr="00EB4D74">
        <w:tab/>
      </w:r>
      <w:r w:rsidRPr="00EB4D74">
        <w:fldChar w:fldCharType="begin"/>
      </w:r>
      <w:r w:rsidRPr="00EB4D74">
        <w:instrText xml:space="preserve"> PAGEREF _Toc342914784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External Connector dos Serviços de Área de Trabalho Remota do Windows Server™ 2012</w:t>
      </w:r>
      <w:r w:rsidRPr="00EB4D74">
        <w:tab/>
      </w:r>
      <w:r w:rsidRPr="00EB4D74">
        <w:fldChar w:fldCharType="begin"/>
      </w:r>
      <w:r w:rsidRPr="00EB4D74">
        <w:instrText xml:space="preserve"> PAGEREF _Toc342914785 \h </w:instrText>
      </w:r>
      <w:r w:rsidRPr="00EB4D74">
        <w:fldChar w:fldCharType="separate"/>
      </w:r>
      <w:r>
        <w:t>25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CAL dos Serviços de Gerenciamento de Direitos do Active Directory do Windows Server™ 2012</w:t>
      </w:r>
      <w:r w:rsidRPr="00EB4D74">
        <w:tab/>
      </w:r>
      <w:r w:rsidRPr="00EB4D74">
        <w:fldChar w:fldCharType="begin"/>
      </w:r>
      <w:r w:rsidRPr="00EB4D74">
        <w:instrText xml:space="preserve"> PAGEREF _Toc342914786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External Connector dos Serviços de Gerenciamento de Direitos do Active Directory do Windows Server™</w:t>
      </w:r>
      <w:r w:rsidRPr="00EB4D74">
        <w:tab/>
      </w:r>
      <w:r w:rsidRPr="00EB4D74">
        <w:fldChar w:fldCharType="begin"/>
      </w:r>
      <w:r w:rsidRPr="00EB4D74">
        <w:instrText xml:space="preserve"> PAGEREF _Toc342914787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Web Server 2008 R2</w:t>
      </w:r>
      <w:r w:rsidRPr="00EB4D74">
        <w:tab/>
      </w:r>
      <w:r w:rsidRPr="00EB4D74">
        <w:fldChar w:fldCharType="begin"/>
      </w:r>
      <w:r w:rsidRPr="00EB4D74">
        <w:instrText xml:space="preserve"> PAGEREF _Toc342914788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2008 Premium</w:t>
      </w:r>
      <w:r w:rsidRPr="00EB4D74">
        <w:tab/>
      </w:r>
      <w:r w:rsidRPr="00EB4D74">
        <w:fldChar w:fldCharType="begin"/>
      </w:r>
      <w:r w:rsidRPr="00EB4D74">
        <w:instrText xml:space="preserve"> PAGEREF _Toc342914789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2008 CAL Suite para Usuários ou Dispositivos Premium</w:t>
      </w:r>
      <w:r w:rsidRPr="00EB4D74">
        <w:tab/>
      </w:r>
      <w:r w:rsidRPr="00EB4D74">
        <w:fldChar w:fldCharType="begin"/>
      </w:r>
      <w:r w:rsidRPr="00EB4D74">
        <w:instrText xml:space="preserve"> PAGEREF _Toc342914790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2008 CAL Suite para Usuários ou Dispositivos Premium (5 Clientes)</w:t>
      </w:r>
      <w:r w:rsidRPr="00EB4D74">
        <w:tab/>
      </w:r>
      <w:r w:rsidRPr="00EB4D74">
        <w:fldChar w:fldCharType="begin"/>
      </w:r>
      <w:r w:rsidRPr="00EB4D74">
        <w:instrText xml:space="preserve"> PAGEREF _Toc342914791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2008 CAL Suite para Usuários ou Dispositivos Premium (20 Clientes)</w:t>
      </w:r>
      <w:r w:rsidRPr="00EB4D74">
        <w:tab/>
      </w:r>
      <w:r w:rsidRPr="00EB4D74">
        <w:fldChar w:fldCharType="begin"/>
      </w:r>
      <w:r w:rsidRPr="00EB4D74">
        <w:instrText xml:space="preserve"> PAGEREF _Toc342914792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2011 Standard (5 clientes)</w:t>
      </w:r>
      <w:r w:rsidRPr="00EB4D74">
        <w:tab/>
      </w:r>
      <w:r w:rsidRPr="00EB4D74">
        <w:fldChar w:fldCharType="begin"/>
      </w:r>
      <w:r w:rsidRPr="00EB4D74">
        <w:instrText xml:space="preserve"> PAGEREF _Toc342914793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2011 CAL Suite (1 cliente)</w:t>
      </w:r>
      <w:r w:rsidRPr="00EB4D74">
        <w:tab/>
      </w:r>
      <w:r w:rsidRPr="00EB4D74">
        <w:fldChar w:fldCharType="begin"/>
      </w:r>
      <w:r w:rsidRPr="00EB4D74">
        <w:instrText xml:space="preserve"> PAGEREF _Toc342914794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2011 CAL Suite (5 clientes)</w:t>
      </w:r>
      <w:r w:rsidRPr="00EB4D74">
        <w:tab/>
      </w:r>
      <w:r w:rsidRPr="00EB4D74">
        <w:fldChar w:fldCharType="begin"/>
      </w:r>
      <w:r w:rsidRPr="00EB4D74">
        <w:instrText xml:space="preserve"> PAGEREF _Toc342914795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2011 CAL Suite (20 clientes)</w:t>
      </w:r>
      <w:r w:rsidRPr="00EB4D74">
        <w:tab/>
      </w:r>
      <w:r w:rsidRPr="00EB4D74">
        <w:fldChar w:fldCharType="begin"/>
      </w:r>
      <w:r w:rsidRPr="00EB4D74">
        <w:instrText xml:space="preserve"> PAGEREF _Toc342914796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Complemento do Windows Small Business Server 2011 Premium (5 clientes)</w:t>
      </w:r>
      <w:r w:rsidRPr="00EB4D74">
        <w:tab/>
      </w:r>
      <w:r w:rsidRPr="00EB4D74">
        <w:fldChar w:fldCharType="begin"/>
      </w:r>
      <w:r w:rsidRPr="00EB4D74">
        <w:instrText xml:space="preserve"> PAGEREF _Toc342914797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Pacote de CALs do Complemento do Windows Small Business Server (2011) Premium</w:t>
      </w:r>
      <w:r w:rsidRPr="00EB4D74">
        <w:tab/>
      </w:r>
      <w:r w:rsidRPr="00EB4D74">
        <w:fldChar w:fldCharType="begin"/>
      </w:r>
      <w:r w:rsidRPr="00EB4D74">
        <w:instrText xml:space="preserve"> PAGEREF _Toc342914798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Pacote de CALs do Complemento do Windows Small Business Server 2011 (5 clientes)</w:t>
      </w:r>
      <w:r w:rsidRPr="00EB4D74">
        <w:tab/>
      </w:r>
      <w:r w:rsidRPr="00EB4D74">
        <w:fldChar w:fldCharType="begin"/>
      </w:r>
      <w:r w:rsidRPr="00EB4D74">
        <w:instrText xml:space="preserve"> PAGEREF _Toc342914799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Pacote de CALs do Complemento do Windows Small Business Server 2011 (20 clientes)</w:t>
      </w:r>
      <w:r w:rsidRPr="00EB4D74">
        <w:tab/>
      </w:r>
      <w:r w:rsidRPr="00EB4D74">
        <w:fldChar w:fldCharType="begin"/>
      </w:r>
      <w:r w:rsidRPr="00EB4D74">
        <w:instrText xml:space="preserve"> PAGEREF _Toc342914800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Microsoft Windows Server Essentials 2012</w:t>
      </w:r>
      <w:r w:rsidRPr="00EB4D74">
        <w:tab/>
      </w:r>
      <w:r w:rsidRPr="00EB4D74">
        <w:fldChar w:fldCharType="begin"/>
      </w:r>
      <w:r w:rsidRPr="00EB4D74">
        <w:instrText xml:space="preserve"> PAGEREF _Toc342914801 \h </w:instrText>
      </w:r>
      <w:r w:rsidRPr="00EB4D74">
        <w:fldChar w:fldCharType="separate"/>
      </w:r>
      <w:r>
        <w:t>26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Windows Small Business Server 2011 Essentials</w:t>
      </w:r>
      <w:r w:rsidRPr="00EB4D74">
        <w:tab/>
      </w:r>
      <w:r w:rsidRPr="00EB4D74">
        <w:fldChar w:fldCharType="begin"/>
      </w:r>
      <w:r w:rsidRPr="00EB4D74">
        <w:instrText xml:space="preserve"> PAGEREF _Toc342914802 \h </w:instrText>
      </w:r>
      <w:r w:rsidRPr="00EB4D74">
        <w:fldChar w:fldCharType="separate"/>
      </w:r>
      <w:r>
        <w:t>26</w:t>
      </w:r>
      <w:r w:rsidRPr="00EB4D74">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seção 1 – alterações na lista de produtos nos últimos 12 meses</w:t>
      </w:r>
      <w:r w:rsidRPr="00EB4D74">
        <w:rPr>
          <w:color w:val="auto"/>
          <w:lang w:val="it-IT"/>
        </w:rPr>
        <w:tab/>
      </w:r>
      <w:r w:rsidRPr="00EB4D74">
        <w:rPr>
          <w:color w:val="auto"/>
        </w:rPr>
        <w:fldChar w:fldCharType="begin"/>
      </w:r>
      <w:r w:rsidRPr="00EB4D74">
        <w:rPr>
          <w:color w:val="auto"/>
          <w:lang w:val="it-IT"/>
        </w:rPr>
        <w:instrText xml:space="preserve"> PAGEREF _Toc342914803 \h </w:instrText>
      </w:r>
      <w:r w:rsidRPr="00EB4D74">
        <w:rPr>
          <w:color w:val="auto"/>
        </w:rPr>
      </w:r>
      <w:r w:rsidRPr="00EB4D74">
        <w:rPr>
          <w:color w:val="auto"/>
        </w:rPr>
        <w:fldChar w:fldCharType="separate"/>
      </w:r>
      <w:r>
        <w:rPr>
          <w:color w:val="auto"/>
          <w:lang w:val="it-IT"/>
        </w:rPr>
        <w:t>27</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ALTERAÇÕES EM JANEIRO DE 2013</w:t>
      </w:r>
      <w:r w:rsidRPr="00EB4D74">
        <w:rPr>
          <w:lang w:val="it-IT"/>
        </w:rPr>
        <w:tab/>
      </w:r>
      <w:r w:rsidRPr="00EB4D74">
        <w:fldChar w:fldCharType="begin"/>
      </w:r>
      <w:r w:rsidRPr="00EB4D74">
        <w:rPr>
          <w:lang w:val="it-IT"/>
        </w:rPr>
        <w:instrText xml:space="preserve"> PAGEREF _Toc342914804 \h </w:instrText>
      </w:r>
      <w:r w:rsidRPr="00EB4D74">
        <w:fldChar w:fldCharType="separate"/>
      </w:r>
      <w:r>
        <w:rPr>
          <w:lang w:val="it-IT"/>
        </w:rPr>
        <w:t>27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ALTERAÇÕES EM DEZEMBRO DE 2012</w:t>
      </w:r>
      <w:r w:rsidRPr="00EB4D74">
        <w:rPr>
          <w:lang w:val="it-IT"/>
        </w:rPr>
        <w:tab/>
      </w:r>
      <w:r w:rsidRPr="00EB4D74">
        <w:fldChar w:fldCharType="begin"/>
      </w:r>
      <w:r w:rsidRPr="00EB4D74">
        <w:rPr>
          <w:lang w:val="it-IT"/>
        </w:rPr>
        <w:instrText xml:space="preserve"> PAGEREF _Toc342914805 \h </w:instrText>
      </w:r>
      <w:r w:rsidRPr="00EB4D74">
        <w:fldChar w:fldCharType="separate"/>
      </w:r>
      <w:r>
        <w:rPr>
          <w:lang w:val="it-IT"/>
        </w:rPr>
        <w:t>27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ALTERAÇÕES EM NOVEMBRO DE 2012</w:t>
      </w:r>
      <w:r w:rsidRPr="00EB4D74">
        <w:rPr>
          <w:lang w:val="it-IT"/>
        </w:rPr>
        <w:tab/>
      </w:r>
      <w:r w:rsidRPr="00EB4D74">
        <w:fldChar w:fldCharType="begin"/>
      </w:r>
      <w:r w:rsidRPr="00EB4D74">
        <w:rPr>
          <w:lang w:val="it-IT"/>
        </w:rPr>
        <w:instrText xml:space="preserve"> PAGEREF _Toc342914806 \h </w:instrText>
      </w:r>
      <w:r w:rsidRPr="00EB4D74">
        <w:fldChar w:fldCharType="separate"/>
      </w:r>
      <w:r>
        <w:rPr>
          <w:lang w:val="it-IT"/>
        </w:rPr>
        <w:t>29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ALTERAÇÕES EM OUTUBRO DE 2012</w:t>
      </w:r>
      <w:r w:rsidRPr="00EB4D74">
        <w:rPr>
          <w:lang w:val="it-IT"/>
        </w:rPr>
        <w:tab/>
      </w:r>
      <w:r w:rsidRPr="00EB4D74">
        <w:fldChar w:fldCharType="begin"/>
      </w:r>
      <w:r w:rsidRPr="00EB4D74">
        <w:rPr>
          <w:lang w:val="it-IT"/>
        </w:rPr>
        <w:instrText xml:space="preserve"> PAGEREF _Toc342914807 \h </w:instrText>
      </w:r>
      <w:r w:rsidRPr="00EB4D74">
        <w:fldChar w:fldCharType="separate"/>
      </w:r>
      <w:r>
        <w:rPr>
          <w:lang w:val="it-IT"/>
        </w:rPr>
        <w:t>30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ALTERAÇÕES EM SETEMBRO DE 2012</w:t>
      </w:r>
      <w:r w:rsidRPr="00EB4D74">
        <w:rPr>
          <w:lang w:val="it-IT"/>
        </w:rPr>
        <w:tab/>
      </w:r>
      <w:r w:rsidRPr="00EB4D74">
        <w:fldChar w:fldCharType="begin"/>
      </w:r>
      <w:r w:rsidRPr="00EB4D74">
        <w:rPr>
          <w:lang w:val="it-IT"/>
        </w:rPr>
        <w:instrText xml:space="preserve"> PAGEREF _Toc342914808 \h </w:instrText>
      </w:r>
      <w:r w:rsidRPr="00EB4D74">
        <w:fldChar w:fldCharType="separate"/>
      </w:r>
      <w:r>
        <w:rPr>
          <w:lang w:val="it-IT"/>
        </w:rPr>
        <w:t>30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ALTERAÇÕES EM AGOSTO DE 2012</w:t>
      </w:r>
      <w:r w:rsidRPr="00EB4D74">
        <w:rPr>
          <w:lang w:val="it-IT"/>
        </w:rPr>
        <w:tab/>
      </w:r>
      <w:r w:rsidRPr="00EB4D74">
        <w:fldChar w:fldCharType="begin"/>
      </w:r>
      <w:r w:rsidRPr="00EB4D74">
        <w:rPr>
          <w:lang w:val="it-IT"/>
        </w:rPr>
        <w:instrText xml:space="preserve"> PAGEREF _Toc342914809 \h </w:instrText>
      </w:r>
      <w:r w:rsidRPr="00EB4D74">
        <w:fldChar w:fldCharType="separate"/>
      </w:r>
      <w:r>
        <w:rPr>
          <w:lang w:val="it-IT"/>
        </w:rPr>
        <w:t>32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ALTERAÇÕES EM JULHO DE 2012</w:t>
      </w:r>
      <w:r w:rsidRPr="00EB4D74">
        <w:tab/>
      </w:r>
      <w:r w:rsidRPr="00EB4D74">
        <w:fldChar w:fldCharType="begin"/>
      </w:r>
      <w:r w:rsidRPr="00EB4D74">
        <w:instrText xml:space="preserve"> PAGEREF _Toc342914810 \h </w:instrText>
      </w:r>
      <w:r w:rsidRPr="00EB4D74">
        <w:fldChar w:fldCharType="separate"/>
      </w:r>
      <w:r>
        <w:t>32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ALTERAÇÕES EM JUNHO DE 2012</w:t>
      </w:r>
      <w:r w:rsidRPr="00EB4D74">
        <w:tab/>
      </w:r>
      <w:r w:rsidRPr="00EB4D74">
        <w:fldChar w:fldCharType="begin"/>
      </w:r>
      <w:r w:rsidRPr="00EB4D74">
        <w:instrText xml:space="preserve"> PAGEREF _Toc342914811 \h </w:instrText>
      </w:r>
      <w:r w:rsidRPr="00EB4D74">
        <w:fldChar w:fldCharType="separate"/>
      </w:r>
      <w:r>
        <w:t>33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ALTERAÇÕES EM MAIO DE 2012</w:t>
      </w:r>
      <w:r w:rsidRPr="00EB4D74">
        <w:tab/>
      </w:r>
      <w:r w:rsidRPr="00EB4D74">
        <w:fldChar w:fldCharType="begin"/>
      </w:r>
      <w:r w:rsidRPr="00EB4D74">
        <w:instrText xml:space="preserve"> PAGEREF _Toc342914812 \h </w:instrText>
      </w:r>
      <w:r w:rsidRPr="00EB4D74">
        <w:fldChar w:fldCharType="separate"/>
      </w:r>
      <w:r>
        <w:t>33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ALTERAÇÕES EM ABRIL DE 2012</w:t>
      </w:r>
      <w:r w:rsidRPr="00EB4D74">
        <w:tab/>
      </w:r>
      <w:r w:rsidRPr="00EB4D74">
        <w:fldChar w:fldCharType="begin"/>
      </w:r>
      <w:r w:rsidRPr="00EB4D74">
        <w:instrText xml:space="preserve"> PAGEREF _Toc342914813 \h </w:instrText>
      </w:r>
      <w:r w:rsidRPr="00EB4D74">
        <w:fldChar w:fldCharType="separate"/>
      </w:r>
      <w:r>
        <w:t>33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ALTERAÇÕES EM MARÇO DE 2012</w:t>
      </w:r>
      <w:r w:rsidRPr="00EB4D74">
        <w:tab/>
      </w:r>
      <w:r w:rsidRPr="00EB4D74">
        <w:fldChar w:fldCharType="begin"/>
      </w:r>
      <w:r w:rsidRPr="00EB4D74">
        <w:instrText xml:space="preserve"> PAGEREF _Toc342914814 \h </w:instrText>
      </w:r>
      <w:r w:rsidRPr="00EB4D74">
        <w:fldChar w:fldCharType="separate"/>
      </w:r>
      <w:r>
        <w:t>34</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ALTERAÇÕES EM FEVEREIRO DE 2012</w:t>
      </w:r>
      <w:r w:rsidRPr="00EB4D74">
        <w:rPr>
          <w:color w:val="auto"/>
        </w:rPr>
        <w:tab/>
      </w:r>
      <w:r w:rsidRPr="00EB4D74">
        <w:rPr>
          <w:color w:val="auto"/>
        </w:rPr>
        <w:fldChar w:fldCharType="begin"/>
      </w:r>
      <w:r w:rsidRPr="00EB4D74">
        <w:rPr>
          <w:color w:val="auto"/>
        </w:rPr>
        <w:instrText xml:space="preserve"> PAGEREF _Toc342914815 \h </w:instrText>
      </w:r>
      <w:r w:rsidRPr="00EB4D74">
        <w:rPr>
          <w:color w:val="auto"/>
        </w:rPr>
      </w:r>
      <w:r w:rsidRPr="00EB4D74">
        <w:rPr>
          <w:color w:val="auto"/>
        </w:rPr>
        <w:fldChar w:fldCharType="separate"/>
      </w:r>
      <w:r>
        <w:rPr>
          <w:color w:val="auto"/>
        </w:rPr>
        <w:t>34</w:t>
      </w:r>
      <w:r w:rsidRPr="00EB4D74">
        <w:rPr>
          <w:color w:val="auto"/>
        </w:rPr>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rPr>
      </w:pPr>
      <w:r w:rsidRPr="00EB4D74">
        <w:rPr>
          <w:caps w:val="0"/>
          <w:color w:val="auto"/>
        </w:rPr>
        <w:t xml:space="preserve">SEÇÃO 2 – </w:t>
      </w:r>
      <w:r w:rsidRPr="007D5D2E">
        <w:rPr>
          <w:caps w:val="0"/>
          <w:color w:val="auto"/>
        </w:rPr>
        <w:t>PROMOÇÕES DE PRODUTOS</w:t>
      </w:r>
      <w:r w:rsidRPr="00EB4D74">
        <w:rPr>
          <w:color w:val="auto"/>
        </w:rPr>
        <w:tab/>
      </w:r>
      <w:r w:rsidRPr="00EB4D74">
        <w:rPr>
          <w:color w:val="auto"/>
        </w:rPr>
        <w:fldChar w:fldCharType="begin"/>
      </w:r>
      <w:r w:rsidRPr="00EB4D74">
        <w:rPr>
          <w:color w:val="auto"/>
        </w:rPr>
        <w:instrText xml:space="preserve"> PAGEREF _Toc342914816 \h </w:instrText>
      </w:r>
      <w:r w:rsidRPr="00EB4D74">
        <w:rPr>
          <w:color w:val="auto"/>
        </w:rPr>
      </w:r>
      <w:r w:rsidRPr="00EB4D74">
        <w:rPr>
          <w:color w:val="auto"/>
        </w:rPr>
        <w:fldChar w:fldCharType="separate"/>
      </w:r>
      <w:r>
        <w:rPr>
          <w:color w:val="auto"/>
        </w:rPr>
        <w:t>35</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Exchange Server Standard Promotion</w:t>
      </w:r>
      <w:r w:rsidRPr="00EB4D74">
        <w:tab/>
      </w:r>
      <w:r w:rsidRPr="00EB4D74">
        <w:fldChar w:fldCharType="begin"/>
      </w:r>
      <w:r w:rsidRPr="00EB4D74">
        <w:instrText xml:space="preserve"> PAGEREF _Toc342914817 \h </w:instrText>
      </w:r>
      <w:r w:rsidRPr="00EB4D74">
        <w:fldChar w:fldCharType="separate"/>
      </w:r>
      <w:r>
        <w:t>35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Data Warehouse em Paralelo do SQL Server</w:t>
      </w:r>
      <w:r w:rsidRPr="00EB4D74">
        <w:tab/>
      </w:r>
      <w:r w:rsidRPr="00EB4D74">
        <w:fldChar w:fldCharType="begin"/>
      </w:r>
      <w:r w:rsidRPr="00EB4D74">
        <w:instrText xml:space="preserve"> PAGEREF _Toc342914818 \h </w:instrText>
      </w:r>
      <w:r w:rsidRPr="00EB4D74">
        <w:fldChar w:fldCharType="separate"/>
      </w:r>
      <w:r>
        <w:t>35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Promoção de Step-up do Windows Server Datacenter</w:t>
      </w:r>
      <w:r w:rsidRPr="00EB4D74">
        <w:tab/>
      </w:r>
      <w:r w:rsidRPr="00EB4D74">
        <w:fldChar w:fldCharType="begin"/>
      </w:r>
      <w:r w:rsidRPr="00EB4D74">
        <w:instrText xml:space="preserve"> PAGEREF _Toc342914819 \h </w:instrText>
      </w:r>
      <w:r w:rsidRPr="00EB4D74">
        <w:fldChar w:fldCharType="separate"/>
      </w:r>
      <w:r>
        <w:t>35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Forefront Online Protection for Exchange</w:t>
      </w:r>
      <w:r w:rsidRPr="00EB4D74">
        <w:tab/>
      </w:r>
      <w:r w:rsidRPr="00EB4D74">
        <w:fldChar w:fldCharType="begin"/>
      </w:r>
      <w:r w:rsidRPr="00EB4D74">
        <w:instrText xml:space="preserve"> PAGEREF _Toc342914820 \h </w:instrText>
      </w:r>
      <w:r w:rsidRPr="00EB4D74">
        <w:fldChar w:fldCharType="separate"/>
      </w:r>
      <w:r>
        <w:t>35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30% de Desconto na Atualização para o Visual Studio Premium com MSDN</w:t>
      </w:r>
      <w:r w:rsidRPr="00EB4D74">
        <w:rPr>
          <w:lang w:val="it-IT"/>
        </w:rPr>
        <w:tab/>
      </w:r>
      <w:r w:rsidRPr="00EB4D74">
        <w:fldChar w:fldCharType="begin"/>
      </w:r>
      <w:r w:rsidRPr="00EB4D74">
        <w:rPr>
          <w:lang w:val="it-IT"/>
        </w:rPr>
        <w:instrText xml:space="preserve"> PAGEREF _Toc342914821 \h </w:instrText>
      </w:r>
      <w:r w:rsidRPr="00EB4D74">
        <w:fldChar w:fldCharType="separate"/>
      </w:r>
      <w:r>
        <w:rPr>
          <w:lang w:val="it-IT"/>
        </w:rPr>
        <w:t>35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Step-up para Windows 8 com SA</w:t>
      </w:r>
      <w:r w:rsidRPr="00EB4D74">
        <w:tab/>
      </w:r>
      <w:r w:rsidRPr="00EB4D74">
        <w:fldChar w:fldCharType="begin"/>
      </w:r>
      <w:r w:rsidRPr="00EB4D74">
        <w:instrText xml:space="preserve"> PAGEREF _Toc342914822 \h </w:instrText>
      </w:r>
      <w:r w:rsidRPr="00EB4D74">
        <w:fldChar w:fldCharType="separate"/>
      </w:r>
      <w:r>
        <w:t>35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15% de desconto em Step-ups do Project/Visio</w:t>
      </w:r>
      <w:r w:rsidRPr="00EB4D74">
        <w:tab/>
      </w:r>
      <w:r w:rsidRPr="00EB4D74">
        <w:fldChar w:fldCharType="begin"/>
      </w:r>
      <w:r w:rsidRPr="00EB4D74">
        <w:instrText xml:space="preserve"> PAGEREF _Toc342914823 \h </w:instrText>
      </w:r>
      <w:r w:rsidRPr="00EB4D74">
        <w:fldChar w:fldCharType="separate"/>
      </w:r>
      <w:r>
        <w:t>36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55% de desconto na CAL do Project Server para Compras para Toda a Empresa</w:t>
      </w:r>
      <w:r w:rsidRPr="00EB4D74">
        <w:rPr>
          <w:lang w:val="it-IT"/>
        </w:rPr>
        <w:tab/>
      </w:r>
      <w:r w:rsidRPr="00EB4D74">
        <w:fldChar w:fldCharType="begin"/>
      </w:r>
      <w:r w:rsidRPr="00EB4D74">
        <w:rPr>
          <w:lang w:val="it-IT"/>
        </w:rPr>
        <w:instrText xml:space="preserve"> PAGEREF _Toc342914824 \h </w:instrText>
      </w:r>
      <w:r w:rsidRPr="00EB4D74">
        <w:fldChar w:fldCharType="separate"/>
      </w:r>
      <w:r>
        <w:rPr>
          <w:lang w:val="it-IT"/>
        </w:rPr>
        <w:t>36</w:t>
      </w:r>
      <w:r w:rsidRPr="00EB4D74">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SEÇÃO 3 – TERMOS do Programa de Licenciamento por Volume</w:t>
      </w:r>
      <w:r w:rsidRPr="00EB4D74">
        <w:rPr>
          <w:color w:val="auto"/>
          <w:lang w:val="it-IT"/>
        </w:rPr>
        <w:tab/>
      </w:r>
      <w:r w:rsidRPr="00EB4D74">
        <w:rPr>
          <w:color w:val="auto"/>
        </w:rPr>
        <w:fldChar w:fldCharType="begin"/>
      </w:r>
      <w:r w:rsidRPr="00EB4D74">
        <w:rPr>
          <w:color w:val="auto"/>
          <w:lang w:val="it-IT"/>
        </w:rPr>
        <w:instrText xml:space="preserve"> PAGEREF _Toc342914825 \h </w:instrText>
      </w:r>
      <w:r w:rsidRPr="00EB4D74">
        <w:rPr>
          <w:color w:val="auto"/>
        </w:rPr>
      </w:r>
      <w:r w:rsidRPr="00EB4D74">
        <w:rPr>
          <w:color w:val="auto"/>
        </w:rPr>
        <w:fldChar w:fldCharType="separate"/>
      </w:r>
      <w:r>
        <w:rPr>
          <w:color w:val="auto"/>
          <w:lang w:val="it-IT"/>
        </w:rPr>
        <w:t>37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Programas de Licenciamento por Volume Aplicáveis</w:t>
      </w:r>
      <w:r w:rsidRPr="00EB4D74">
        <w:rPr>
          <w:color w:val="auto"/>
          <w:lang w:val="it-IT"/>
        </w:rPr>
        <w:tab/>
      </w:r>
      <w:r w:rsidRPr="00EB4D74">
        <w:rPr>
          <w:color w:val="auto"/>
        </w:rPr>
        <w:fldChar w:fldCharType="begin"/>
      </w:r>
      <w:r w:rsidRPr="00EB4D74">
        <w:rPr>
          <w:color w:val="auto"/>
          <w:lang w:val="it-IT"/>
        </w:rPr>
        <w:instrText xml:space="preserve"> PAGEREF _Toc342914826 \h </w:instrText>
      </w:r>
      <w:r w:rsidRPr="00EB4D74">
        <w:rPr>
          <w:color w:val="auto"/>
        </w:rPr>
      </w:r>
      <w:r w:rsidRPr="00EB4D74">
        <w:rPr>
          <w:color w:val="auto"/>
        </w:rPr>
        <w:fldChar w:fldCharType="separate"/>
      </w:r>
      <w:r>
        <w:rPr>
          <w:color w:val="auto"/>
          <w:lang w:val="it-IT"/>
        </w:rPr>
        <w:t>37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Pontos e pedidos mínimos</w:t>
      </w:r>
      <w:r w:rsidRPr="00EB4D74">
        <w:rPr>
          <w:color w:val="auto"/>
          <w:lang w:val="it-IT"/>
        </w:rPr>
        <w:tab/>
      </w:r>
      <w:r w:rsidRPr="00EB4D74">
        <w:rPr>
          <w:color w:val="auto"/>
        </w:rPr>
        <w:fldChar w:fldCharType="begin"/>
      </w:r>
      <w:r w:rsidRPr="00EB4D74">
        <w:rPr>
          <w:color w:val="auto"/>
          <w:lang w:val="it-IT"/>
        </w:rPr>
        <w:instrText xml:space="preserve"> PAGEREF _Toc342914827 \h </w:instrText>
      </w:r>
      <w:r w:rsidRPr="00EB4D74">
        <w:rPr>
          <w:color w:val="auto"/>
        </w:rPr>
      </w:r>
      <w:r w:rsidRPr="00EB4D74">
        <w:rPr>
          <w:color w:val="auto"/>
        </w:rPr>
        <w:fldChar w:fldCharType="separate"/>
      </w:r>
      <w:r>
        <w:rPr>
          <w:color w:val="auto"/>
          <w:lang w:val="it-IT"/>
        </w:rPr>
        <w:t>37</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Requisitos Mínimos de Pedidos</w:t>
      </w:r>
      <w:r w:rsidRPr="00EB4D74">
        <w:rPr>
          <w:lang w:val="it-IT"/>
        </w:rPr>
        <w:tab/>
      </w:r>
      <w:r w:rsidRPr="00EB4D74">
        <w:fldChar w:fldCharType="begin"/>
      </w:r>
      <w:r w:rsidRPr="00EB4D74">
        <w:rPr>
          <w:lang w:val="it-IT"/>
        </w:rPr>
        <w:instrText xml:space="preserve"> PAGEREF _Toc342914828 \h </w:instrText>
      </w:r>
      <w:r w:rsidRPr="00EB4D74">
        <w:fldChar w:fldCharType="separate"/>
      </w:r>
      <w:r>
        <w:rPr>
          <w:lang w:val="it-IT"/>
        </w:rPr>
        <w:t>37</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Plataformas</w:t>
      </w:r>
      <w:r w:rsidRPr="00EB4D74">
        <w:rPr>
          <w:color w:val="auto"/>
          <w:lang w:val="it-IT"/>
        </w:rPr>
        <w:tab/>
      </w:r>
      <w:r w:rsidRPr="00EB4D74">
        <w:rPr>
          <w:color w:val="auto"/>
        </w:rPr>
        <w:fldChar w:fldCharType="begin"/>
      </w:r>
      <w:r w:rsidRPr="00EB4D74">
        <w:rPr>
          <w:color w:val="auto"/>
          <w:lang w:val="it-IT"/>
        </w:rPr>
        <w:instrText xml:space="preserve"> PAGEREF _Toc342914829 \h </w:instrText>
      </w:r>
      <w:r w:rsidRPr="00EB4D74">
        <w:rPr>
          <w:color w:val="auto"/>
        </w:rPr>
      </w:r>
      <w:r w:rsidRPr="00EB4D74">
        <w:rPr>
          <w:color w:val="auto"/>
        </w:rPr>
        <w:fldChar w:fldCharType="separate"/>
      </w:r>
      <w:r>
        <w:rPr>
          <w:color w:val="auto"/>
          <w:lang w:val="it-IT"/>
        </w:rPr>
        <w:t>40</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Definição de Gerenciamento para Dispositivos Qualificados</w:t>
      </w:r>
      <w:r w:rsidRPr="00EB4D74">
        <w:rPr>
          <w:color w:val="auto"/>
          <w:lang w:val="it-IT"/>
        </w:rPr>
        <w:tab/>
      </w:r>
      <w:r w:rsidRPr="00EB4D74">
        <w:rPr>
          <w:color w:val="auto"/>
        </w:rPr>
        <w:fldChar w:fldCharType="begin"/>
      </w:r>
      <w:r w:rsidRPr="00EB4D74">
        <w:rPr>
          <w:color w:val="auto"/>
          <w:lang w:val="it-IT"/>
        </w:rPr>
        <w:instrText xml:space="preserve"> PAGEREF _Toc342914830 \h </w:instrText>
      </w:r>
      <w:r w:rsidRPr="00EB4D74">
        <w:rPr>
          <w:color w:val="auto"/>
        </w:rPr>
      </w:r>
      <w:r w:rsidRPr="00EB4D74">
        <w:rPr>
          <w:color w:val="auto"/>
        </w:rPr>
        <w:fldChar w:fldCharType="separate"/>
      </w:r>
      <w:r>
        <w:rPr>
          <w:color w:val="auto"/>
          <w:lang w:val="it-IT"/>
        </w:rPr>
        <w:t>42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Produtos qualificados para o Desconto de Atualização (UTD)</w:t>
      </w:r>
      <w:r w:rsidRPr="00EB4D74">
        <w:rPr>
          <w:color w:val="auto"/>
          <w:lang w:val="it-IT"/>
        </w:rPr>
        <w:tab/>
      </w:r>
      <w:r w:rsidRPr="00EB4D74">
        <w:rPr>
          <w:color w:val="auto"/>
        </w:rPr>
        <w:fldChar w:fldCharType="begin"/>
      </w:r>
      <w:r w:rsidRPr="00EB4D74">
        <w:rPr>
          <w:color w:val="auto"/>
          <w:lang w:val="it-IT"/>
        </w:rPr>
        <w:instrText xml:space="preserve"> PAGEREF _Toc342914831 \h </w:instrText>
      </w:r>
      <w:r w:rsidRPr="00EB4D74">
        <w:rPr>
          <w:color w:val="auto"/>
        </w:rPr>
      </w:r>
      <w:r w:rsidRPr="00EB4D74">
        <w:rPr>
          <w:color w:val="auto"/>
        </w:rPr>
        <w:fldChar w:fldCharType="separate"/>
      </w:r>
      <w:r>
        <w:rPr>
          <w:color w:val="auto"/>
          <w:lang w:val="it-IT"/>
        </w:rPr>
        <w:t>42</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Termos de Programa Atualizados dos Contratos Enterprise e Subscription</w:t>
      </w:r>
      <w:r w:rsidRPr="00EB4D74">
        <w:rPr>
          <w:lang w:val="it-IT"/>
        </w:rPr>
        <w:tab/>
      </w:r>
      <w:r w:rsidRPr="00EB4D74">
        <w:fldChar w:fldCharType="begin"/>
      </w:r>
      <w:r w:rsidRPr="00EB4D74">
        <w:rPr>
          <w:lang w:val="it-IT"/>
        </w:rPr>
        <w:instrText xml:space="preserve"> PAGEREF _Toc342914832 \h </w:instrText>
      </w:r>
      <w:r w:rsidRPr="00EB4D74">
        <w:fldChar w:fldCharType="separate"/>
      </w:r>
      <w:r>
        <w:rPr>
          <w:lang w:val="it-IT"/>
        </w:rPr>
        <w:t>43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Continuidade do Serviço por meio de Prazo Estendido</w:t>
      </w:r>
      <w:r w:rsidRPr="00EB4D74">
        <w:rPr>
          <w:lang w:val="it-IT"/>
        </w:rPr>
        <w:tab/>
      </w:r>
      <w:r w:rsidRPr="00EB4D74">
        <w:fldChar w:fldCharType="begin"/>
      </w:r>
      <w:r w:rsidRPr="00EB4D74">
        <w:rPr>
          <w:lang w:val="it-IT"/>
        </w:rPr>
        <w:instrText xml:space="preserve"> PAGEREF _Toc342914833 \h </w:instrText>
      </w:r>
      <w:r w:rsidRPr="00EB4D74">
        <w:fldChar w:fldCharType="separate"/>
      </w:r>
      <w:r>
        <w:rPr>
          <w:lang w:val="it-IT"/>
        </w:rPr>
        <w:t>46</w:t>
      </w:r>
      <w:r w:rsidRPr="00EB4D74">
        <w:fldChar w:fldCharType="end"/>
      </w:r>
    </w:p>
    <w:p w:rsidR="008B1196" w:rsidRPr="00EB4D74" w:rsidRDefault="008B1196" w:rsidP="008B1196">
      <w:pPr>
        <w:pStyle w:val="TOC1"/>
        <w:rPr>
          <w:color w:val="auto"/>
          <w:lang w:val="it-IT"/>
        </w:rPr>
      </w:pPr>
    </w:p>
    <w:p w:rsidR="008B1196" w:rsidRPr="00EB4D74" w:rsidRDefault="008B1196" w:rsidP="008B1196">
      <w:pPr>
        <w:pStyle w:val="TOC1"/>
        <w:rPr>
          <w:color w:val="auto"/>
          <w:lang w:val="it-IT"/>
        </w:rPr>
      </w:pP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lastRenderedPageBreak/>
        <w:t>seção 4 – tipos de licença e valores</w:t>
      </w:r>
      <w:r w:rsidRPr="00EB4D74">
        <w:rPr>
          <w:color w:val="auto"/>
          <w:lang w:val="it-IT"/>
        </w:rPr>
        <w:tab/>
      </w:r>
      <w:r w:rsidRPr="00EB4D74">
        <w:rPr>
          <w:color w:val="auto"/>
        </w:rPr>
        <w:fldChar w:fldCharType="begin"/>
      </w:r>
      <w:r w:rsidRPr="00EB4D74">
        <w:rPr>
          <w:color w:val="auto"/>
          <w:lang w:val="it-IT"/>
        </w:rPr>
        <w:instrText xml:space="preserve"> PAGEREF _Toc342914834 \h </w:instrText>
      </w:r>
      <w:r w:rsidRPr="00EB4D74">
        <w:rPr>
          <w:color w:val="auto"/>
        </w:rPr>
      </w:r>
      <w:r w:rsidRPr="00EB4D74">
        <w:rPr>
          <w:color w:val="auto"/>
        </w:rPr>
        <w:fldChar w:fldCharType="separate"/>
      </w:r>
      <w:r>
        <w:rPr>
          <w:color w:val="auto"/>
          <w:lang w:val="it-IT"/>
        </w:rPr>
        <w:t>47</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Valores</w:t>
      </w:r>
      <w:r w:rsidRPr="00EB4D74">
        <w:tab/>
      </w:r>
      <w:r w:rsidRPr="00EB4D74">
        <w:fldChar w:fldCharType="begin"/>
      </w:r>
      <w:r w:rsidRPr="00EB4D74">
        <w:instrText xml:space="preserve"> PAGEREF _Toc342914835 \h </w:instrText>
      </w:r>
      <w:r w:rsidRPr="00EB4D74">
        <w:fldChar w:fldCharType="separate"/>
      </w:r>
      <w:r>
        <w:t>47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w:t>
      </w:r>
      <w:r w:rsidRPr="00EB4D74">
        <w:tab/>
      </w:r>
      <w:r w:rsidRPr="00EB4D74">
        <w:fldChar w:fldCharType="begin"/>
      </w:r>
      <w:r w:rsidRPr="00EB4D74">
        <w:instrText xml:space="preserve"> PAGEREF _Toc342914836 \h </w:instrText>
      </w:r>
      <w:r w:rsidRPr="00EB4D74">
        <w:fldChar w:fldCharType="separate"/>
      </w:r>
      <w:r>
        <w:t>47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 e Software Assurance</w:t>
      </w:r>
      <w:r w:rsidRPr="00EB4D74">
        <w:tab/>
      </w:r>
      <w:r w:rsidRPr="00EB4D74">
        <w:fldChar w:fldCharType="begin"/>
      </w:r>
      <w:r w:rsidRPr="00EB4D74">
        <w:instrText xml:space="preserve"> PAGEREF _Toc342914837 \h </w:instrText>
      </w:r>
      <w:r w:rsidRPr="00EB4D74">
        <w:fldChar w:fldCharType="separate"/>
      </w:r>
      <w:r>
        <w:t>47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Software Assurance</w:t>
      </w:r>
      <w:r w:rsidRPr="00EB4D74">
        <w:tab/>
      </w:r>
      <w:r w:rsidRPr="00EB4D74">
        <w:fldChar w:fldCharType="begin"/>
      </w:r>
      <w:r w:rsidRPr="00EB4D74">
        <w:instrText xml:space="preserve"> PAGEREF _Toc342914838 \h </w:instrText>
      </w:r>
      <w:r w:rsidRPr="00EB4D74">
        <w:fldChar w:fldCharType="separate"/>
      </w:r>
      <w:r>
        <w:t>48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Licenças Step-up</w:t>
      </w:r>
      <w:r w:rsidRPr="00EB4D74">
        <w:tab/>
      </w:r>
      <w:r w:rsidRPr="00EB4D74">
        <w:fldChar w:fldCharType="begin"/>
      </w:r>
      <w:r w:rsidRPr="00EB4D74">
        <w:instrText xml:space="preserve"> PAGEREF _Toc342914839 \h </w:instrText>
      </w:r>
      <w:r w:rsidRPr="00EB4D74">
        <w:fldChar w:fldCharType="separate"/>
      </w:r>
      <w:r>
        <w:t>49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Licenças de Assinatura</w:t>
      </w:r>
      <w:r w:rsidRPr="00EB4D74">
        <w:rPr>
          <w:lang w:val="it-IT"/>
        </w:rPr>
        <w:tab/>
      </w:r>
      <w:r w:rsidRPr="00EB4D74">
        <w:fldChar w:fldCharType="begin"/>
      </w:r>
      <w:r w:rsidRPr="00EB4D74">
        <w:rPr>
          <w:lang w:val="it-IT"/>
        </w:rPr>
        <w:instrText xml:space="preserve"> PAGEREF _Toc342914840 \h </w:instrText>
      </w:r>
      <w:r w:rsidRPr="00EB4D74">
        <w:fldChar w:fldCharType="separate"/>
      </w:r>
      <w:r>
        <w:rPr>
          <w:lang w:val="it-IT"/>
        </w:rPr>
        <w:t>49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Atualização</w:t>
      </w:r>
      <w:r w:rsidRPr="00EB4D74">
        <w:rPr>
          <w:lang w:val="it-IT"/>
        </w:rPr>
        <w:tab/>
      </w:r>
      <w:r w:rsidRPr="00EB4D74">
        <w:fldChar w:fldCharType="begin"/>
      </w:r>
      <w:r w:rsidRPr="00EB4D74">
        <w:rPr>
          <w:lang w:val="it-IT"/>
        </w:rPr>
        <w:instrText xml:space="preserve"> PAGEREF _Toc342914841 \h </w:instrText>
      </w:r>
      <w:r w:rsidRPr="00EB4D74">
        <w:fldChar w:fldCharType="separate"/>
      </w:r>
      <w:r>
        <w:rPr>
          <w:lang w:val="it-IT"/>
        </w:rPr>
        <w:t>50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Atualização e Software Assurance</w:t>
      </w:r>
      <w:r w:rsidRPr="00EB4D74">
        <w:rPr>
          <w:lang w:val="it-IT"/>
        </w:rPr>
        <w:tab/>
      </w:r>
      <w:r w:rsidRPr="00EB4D74">
        <w:fldChar w:fldCharType="begin"/>
      </w:r>
      <w:r w:rsidRPr="00EB4D74">
        <w:rPr>
          <w:lang w:val="it-IT"/>
        </w:rPr>
        <w:instrText xml:space="preserve"> PAGEREF _Toc342914842 \h </w:instrText>
      </w:r>
      <w:r w:rsidRPr="00EB4D74">
        <w:fldChar w:fldCharType="separate"/>
      </w:r>
      <w:r>
        <w:rPr>
          <w:lang w:val="it-IT"/>
        </w:rPr>
        <w:t>50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Licenças Work-at-Home</w:t>
      </w:r>
      <w:r w:rsidRPr="00EB4D74">
        <w:tab/>
      </w:r>
      <w:r w:rsidRPr="00EB4D74">
        <w:fldChar w:fldCharType="begin"/>
      </w:r>
      <w:r w:rsidRPr="00EB4D74">
        <w:instrText xml:space="preserve"> PAGEREF _Toc342914843 \h </w:instrText>
      </w:r>
      <w:r w:rsidRPr="00EB4D74">
        <w:fldChar w:fldCharType="separate"/>
      </w:r>
      <w:r>
        <w:t>50</w:t>
      </w:r>
      <w:r w:rsidRPr="00EB4D74">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rPr>
      </w:pPr>
      <w:r w:rsidRPr="00EB4D74">
        <w:rPr>
          <w:color w:val="auto"/>
        </w:rPr>
        <w:t>Seção 5 – Termos de PAGAMENTO E PREÇOS DE Serviços Online</w:t>
      </w:r>
      <w:r w:rsidRPr="00EB4D74">
        <w:rPr>
          <w:color w:val="auto"/>
        </w:rPr>
        <w:tab/>
      </w:r>
      <w:r w:rsidRPr="00EB4D74">
        <w:rPr>
          <w:color w:val="auto"/>
        </w:rPr>
        <w:fldChar w:fldCharType="begin"/>
      </w:r>
      <w:r w:rsidRPr="00EB4D74">
        <w:rPr>
          <w:color w:val="auto"/>
        </w:rPr>
        <w:instrText xml:space="preserve"> PAGEREF _Toc342914844 \h </w:instrText>
      </w:r>
      <w:r w:rsidRPr="00EB4D74">
        <w:rPr>
          <w:color w:val="auto"/>
        </w:rPr>
      </w:r>
      <w:r w:rsidRPr="00EB4D74">
        <w:rPr>
          <w:color w:val="auto"/>
        </w:rPr>
        <w:fldChar w:fldCharType="separate"/>
      </w:r>
      <w:r>
        <w:rPr>
          <w:color w:val="auto"/>
        </w:rPr>
        <w:t>51</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Prazo da assinatura de Serviços Online</w:t>
      </w:r>
      <w:r w:rsidRPr="00EB4D74">
        <w:rPr>
          <w:lang w:val="it-IT"/>
        </w:rPr>
        <w:tab/>
      </w:r>
      <w:r w:rsidRPr="00EB4D74">
        <w:fldChar w:fldCharType="begin"/>
      </w:r>
      <w:r w:rsidRPr="00EB4D74">
        <w:rPr>
          <w:lang w:val="it-IT"/>
        </w:rPr>
        <w:instrText xml:space="preserve"> PAGEREF _Toc342914845 \h </w:instrText>
      </w:r>
      <w:r w:rsidRPr="00EB4D74">
        <w:fldChar w:fldCharType="separate"/>
      </w:r>
      <w:r>
        <w:rPr>
          <w:lang w:val="it-IT"/>
        </w:rPr>
        <w:t>51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Compras e renovação automática em Serviços Online</w:t>
      </w:r>
      <w:r w:rsidRPr="00EB4D74">
        <w:rPr>
          <w:lang w:val="it-IT"/>
        </w:rPr>
        <w:tab/>
      </w:r>
      <w:r w:rsidRPr="00EB4D74">
        <w:fldChar w:fldCharType="begin"/>
      </w:r>
      <w:r w:rsidRPr="00EB4D74">
        <w:rPr>
          <w:lang w:val="it-IT"/>
        </w:rPr>
        <w:instrText xml:space="preserve"> PAGEREF _Toc342914846 \h </w:instrText>
      </w:r>
      <w:r w:rsidRPr="00EB4D74">
        <w:fldChar w:fldCharType="separate"/>
      </w:r>
      <w:r>
        <w:rPr>
          <w:lang w:val="it-IT"/>
        </w:rPr>
        <w:t>52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Gerenciamento do status da renovação e da renovação automática</w:t>
      </w:r>
      <w:r w:rsidRPr="00EB4D74">
        <w:rPr>
          <w:lang w:val="it-IT"/>
        </w:rPr>
        <w:tab/>
      </w:r>
      <w:r w:rsidRPr="00EB4D74">
        <w:fldChar w:fldCharType="begin"/>
      </w:r>
      <w:r w:rsidRPr="00EB4D74">
        <w:rPr>
          <w:lang w:val="it-IT"/>
        </w:rPr>
        <w:instrText xml:space="preserve"> PAGEREF _Toc342914847 \h </w:instrText>
      </w:r>
      <w:r w:rsidRPr="00EB4D74">
        <w:fldChar w:fldCharType="separate"/>
      </w:r>
      <w:r>
        <w:rPr>
          <w:lang w:val="it-IT"/>
        </w:rPr>
        <w:t>52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Cancelamento de Serviços Online</w:t>
      </w:r>
      <w:r w:rsidRPr="00EB4D74">
        <w:rPr>
          <w:lang w:val="it-IT"/>
        </w:rPr>
        <w:tab/>
      </w:r>
      <w:r w:rsidRPr="00EB4D74">
        <w:fldChar w:fldCharType="begin"/>
      </w:r>
      <w:r w:rsidRPr="00EB4D74">
        <w:rPr>
          <w:lang w:val="it-IT"/>
        </w:rPr>
        <w:instrText xml:space="preserve"> PAGEREF _Toc342914848 \h </w:instrText>
      </w:r>
      <w:r w:rsidRPr="00EB4D74">
        <w:fldChar w:fldCharType="separate"/>
      </w:r>
      <w:r>
        <w:rPr>
          <w:lang w:val="it-IT"/>
        </w:rPr>
        <w:t>53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Opções de termos de pagamento de Serviços Online</w:t>
      </w:r>
      <w:r w:rsidRPr="00EB4D74">
        <w:rPr>
          <w:lang w:val="it-IT"/>
        </w:rPr>
        <w:tab/>
      </w:r>
      <w:r w:rsidRPr="00EB4D74">
        <w:fldChar w:fldCharType="begin"/>
      </w:r>
      <w:r w:rsidRPr="00EB4D74">
        <w:rPr>
          <w:lang w:val="it-IT"/>
        </w:rPr>
        <w:instrText xml:space="preserve"> PAGEREF _Toc342914849 \h </w:instrText>
      </w:r>
      <w:r w:rsidRPr="00EB4D74">
        <w:fldChar w:fldCharType="separate"/>
      </w:r>
      <w:r>
        <w:rPr>
          <w:lang w:val="it-IT"/>
        </w:rPr>
        <w:t>53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Requisitos de compra mínima para Serviços Online no Licenciamento por Volume</w:t>
      </w:r>
      <w:r w:rsidRPr="00EB4D74">
        <w:rPr>
          <w:lang w:val="it-IT"/>
        </w:rPr>
        <w:tab/>
      </w:r>
      <w:r w:rsidRPr="00EB4D74">
        <w:fldChar w:fldCharType="begin"/>
      </w:r>
      <w:r w:rsidRPr="00EB4D74">
        <w:rPr>
          <w:lang w:val="it-IT"/>
        </w:rPr>
        <w:instrText xml:space="preserve"> PAGEREF _Toc342914850 \h </w:instrText>
      </w:r>
      <w:r w:rsidRPr="00EB4D74">
        <w:fldChar w:fldCharType="separate"/>
      </w:r>
      <w:r>
        <w:rPr>
          <w:lang w:val="it-IT"/>
        </w:rPr>
        <w:t>53</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Serviços do Windows Azure</w:t>
      </w:r>
      <w:r w:rsidRPr="00EB4D74">
        <w:rPr>
          <w:color w:val="auto"/>
        </w:rPr>
        <w:tab/>
      </w:r>
      <w:r w:rsidRPr="00EB4D74">
        <w:rPr>
          <w:color w:val="auto"/>
        </w:rPr>
        <w:fldChar w:fldCharType="begin"/>
      </w:r>
      <w:r w:rsidRPr="00EB4D74">
        <w:rPr>
          <w:color w:val="auto"/>
        </w:rPr>
        <w:instrText xml:space="preserve"> PAGEREF _Toc342914851 \h </w:instrText>
      </w:r>
      <w:r w:rsidRPr="00EB4D74">
        <w:rPr>
          <w:color w:val="auto"/>
        </w:rPr>
      </w:r>
      <w:r w:rsidRPr="00EB4D74">
        <w:rPr>
          <w:color w:val="auto"/>
        </w:rPr>
        <w:fldChar w:fldCharType="separate"/>
      </w:r>
      <w:r>
        <w:rPr>
          <w:color w:val="auto"/>
        </w:rPr>
        <w:t>54</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Disponibilidade Regional dos Serviços Online</w:t>
      </w:r>
      <w:r w:rsidRPr="00EB4D74">
        <w:tab/>
      </w:r>
      <w:r w:rsidRPr="00EB4D74">
        <w:fldChar w:fldCharType="begin"/>
      </w:r>
      <w:r w:rsidRPr="00EB4D74">
        <w:instrText xml:space="preserve"> PAGEREF _Toc342914852 \h </w:instrText>
      </w:r>
      <w:r w:rsidRPr="00EB4D74">
        <w:fldChar w:fldCharType="separate"/>
      </w:r>
      <w:r>
        <w:t>55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Termos adicionais de Serviços Online</w:t>
      </w:r>
      <w:r w:rsidRPr="00EB4D74">
        <w:tab/>
      </w:r>
      <w:r w:rsidRPr="00EB4D74">
        <w:fldChar w:fldCharType="begin"/>
      </w:r>
      <w:r w:rsidRPr="00EB4D74">
        <w:instrText xml:space="preserve"> PAGEREF _Toc342914853 \h </w:instrText>
      </w:r>
      <w:r w:rsidRPr="00EB4D74">
        <w:fldChar w:fldCharType="separate"/>
      </w:r>
      <w:r>
        <w:t>56</w:t>
      </w:r>
      <w:r w:rsidRPr="00EB4D74">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rPr>
      </w:pPr>
      <w:r w:rsidRPr="00EB4D74">
        <w:rPr>
          <w:color w:val="auto"/>
        </w:rPr>
        <w:t>SEÇÃO 6 – regras de renovação DO Software Assurance</w:t>
      </w:r>
      <w:r w:rsidRPr="00EB4D74">
        <w:rPr>
          <w:color w:val="auto"/>
        </w:rPr>
        <w:tab/>
      </w:r>
      <w:r w:rsidRPr="00EB4D74">
        <w:rPr>
          <w:color w:val="auto"/>
        </w:rPr>
        <w:fldChar w:fldCharType="begin"/>
      </w:r>
      <w:r w:rsidRPr="00EB4D74">
        <w:rPr>
          <w:color w:val="auto"/>
        </w:rPr>
        <w:instrText xml:space="preserve"> PAGEREF _Toc342914854 \h </w:instrText>
      </w:r>
      <w:r w:rsidRPr="00EB4D74">
        <w:rPr>
          <w:color w:val="auto"/>
        </w:rPr>
      </w:r>
      <w:r w:rsidRPr="00EB4D74">
        <w:rPr>
          <w:color w:val="auto"/>
        </w:rPr>
        <w:fldChar w:fldCharType="separate"/>
      </w:r>
      <w:r>
        <w:rPr>
          <w:color w:val="auto"/>
        </w:rPr>
        <w:t>57</w:t>
      </w:r>
      <w:r w:rsidRPr="00EB4D74">
        <w:rPr>
          <w:color w:val="auto"/>
        </w:rPr>
        <w:fldChar w:fldCharType="end"/>
      </w:r>
    </w:p>
    <w:p w:rsidR="008B1196" w:rsidRPr="00EB4D74" w:rsidRDefault="008B1196" w:rsidP="008B1196">
      <w:pPr>
        <w:pStyle w:val="TOC4"/>
        <w:rPr>
          <w:rFonts w:asciiTheme="minorHAnsi" w:eastAsiaTheme="minorEastAsia" w:hAnsiTheme="minorHAnsi" w:cstheme="minorBidi"/>
          <w:noProof/>
          <w:sz w:val="22"/>
          <w:szCs w:val="22"/>
        </w:rPr>
      </w:pPr>
      <w:r w:rsidRPr="00EB4D74">
        <w:rPr>
          <w:rFonts w:cs="Tahoma"/>
          <w:noProof/>
          <w:lang w:val="pt-BR"/>
        </w:rPr>
        <w:t>Licença Open</w:t>
      </w:r>
      <w:r w:rsidRPr="00EB4D74">
        <w:rPr>
          <w:noProof/>
        </w:rPr>
        <w:tab/>
      </w:r>
      <w:r w:rsidRPr="00EB4D74">
        <w:rPr>
          <w:noProof/>
        </w:rPr>
        <w:fldChar w:fldCharType="begin"/>
      </w:r>
      <w:r w:rsidRPr="00EB4D74">
        <w:rPr>
          <w:noProof/>
        </w:rPr>
        <w:instrText xml:space="preserve"> PAGEREF _Toc342914855 \h </w:instrText>
      </w:r>
      <w:r w:rsidRPr="00EB4D74">
        <w:rPr>
          <w:noProof/>
        </w:rPr>
      </w:r>
      <w:r w:rsidRPr="00EB4D74">
        <w:rPr>
          <w:noProof/>
        </w:rPr>
        <w:fldChar w:fldCharType="separate"/>
      </w:r>
      <w:r>
        <w:rPr>
          <w:noProof/>
        </w:rPr>
        <w:t>57</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rPr>
      </w:pPr>
      <w:r w:rsidRPr="00EB4D74">
        <w:rPr>
          <w:rFonts w:cs="Tahoma"/>
          <w:noProof/>
          <w:lang w:val="pt-BR"/>
        </w:rPr>
        <w:t>Open Value 20xx</w:t>
      </w:r>
      <w:r w:rsidRPr="00EB4D74">
        <w:rPr>
          <w:noProof/>
        </w:rPr>
        <w:tab/>
      </w:r>
      <w:r w:rsidRPr="00EB4D74">
        <w:rPr>
          <w:noProof/>
        </w:rPr>
        <w:fldChar w:fldCharType="begin"/>
      </w:r>
      <w:r w:rsidRPr="00EB4D74">
        <w:rPr>
          <w:noProof/>
        </w:rPr>
        <w:instrText xml:space="preserve"> PAGEREF _Toc342914856 \h </w:instrText>
      </w:r>
      <w:r w:rsidRPr="00EB4D74">
        <w:rPr>
          <w:noProof/>
        </w:rPr>
      </w:r>
      <w:r w:rsidRPr="00EB4D74">
        <w:rPr>
          <w:noProof/>
        </w:rPr>
        <w:fldChar w:fldCharType="separate"/>
      </w:r>
      <w:r>
        <w:rPr>
          <w:noProof/>
        </w:rPr>
        <w:t>57</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lang w:val="it-IT"/>
        </w:rPr>
      </w:pPr>
      <w:r w:rsidRPr="00EB4D74">
        <w:rPr>
          <w:rFonts w:cs="Tahoma"/>
          <w:noProof/>
          <w:lang w:val="pt-BR"/>
        </w:rPr>
        <w:t>Select 20xx</w:t>
      </w:r>
      <w:r w:rsidRPr="00EB4D74">
        <w:rPr>
          <w:noProof/>
          <w:lang w:val="it-IT"/>
        </w:rPr>
        <w:tab/>
      </w:r>
      <w:r w:rsidRPr="00EB4D74">
        <w:rPr>
          <w:noProof/>
        </w:rPr>
        <w:fldChar w:fldCharType="begin"/>
      </w:r>
      <w:r w:rsidRPr="00EB4D74">
        <w:rPr>
          <w:noProof/>
          <w:lang w:val="it-IT"/>
        </w:rPr>
        <w:instrText xml:space="preserve"> PAGEREF _Toc342914857 \h </w:instrText>
      </w:r>
      <w:r w:rsidRPr="00EB4D74">
        <w:rPr>
          <w:noProof/>
        </w:rPr>
      </w:r>
      <w:r w:rsidRPr="00EB4D74">
        <w:rPr>
          <w:noProof/>
        </w:rPr>
        <w:fldChar w:fldCharType="separate"/>
      </w:r>
      <w:r>
        <w:rPr>
          <w:noProof/>
          <w:lang w:val="it-IT"/>
        </w:rPr>
        <w:t>57</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lang w:val="it-IT"/>
        </w:rPr>
      </w:pPr>
      <w:r w:rsidRPr="00EB4D74">
        <w:rPr>
          <w:rFonts w:cs="Tahoma"/>
          <w:noProof/>
          <w:lang w:val="pt-BR"/>
        </w:rPr>
        <w:t>Renovação da Cobertura sob o Mesmo Contrato</w:t>
      </w:r>
      <w:r w:rsidRPr="00EB4D74">
        <w:rPr>
          <w:noProof/>
          <w:lang w:val="it-IT"/>
        </w:rPr>
        <w:tab/>
      </w:r>
      <w:r w:rsidRPr="00EB4D74">
        <w:rPr>
          <w:noProof/>
        </w:rPr>
        <w:fldChar w:fldCharType="begin"/>
      </w:r>
      <w:r w:rsidRPr="00EB4D74">
        <w:rPr>
          <w:noProof/>
          <w:lang w:val="it-IT"/>
        </w:rPr>
        <w:instrText xml:space="preserve"> PAGEREF _Toc342914858 \h </w:instrText>
      </w:r>
      <w:r w:rsidRPr="00EB4D74">
        <w:rPr>
          <w:noProof/>
        </w:rPr>
      </w:r>
      <w:r w:rsidRPr="00EB4D74">
        <w:rPr>
          <w:noProof/>
        </w:rPr>
        <w:fldChar w:fldCharType="separate"/>
      </w:r>
      <w:r>
        <w:rPr>
          <w:noProof/>
          <w:lang w:val="it-IT"/>
        </w:rPr>
        <w:t>57</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lang w:val="it-IT"/>
        </w:rPr>
      </w:pPr>
      <w:r w:rsidRPr="00EB4D74">
        <w:rPr>
          <w:rFonts w:cs="Tahoma"/>
          <w:noProof/>
          <w:lang w:val="pt-BR"/>
        </w:rPr>
        <w:t>Renovação da Cobertura a partir de um Contrato Separado</w:t>
      </w:r>
      <w:r w:rsidRPr="00EB4D74">
        <w:rPr>
          <w:noProof/>
          <w:lang w:val="it-IT"/>
        </w:rPr>
        <w:tab/>
      </w:r>
      <w:r w:rsidRPr="00EB4D74">
        <w:rPr>
          <w:noProof/>
        </w:rPr>
        <w:fldChar w:fldCharType="begin"/>
      </w:r>
      <w:r w:rsidRPr="00EB4D74">
        <w:rPr>
          <w:noProof/>
          <w:lang w:val="it-IT"/>
        </w:rPr>
        <w:instrText xml:space="preserve"> PAGEREF _Toc342914859 \h </w:instrText>
      </w:r>
      <w:r w:rsidRPr="00EB4D74">
        <w:rPr>
          <w:noProof/>
        </w:rPr>
      </w:r>
      <w:r w:rsidRPr="00EB4D74">
        <w:rPr>
          <w:noProof/>
        </w:rPr>
        <w:fldChar w:fldCharType="separate"/>
      </w:r>
      <w:r>
        <w:rPr>
          <w:noProof/>
          <w:lang w:val="it-IT"/>
        </w:rPr>
        <w:t>58</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rPr>
      </w:pPr>
      <w:r w:rsidRPr="00EB4D74">
        <w:rPr>
          <w:rFonts w:cs="Tahoma"/>
          <w:noProof/>
          <w:lang w:val="pt-BR"/>
        </w:rPr>
        <w:t>Select Plus 20xx</w:t>
      </w:r>
      <w:r w:rsidRPr="00EB4D74">
        <w:rPr>
          <w:noProof/>
        </w:rPr>
        <w:tab/>
      </w:r>
      <w:r w:rsidRPr="00EB4D74">
        <w:rPr>
          <w:noProof/>
        </w:rPr>
        <w:fldChar w:fldCharType="begin"/>
      </w:r>
      <w:r w:rsidRPr="00EB4D74">
        <w:rPr>
          <w:noProof/>
        </w:rPr>
        <w:instrText xml:space="preserve"> PAGEREF _Toc342914860 \h </w:instrText>
      </w:r>
      <w:r w:rsidRPr="00EB4D74">
        <w:rPr>
          <w:noProof/>
        </w:rPr>
      </w:r>
      <w:r w:rsidRPr="00EB4D74">
        <w:rPr>
          <w:noProof/>
        </w:rPr>
        <w:fldChar w:fldCharType="separate"/>
      </w:r>
      <w:r>
        <w:rPr>
          <w:noProof/>
        </w:rPr>
        <w:t>58</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rPr>
      </w:pPr>
      <w:r w:rsidRPr="00EB4D74">
        <w:rPr>
          <w:rFonts w:cs="Tahoma"/>
          <w:noProof/>
          <w:lang w:val="pt-BR"/>
        </w:rPr>
        <w:t>Contrato Enterprise 2011 ou versões posteriores</w:t>
      </w:r>
      <w:r w:rsidRPr="00EB4D74">
        <w:rPr>
          <w:noProof/>
        </w:rPr>
        <w:tab/>
      </w:r>
      <w:r w:rsidRPr="00EB4D74">
        <w:rPr>
          <w:noProof/>
        </w:rPr>
        <w:fldChar w:fldCharType="begin"/>
      </w:r>
      <w:r w:rsidRPr="00EB4D74">
        <w:rPr>
          <w:noProof/>
        </w:rPr>
        <w:instrText xml:space="preserve"> PAGEREF _Toc342914861 \h </w:instrText>
      </w:r>
      <w:r w:rsidRPr="00EB4D74">
        <w:rPr>
          <w:noProof/>
        </w:rPr>
      </w:r>
      <w:r w:rsidRPr="00EB4D74">
        <w:rPr>
          <w:noProof/>
        </w:rPr>
        <w:fldChar w:fldCharType="separate"/>
      </w:r>
      <w:r>
        <w:rPr>
          <w:noProof/>
        </w:rPr>
        <w:t>58</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lang w:val="it-IT"/>
        </w:rPr>
      </w:pPr>
      <w:r w:rsidRPr="00EB4D74">
        <w:rPr>
          <w:rFonts w:cs="Tahoma"/>
          <w:noProof/>
          <w:lang w:val="pt-BR"/>
        </w:rPr>
        <w:t>Contrato Enterprise Pré-2011</w:t>
      </w:r>
      <w:r w:rsidRPr="00EB4D74">
        <w:rPr>
          <w:noProof/>
          <w:lang w:val="it-IT"/>
        </w:rPr>
        <w:tab/>
      </w:r>
      <w:r w:rsidRPr="00EB4D74">
        <w:rPr>
          <w:noProof/>
        </w:rPr>
        <w:fldChar w:fldCharType="begin"/>
      </w:r>
      <w:r w:rsidRPr="00EB4D74">
        <w:rPr>
          <w:noProof/>
          <w:lang w:val="it-IT"/>
        </w:rPr>
        <w:instrText xml:space="preserve"> PAGEREF _Toc342914862 \h </w:instrText>
      </w:r>
      <w:r w:rsidRPr="00EB4D74">
        <w:rPr>
          <w:noProof/>
        </w:rPr>
      </w:r>
      <w:r w:rsidRPr="00EB4D74">
        <w:rPr>
          <w:noProof/>
        </w:rPr>
        <w:fldChar w:fldCharType="separate"/>
      </w:r>
      <w:r>
        <w:rPr>
          <w:noProof/>
          <w:lang w:val="it-IT"/>
        </w:rPr>
        <w:t>59</w:t>
      </w:r>
      <w:r w:rsidRPr="00EB4D74">
        <w:rPr>
          <w:noProof/>
        </w:rPr>
        <w:fldChar w:fldCharType="end"/>
      </w:r>
    </w:p>
    <w:p w:rsidR="008B1196" w:rsidRPr="00EB4D74" w:rsidRDefault="008B1196" w:rsidP="008B1196">
      <w:pPr>
        <w:pStyle w:val="TOC4"/>
        <w:rPr>
          <w:rFonts w:asciiTheme="minorHAnsi" w:eastAsiaTheme="minorEastAsia" w:hAnsiTheme="minorHAnsi" w:cstheme="minorBidi"/>
          <w:noProof/>
          <w:sz w:val="22"/>
          <w:szCs w:val="22"/>
          <w:lang w:val="it-IT"/>
        </w:rPr>
      </w:pPr>
      <w:r w:rsidRPr="00EB4D74">
        <w:rPr>
          <w:rFonts w:cs="Tahoma"/>
          <w:noProof/>
          <w:lang w:val="pt-BR"/>
        </w:rPr>
        <w:t>Renovação entre programas</w:t>
      </w:r>
      <w:r w:rsidRPr="00EB4D74">
        <w:rPr>
          <w:noProof/>
          <w:lang w:val="it-IT"/>
        </w:rPr>
        <w:tab/>
      </w:r>
      <w:r w:rsidRPr="00EB4D74">
        <w:rPr>
          <w:noProof/>
        </w:rPr>
        <w:fldChar w:fldCharType="begin"/>
      </w:r>
      <w:r w:rsidRPr="00EB4D74">
        <w:rPr>
          <w:noProof/>
          <w:lang w:val="it-IT"/>
        </w:rPr>
        <w:instrText xml:space="preserve"> PAGEREF _Toc342914863 \h </w:instrText>
      </w:r>
      <w:r w:rsidRPr="00EB4D74">
        <w:rPr>
          <w:noProof/>
        </w:rPr>
      </w:r>
      <w:r w:rsidRPr="00EB4D74">
        <w:rPr>
          <w:noProof/>
        </w:rPr>
        <w:fldChar w:fldCharType="separate"/>
      </w:r>
      <w:r>
        <w:rPr>
          <w:noProof/>
          <w:lang w:val="it-IT"/>
        </w:rPr>
        <w:t>59</w:t>
      </w:r>
      <w:r w:rsidRPr="00EB4D74">
        <w:rPr>
          <w:noProof/>
        </w:rPr>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SEÇÃO 7 – benefícios DO Software Assurance (SA) e BENEFÍCIOS dos serviços online (ols)</w:t>
      </w:r>
      <w:r w:rsidRPr="00EB4D74">
        <w:rPr>
          <w:color w:val="auto"/>
          <w:lang w:val="it-IT"/>
        </w:rPr>
        <w:tab/>
      </w:r>
      <w:r w:rsidRPr="00EB4D74">
        <w:rPr>
          <w:color w:val="auto"/>
        </w:rPr>
        <w:fldChar w:fldCharType="begin"/>
      </w:r>
      <w:r w:rsidRPr="00EB4D74">
        <w:rPr>
          <w:color w:val="auto"/>
          <w:lang w:val="it-IT"/>
        </w:rPr>
        <w:instrText xml:space="preserve"> PAGEREF _Toc342914864 \h </w:instrText>
      </w:r>
      <w:r w:rsidRPr="00EB4D74">
        <w:rPr>
          <w:color w:val="auto"/>
        </w:rPr>
      </w:r>
      <w:r w:rsidRPr="00EB4D74">
        <w:rPr>
          <w:color w:val="auto"/>
        </w:rPr>
        <w:fldChar w:fldCharType="separate"/>
      </w:r>
      <w:r>
        <w:rPr>
          <w:color w:val="auto"/>
          <w:lang w:val="it-IT"/>
        </w:rPr>
        <w:t>60</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Direitos à Nova Versão</w:t>
      </w:r>
      <w:r w:rsidRPr="00EB4D74">
        <w:rPr>
          <w:lang w:val="it-IT"/>
        </w:rPr>
        <w:tab/>
      </w:r>
      <w:r w:rsidRPr="00EB4D74">
        <w:fldChar w:fldCharType="begin"/>
      </w:r>
      <w:r w:rsidRPr="00EB4D74">
        <w:rPr>
          <w:lang w:val="it-IT"/>
        </w:rPr>
        <w:instrText xml:space="preserve"> PAGEREF _Toc342914865 \h </w:instrText>
      </w:r>
      <w:r w:rsidRPr="00EB4D74">
        <w:fldChar w:fldCharType="separate"/>
      </w:r>
      <w:r>
        <w:rPr>
          <w:lang w:val="it-IT"/>
        </w:rPr>
        <w:t>62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Pacote Multilíngue do Office</w:t>
      </w:r>
      <w:r w:rsidRPr="00EB4D74">
        <w:rPr>
          <w:lang w:val="it-IT"/>
        </w:rPr>
        <w:tab/>
      </w:r>
      <w:r w:rsidRPr="00EB4D74">
        <w:fldChar w:fldCharType="begin"/>
      </w:r>
      <w:r w:rsidRPr="00EB4D74">
        <w:rPr>
          <w:lang w:val="it-IT"/>
        </w:rPr>
        <w:instrText xml:space="preserve"> PAGEREF _Toc342914866 \h </w:instrText>
      </w:r>
      <w:r w:rsidRPr="00EB4D74">
        <w:fldChar w:fldCharType="separate"/>
      </w:r>
      <w:r>
        <w:rPr>
          <w:lang w:val="it-IT"/>
        </w:rPr>
        <w:t>62</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Windows 8 Enterprise</w:t>
      </w:r>
      <w:r w:rsidRPr="00EB4D74">
        <w:rPr>
          <w:color w:val="auto"/>
        </w:rPr>
        <w:tab/>
      </w:r>
      <w:r w:rsidRPr="00EB4D74">
        <w:rPr>
          <w:color w:val="auto"/>
        </w:rPr>
        <w:fldChar w:fldCharType="begin"/>
      </w:r>
      <w:r w:rsidRPr="00EB4D74">
        <w:rPr>
          <w:color w:val="auto"/>
        </w:rPr>
        <w:instrText xml:space="preserve"> PAGEREF _Toc342914867 \h </w:instrText>
      </w:r>
      <w:r w:rsidRPr="00EB4D74">
        <w:rPr>
          <w:color w:val="auto"/>
        </w:rPr>
      </w:r>
      <w:r w:rsidRPr="00EB4D74">
        <w:rPr>
          <w:color w:val="auto"/>
        </w:rPr>
        <w:fldChar w:fldCharType="separate"/>
      </w:r>
      <w:r>
        <w:rPr>
          <w:color w:val="auto"/>
        </w:rPr>
        <w:t>67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Windows 8 Enterprise Sideloading</w:t>
      </w:r>
      <w:r w:rsidRPr="00EB4D74">
        <w:rPr>
          <w:color w:val="auto"/>
        </w:rPr>
        <w:tab/>
      </w:r>
      <w:r w:rsidRPr="00EB4D74">
        <w:rPr>
          <w:color w:val="auto"/>
        </w:rPr>
        <w:fldChar w:fldCharType="begin"/>
      </w:r>
      <w:r w:rsidRPr="00EB4D74">
        <w:rPr>
          <w:color w:val="auto"/>
        </w:rPr>
        <w:instrText xml:space="preserve"> PAGEREF _Toc342914868 \h </w:instrText>
      </w:r>
      <w:r w:rsidRPr="00EB4D74">
        <w:rPr>
          <w:color w:val="auto"/>
        </w:rPr>
      </w:r>
      <w:r w:rsidRPr="00EB4D74">
        <w:rPr>
          <w:color w:val="auto"/>
        </w:rPr>
        <w:fldChar w:fldCharType="separate"/>
      </w:r>
      <w:r>
        <w:rPr>
          <w:color w:val="auto"/>
        </w:rPr>
        <w:t>67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Licença de Assinatura do Windows Companion</w:t>
      </w:r>
      <w:r w:rsidRPr="00EB4D74">
        <w:rPr>
          <w:color w:val="auto"/>
        </w:rPr>
        <w:tab/>
      </w:r>
      <w:r w:rsidRPr="00EB4D74">
        <w:rPr>
          <w:color w:val="auto"/>
        </w:rPr>
        <w:fldChar w:fldCharType="begin"/>
      </w:r>
      <w:r w:rsidRPr="00EB4D74">
        <w:rPr>
          <w:color w:val="auto"/>
        </w:rPr>
        <w:instrText xml:space="preserve"> PAGEREF _Toc342914869 \h </w:instrText>
      </w:r>
      <w:r w:rsidRPr="00EB4D74">
        <w:rPr>
          <w:color w:val="auto"/>
        </w:rPr>
      </w:r>
      <w:r w:rsidRPr="00EB4D74">
        <w:rPr>
          <w:color w:val="auto"/>
        </w:rPr>
        <w:fldChar w:fldCharType="separate"/>
      </w:r>
      <w:r>
        <w:rPr>
          <w:color w:val="auto"/>
        </w:rPr>
        <w:t>67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Cupons de Treinamento</w:t>
      </w:r>
      <w:r w:rsidRPr="00EB4D74">
        <w:rPr>
          <w:color w:val="auto"/>
        </w:rPr>
        <w:tab/>
      </w:r>
      <w:r w:rsidRPr="00EB4D74">
        <w:rPr>
          <w:color w:val="auto"/>
        </w:rPr>
        <w:fldChar w:fldCharType="begin"/>
      </w:r>
      <w:r w:rsidRPr="00EB4D74">
        <w:rPr>
          <w:color w:val="auto"/>
        </w:rPr>
        <w:instrText xml:space="preserve"> PAGEREF _Toc342914870 \h </w:instrText>
      </w:r>
      <w:r w:rsidRPr="00EB4D74">
        <w:rPr>
          <w:color w:val="auto"/>
        </w:rPr>
      </w:r>
      <w:r w:rsidRPr="00EB4D74">
        <w:rPr>
          <w:color w:val="auto"/>
        </w:rPr>
        <w:fldChar w:fldCharType="separate"/>
      </w:r>
      <w:r>
        <w:rPr>
          <w:color w:val="auto"/>
        </w:rPr>
        <w:t>68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E-Learning</w:t>
      </w:r>
      <w:r w:rsidRPr="00EB4D74">
        <w:rPr>
          <w:color w:val="auto"/>
        </w:rPr>
        <w:tab/>
      </w:r>
      <w:r w:rsidRPr="00EB4D74">
        <w:rPr>
          <w:color w:val="auto"/>
        </w:rPr>
        <w:fldChar w:fldCharType="begin"/>
      </w:r>
      <w:r w:rsidRPr="00EB4D74">
        <w:rPr>
          <w:color w:val="auto"/>
        </w:rPr>
        <w:instrText xml:space="preserve"> PAGEREF _Toc342914871 \h </w:instrText>
      </w:r>
      <w:r w:rsidRPr="00EB4D74">
        <w:rPr>
          <w:color w:val="auto"/>
        </w:rPr>
      </w:r>
      <w:r w:rsidRPr="00EB4D74">
        <w:rPr>
          <w:color w:val="auto"/>
        </w:rPr>
        <w:fldChar w:fldCharType="separate"/>
      </w:r>
      <w:r>
        <w:rPr>
          <w:color w:val="auto"/>
        </w:rPr>
        <w:t>70</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Home Use Program</w:t>
      </w:r>
      <w:r w:rsidRPr="00EB4D74">
        <w:rPr>
          <w:color w:val="auto"/>
        </w:rPr>
        <w:tab/>
      </w:r>
      <w:r w:rsidRPr="00EB4D74">
        <w:rPr>
          <w:color w:val="auto"/>
        </w:rPr>
        <w:fldChar w:fldCharType="begin"/>
      </w:r>
      <w:r w:rsidRPr="00EB4D74">
        <w:rPr>
          <w:color w:val="auto"/>
        </w:rPr>
        <w:instrText xml:space="preserve"> PAGEREF _Toc342914872 \h </w:instrText>
      </w:r>
      <w:r w:rsidRPr="00EB4D74">
        <w:rPr>
          <w:color w:val="auto"/>
        </w:rPr>
      </w:r>
      <w:r w:rsidRPr="00EB4D74">
        <w:rPr>
          <w:color w:val="auto"/>
        </w:rPr>
        <w:fldChar w:fldCharType="separate"/>
      </w:r>
      <w:r>
        <w:rPr>
          <w:color w:val="auto"/>
        </w:rPr>
        <w:t>71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Suporte para Resolução de Problemas 24x7</w:t>
      </w:r>
      <w:r w:rsidRPr="00EB4D74">
        <w:rPr>
          <w:color w:val="auto"/>
        </w:rPr>
        <w:tab/>
      </w:r>
      <w:r w:rsidRPr="00EB4D74">
        <w:rPr>
          <w:color w:val="auto"/>
        </w:rPr>
        <w:fldChar w:fldCharType="begin"/>
      </w:r>
      <w:r w:rsidRPr="00EB4D74">
        <w:rPr>
          <w:color w:val="auto"/>
        </w:rPr>
        <w:instrText xml:space="preserve"> PAGEREF _Toc342914873 \h </w:instrText>
      </w:r>
      <w:r w:rsidRPr="00EB4D74">
        <w:rPr>
          <w:color w:val="auto"/>
        </w:rPr>
      </w:r>
      <w:r w:rsidRPr="00EB4D74">
        <w:rPr>
          <w:color w:val="auto"/>
        </w:rPr>
        <w:fldChar w:fldCharType="separate"/>
      </w:r>
      <w:r>
        <w:rPr>
          <w:color w:val="auto"/>
        </w:rPr>
        <w:t>73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Suporte para Resolução de Problemas 24x7 Ilimitado</w:t>
      </w:r>
      <w:r w:rsidRPr="00EB4D74">
        <w:rPr>
          <w:color w:val="auto"/>
        </w:rPr>
        <w:tab/>
      </w:r>
      <w:r w:rsidRPr="00EB4D74">
        <w:rPr>
          <w:color w:val="auto"/>
        </w:rPr>
        <w:fldChar w:fldCharType="begin"/>
      </w:r>
      <w:r w:rsidRPr="00EB4D74">
        <w:rPr>
          <w:color w:val="auto"/>
        </w:rPr>
        <w:instrText xml:space="preserve"> PAGEREF _Toc342914874 \h </w:instrText>
      </w:r>
      <w:r w:rsidRPr="00EB4D74">
        <w:rPr>
          <w:color w:val="auto"/>
        </w:rPr>
      </w:r>
      <w:r w:rsidRPr="00EB4D74">
        <w:rPr>
          <w:color w:val="auto"/>
        </w:rPr>
        <w:fldChar w:fldCharType="separate"/>
      </w:r>
      <w:r>
        <w:rPr>
          <w:color w:val="auto"/>
        </w:rPr>
        <w:t>78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System Center Advisor</w:t>
      </w:r>
      <w:r w:rsidRPr="00EB4D74">
        <w:rPr>
          <w:color w:val="auto"/>
        </w:rPr>
        <w:tab/>
      </w:r>
      <w:r w:rsidRPr="00EB4D74">
        <w:rPr>
          <w:color w:val="auto"/>
        </w:rPr>
        <w:fldChar w:fldCharType="begin"/>
      </w:r>
      <w:r w:rsidRPr="00EB4D74">
        <w:rPr>
          <w:color w:val="auto"/>
        </w:rPr>
        <w:instrText xml:space="preserve"> PAGEREF _Toc342914875 \h </w:instrText>
      </w:r>
      <w:r w:rsidRPr="00EB4D74">
        <w:rPr>
          <w:color w:val="auto"/>
        </w:rPr>
      </w:r>
      <w:r w:rsidRPr="00EB4D74">
        <w:rPr>
          <w:color w:val="auto"/>
        </w:rPr>
        <w:fldChar w:fldCharType="separate"/>
      </w:r>
      <w:r>
        <w:rPr>
          <w:color w:val="auto"/>
        </w:rPr>
        <w:t>80</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Backup Passivo para Recuperação de Desastres</w:t>
      </w:r>
      <w:r w:rsidRPr="00EB4D74">
        <w:rPr>
          <w:color w:val="auto"/>
        </w:rPr>
        <w:tab/>
      </w:r>
      <w:r w:rsidRPr="00EB4D74">
        <w:rPr>
          <w:color w:val="auto"/>
        </w:rPr>
        <w:fldChar w:fldCharType="begin"/>
      </w:r>
      <w:r w:rsidRPr="00EB4D74">
        <w:rPr>
          <w:color w:val="auto"/>
        </w:rPr>
        <w:instrText xml:space="preserve"> PAGEREF _Toc342914876 \h </w:instrText>
      </w:r>
      <w:r w:rsidRPr="00EB4D74">
        <w:rPr>
          <w:color w:val="auto"/>
        </w:rPr>
      </w:r>
      <w:r w:rsidRPr="00EB4D74">
        <w:rPr>
          <w:color w:val="auto"/>
        </w:rPr>
        <w:fldChar w:fldCharType="separate"/>
      </w:r>
      <w:r>
        <w:rPr>
          <w:color w:val="auto"/>
        </w:rPr>
        <w:t>81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Serviços de Assinatura do TechNet SA</w:t>
      </w:r>
      <w:r w:rsidRPr="00EB4D74">
        <w:rPr>
          <w:color w:val="auto"/>
        </w:rPr>
        <w:tab/>
      </w:r>
      <w:r w:rsidRPr="00EB4D74">
        <w:rPr>
          <w:color w:val="auto"/>
        </w:rPr>
        <w:fldChar w:fldCharType="begin"/>
      </w:r>
      <w:r w:rsidRPr="00EB4D74">
        <w:rPr>
          <w:color w:val="auto"/>
        </w:rPr>
        <w:instrText xml:space="preserve"> PAGEREF _Toc342914877 \h </w:instrText>
      </w:r>
      <w:r w:rsidRPr="00EB4D74">
        <w:rPr>
          <w:color w:val="auto"/>
        </w:rPr>
      </w:r>
      <w:r w:rsidRPr="00EB4D74">
        <w:rPr>
          <w:color w:val="auto"/>
        </w:rPr>
        <w:fldChar w:fldCharType="separate"/>
      </w:r>
      <w:r>
        <w:rPr>
          <w:color w:val="auto"/>
        </w:rPr>
        <w:t>81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TechNet Plus Direct</w:t>
      </w:r>
      <w:r w:rsidRPr="00EB4D74">
        <w:rPr>
          <w:color w:val="auto"/>
        </w:rPr>
        <w:tab/>
      </w:r>
      <w:r w:rsidRPr="00EB4D74">
        <w:rPr>
          <w:color w:val="auto"/>
        </w:rPr>
        <w:fldChar w:fldCharType="begin"/>
      </w:r>
      <w:r w:rsidRPr="00EB4D74">
        <w:rPr>
          <w:color w:val="auto"/>
        </w:rPr>
        <w:instrText xml:space="preserve"> PAGEREF _Toc342914878 \h </w:instrText>
      </w:r>
      <w:r w:rsidRPr="00EB4D74">
        <w:rPr>
          <w:color w:val="auto"/>
        </w:rPr>
      </w:r>
      <w:r w:rsidRPr="00EB4D74">
        <w:rPr>
          <w:color w:val="auto"/>
        </w:rPr>
        <w:fldChar w:fldCharType="separate"/>
      </w:r>
      <w:r>
        <w:rPr>
          <w:color w:val="auto"/>
        </w:rPr>
        <w:t>82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Mobilidade de Licença por meio do Software Assurance.</w:t>
      </w:r>
      <w:r w:rsidRPr="00EB4D74">
        <w:rPr>
          <w:color w:val="auto"/>
        </w:rPr>
        <w:tab/>
      </w:r>
      <w:r w:rsidRPr="00EB4D74">
        <w:rPr>
          <w:color w:val="auto"/>
        </w:rPr>
        <w:fldChar w:fldCharType="begin"/>
      </w:r>
      <w:r w:rsidRPr="00EB4D74">
        <w:rPr>
          <w:color w:val="auto"/>
        </w:rPr>
        <w:instrText xml:space="preserve"> PAGEREF _Toc342914879 \h </w:instrText>
      </w:r>
      <w:r w:rsidRPr="00EB4D74">
        <w:rPr>
          <w:color w:val="auto"/>
        </w:rPr>
      </w:r>
      <w:r w:rsidRPr="00EB4D74">
        <w:rPr>
          <w:color w:val="auto"/>
        </w:rPr>
        <w:fldChar w:fldCharType="separate"/>
      </w:r>
      <w:r>
        <w:rPr>
          <w:color w:val="auto"/>
        </w:rPr>
        <w:t>83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Windows Thin PC</w:t>
      </w:r>
      <w:r w:rsidRPr="00EB4D74">
        <w:rPr>
          <w:color w:val="auto"/>
        </w:rPr>
        <w:tab/>
      </w:r>
      <w:r w:rsidRPr="00EB4D74">
        <w:rPr>
          <w:color w:val="auto"/>
        </w:rPr>
        <w:fldChar w:fldCharType="begin"/>
      </w:r>
      <w:r w:rsidRPr="00EB4D74">
        <w:rPr>
          <w:color w:val="auto"/>
        </w:rPr>
        <w:instrText xml:space="preserve"> PAGEREF _Toc342914880 \h </w:instrText>
      </w:r>
      <w:r w:rsidRPr="00EB4D74">
        <w:rPr>
          <w:color w:val="auto"/>
        </w:rPr>
      </w:r>
      <w:r w:rsidRPr="00EB4D74">
        <w:rPr>
          <w:color w:val="auto"/>
        </w:rPr>
        <w:fldChar w:fldCharType="separate"/>
      </w:r>
      <w:r>
        <w:rPr>
          <w:color w:val="auto"/>
        </w:rPr>
        <w:t>84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Microsoft Desktop Optimization Pack para Software Assurance</w:t>
      </w:r>
      <w:r w:rsidRPr="00EB4D74">
        <w:rPr>
          <w:color w:val="auto"/>
        </w:rPr>
        <w:tab/>
      </w:r>
      <w:r w:rsidRPr="00EB4D74">
        <w:rPr>
          <w:color w:val="auto"/>
        </w:rPr>
        <w:fldChar w:fldCharType="begin"/>
      </w:r>
      <w:r w:rsidRPr="00EB4D74">
        <w:rPr>
          <w:color w:val="auto"/>
        </w:rPr>
        <w:instrText xml:space="preserve"> PAGEREF _Toc342914881 \h </w:instrText>
      </w:r>
      <w:r w:rsidRPr="00EB4D74">
        <w:rPr>
          <w:color w:val="auto"/>
        </w:rPr>
      </w:r>
      <w:r w:rsidRPr="00EB4D74">
        <w:rPr>
          <w:color w:val="auto"/>
        </w:rPr>
        <w:fldChar w:fldCharType="separate"/>
      </w:r>
      <w:r>
        <w:rPr>
          <w:color w:val="auto"/>
        </w:rPr>
        <w:t>84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Direitos do Windows Virtual Desktop Access (VDA)</w:t>
      </w:r>
      <w:r w:rsidRPr="00EB4D74">
        <w:rPr>
          <w:color w:val="auto"/>
        </w:rPr>
        <w:tab/>
      </w:r>
      <w:r w:rsidRPr="00EB4D74">
        <w:rPr>
          <w:color w:val="auto"/>
        </w:rPr>
        <w:fldChar w:fldCharType="begin"/>
      </w:r>
      <w:r w:rsidRPr="00EB4D74">
        <w:rPr>
          <w:color w:val="auto"/>
        </w:rPr>
        <w:instrText xml:space="preserve"> PAGEREF _Toc342914882 \h </w:instrText>
      </w:r>
      <w:r w:rsidRPr="00EB4D74">
        <w:rPr>
          <w:color w:val="auto"/>
        </w:rPr>
      </w:r>
      <w:r w:rsidRPr="00EB4D74">
        <w:rPr>
          <w:color w:val="auto"/>
        </w:rPr>
        <w:fldChar w:fldCharType="separate"/>
      </w:r>
      <w:r>
        <w:rPr>
          <w:color w:val="auto"/>
        </w:rPr>
        <w:t>85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lang w:val="pt-BR"/>
        </w:rPr>
        <w:t>Disponibilidade de Licenças Step-up</w:t>
      </w:r>
      <w:r w:rsidRPr="00EB4D74">
        <w:rPr>
          <w:color w:val="auto"/>
        </w:rPr>
        <w:tab/>
      </w:r>
      <w:r w:rsidRPr="00EB4D74">
        <w:rPr>
          <w:color w:val="auto"/>
        </w:rPr>
        <w:fldChar w:fldCharType="begin"/>
      </w:r>
      <w:r w:rsidRPr="00EB4D74">
        <w:rPr>
          <w:color w:val="auto"/>
        </w:rPr>
        <w:instrText xml:space="preserve"> PAGEREF _Toc342914883 \h </w:instrText>
      </w:r>
      <w:r w:rsidRPr="00EB4D74">
        <w:rPr>
          <w:color w:val="auto"/>
        </w:rPr>
      </w:r>
      <w:r w:rsidRPr="00EB4D74">
        <w:rPr>
          <w:color w:val="auto"/>
        </w:rPr>
        <w:fldChar w:fldCharType="separate"/>
      </w:r>
      <w:r>
        <w:rPr>
          <w:color w:val="auto"/>
        </w:rPr>
        <w:t>85</w:t>
      </w:r>
      <w:r w:rsidRPr="00EB4D74">
        <w:rPr>
          <w:color w:val="auto"/>
        </w:rPr>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SEÇÃO 8 – ServiÇOS</w:t>
      </w:r>
      <w:r w:rsidRPr="00EB4D74">
        <w:rPr>
          <w:color w:val="auto"/>
          <w:lang w:val="it-IT"/>
        </w:rPr>
        <w:tab/>
      </w:r>
      <w:r w:rsidRPr="00EB4D74">
        <w:rPr>
          <w:color w:val="auto"/>
        </w:rPr>
        <w:fldChar w:fldCharType="begin"/>
      </w:r>
      <w:r w:rsidRPr="00EB4D74">
        <w:rPr>
          <w:color w:val="auto"/>
          <w:lang w:val="it-IT"/>
        </w:rPr>
        <w:instrText xml:space="preserve"> PAGEREF _Toc342914884 \h </w:instrText>
      </w:r>
      <w:r w:rsidRPr="00EB4D74">
        <w:rPr>
          <w:color w:val="auto"/>
        </w:rPr>
      </w:r>
      <w:r w:rsidRPr="00EB4D74">
        <w:rPr>
          <w:color w:val="auto"/>
        </w:rPr>
        <w:fldChar w:fldCharType="separate"/>
      </w:r>
      <w:r>
        <w:rPr>
          <w:color w:val="auto"/>
          <w:lang w:val="it-IT"/>
        </w:rPr>
        <w:t>87</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Direitos de uso, propriedade e licença.</w:t>
      </w:r>
      <w:r w:rsidRPr="00EB4D74">
        <w:rPr>
          <w:lang w:val="it-IT"/>
        </w:rPr>
        <w:tab/>
      </w:r>
      <w:r w:rsidRPr="00EB4D74">
        <w:fldChar w:fldCharType="begin"/>
      </w:r>
      <w:r w:rsidRPr="00EB4D74">
        <w:rPr>
          <w:lang w:val="it-IT"/>
        </w:rPr>
        <w:instrText xml:space="preserve"> PAGEREF _Toc342914885 \h </w:instrText>
      </w:r>
      <w:r w:rsidRPr="00EB4D74">
        <w:fldChar w:fldCharType="separate"/>
      </w:r>
      <w:r>
        <w:rPr>
          <w:lang w:val="it-IT"/>
        </w:rPr>
        <w:t>94</w:t>
      </w:r>
      <w:r w:rsidRPr="00EB4D74">
        <w:fldChar w:fldCharType="end"/>
      </w:r>
    </w:p>
    <w:p w:rsidR="008B1196" w:rsidRPr="00EB4D74" w:rsidRDefault="008B1196" w:rsidP="008B1196">
      <w:pPr>
        <w:pStyle w:val="TOC1"/>
        <w:rPr>
          <w:color w:val="auto"/>
          <w:lang w:val="it-IT"/>
        </w:rPr>
      </w:pP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lastRenderedPageBreak/>
        <w:t>seção 9 – Termos Adicionais</w:t>
      </w:r>
      <w:r w:rsidRPr="00EB4D74">
        <w:rPr>
          <w:color w:val="auto"/>
          <w:lang w:val="it-IT"/>
        </w:rPr>
        <w:tab/>
      </w:r>
      <w:r w:rsidRPr="00EB4D74">
        <w:rPr>
          <w:color w:val="auto"/>
        </w:rPr>
        <w:fldChar w:fldCharType="begin"/>
      </w:r>
      <w:r w:rsidRPr="00EB4D74">
        <w:rPr>
          <w:color w:val="auto"/>
          <w:lang w:val="it-IT"/>
        </w:rPr>
        <w:instrText xml:space="preserve"> PAGEREF _Toc342914886 \h </w:instrText>
      </w:r>
      <w:r w:rsidRPr="00EB4D74">
        <w:rPr>
          <w:color w:val="auto"/>
        </w:rPr>
      </w:r>
      <w:r w:rsidRPr="00EB4D74">
        <w:rPr>
          <w:color w:val="auto"/>
        </w:rPr>
        <w:fldChar w:fldCharType="separate"/>
      </w:r>
      <w:r>
        <w:rPr>
          <w:color w:val="auto"/>
          <w:lang w:val="it-IT"/>
        </w:rPr>
        <w:t>97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Licenças de Acesso para Cliente (CALs) e Licenças de Gerenciamento (MLs) de Cliente</w:t>
      </w:r>
      <w:r w:rsidRPr="00EB4D74">
        <w:rPr>
          <w:color w:val="auto"/>
          <w:lang w:val="it-IT"/>
        </w:rPr>
        <w:tab/>
      </w:r>
      <w:r w:rsidRPr="00EB4D74">
        <w:rPr>
          <w:color w:val="auto"/>
        </w:rPr>
        <w:fldChar w:fldCharType="begin"/>
      </w:r>
      <w:r w:rsidRPr="00EB4D74">
        <w:rPr>
          <w:color w:val="auto"/>
          <w:lang w:val="it-IT"/>
        </w:rPr>
        <w:instrText xml:space="preserve"> PAGEREF _Toc342914887 \h </w:instrText>
      </w:r>
      <w:r w:rsidRPr="00EB4D74">
        <w:rPr>
          <w:color w:val="auto"/>
        </w:rPr>
      </w:r>
      <w:r w:rsidRPr="00EB4D74">
        <w:rPr>
          <w:color w:val="auto"/>
        </w:rPr>
        <w:fldChar w:fldCharType="separate"/>
      </w:r>
      <w:r>
        <w:rPr>
          <w:color w:val="auto"/>
          <w:lang w:val="it-IT"/>
        </w:rPr>
        <w:t>97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Restrições dos Controles de EI.</w:t>
      </w:r>
      <w:r w:rsidRPr="00EB4D74">
        <w:rPr>
          <w:color w:val="auto"/>
          <w:lang w:val="it-IT"/>
        </w:rPr>
        <w:tab/>
      </w:r>
      <w:r w:rsidRPr="00EB4D74">
        <w:rPr>
          <w:color w:val="auto"/>
        </w:rPr>
        <w:fldChar w:fldCharType="begin"/>
      </w:r>
      <w:r w:rsidRPr="00EB4D74">
        <w:rPr>
          <w:color w:val="auto"/>
          <w:lang w:val="it-IT"/>
        </w:rPr>
        <w:instrText xml:space="preserve"> PAGEREF _Toc342914888 \h </w:instrText>
      </w:r>
      <w:r w:rsidRPr="00EB4D74">
        <w:rPr>
          <w:color w:val="auto"/>
        </w:rPr>
      </w:r>
      <w:r w:rsidRPr="00EB4D74">
        <w:rPr>
          <w:color w:val="auto"/>
        </w:rPr>
        <w:fldChar w:fldCharType="separate"/>
      </w:r>
      <w:r>
        <w:rPr>
          <w:color w:val="auto"/>
          <w:lang w:val="it-IT"/>
        </w:rPr>
        <w:t>97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olor w:val="auto"/>
          <w:lang w:val="pt-BR"/>
        </w:rPr>
        <w:t xml:space="preserve">Pacotes Multilíngues (MLPs), funcionalidade de MUIs (Multilanguage User Interface) e direitos </w:t>
      </w:r>
      <w:r w:rsidRPr="00EB4D74">
        <w:rPr>
          <w:color w:val="auto"/>
          <w:lang w:val="pt-BR"/>
        </w:rPr>
        <w:br/>
        <w:t>a novos idiomas</w:t>
      </w:r>
      <w:r w:rsidRPr="00EB4D74">
        <w:rPr>
          <w:color w:val="auto"/>
          <w:lang w:val="it-IT"/>
        </w:rPr>
        <w:tab/>
      </w:r>
      <w:r w:rsidRPr="00EB4D74">
        <w:rPr>
          <w:color w:val="auto"/>
        </w:rPr>
        <w:fldChar w:fldCharType="begin"/>
      </w:r>
      <w:r w:rsidRPr="00EB4D74">
        <w:rPr>
          <w:color w:val="auto"/>
          <w:lang w:val="it-IT"/>
        </w:rPr>
        <w:instrText xml:space="preserve"> PAGEREF _Toc342914889 \h </w:instrText>
      </w:r>
      <w:r w:rsidRPr="00EB4D74">
        <w:rPr>
          <w:color w:val="auto"/>
        </w:rPr>
      </w:r>
      <w:r w:rsidRPr="00EB4D74">
        <w:rPr>
          <w:color w:val="auto"/>
        </w:rPr>
        <w:fldChar w:fldCharType="separate"/>
      </w:r>
      <w:r>
        <w:rPr>
          <w:color w:val="auto"/>
          <w:lang w:val="it-IT"/>
        </w:rPr>
        <w:t>98</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Licenças independentes da plataforma</w:t>
      </w:r>
      <w:r w:rsidRPr="00EB4D74">
        <w:rPr>
          <w:lang w:val="it-IT"/>
        </w:rPr>
        <w:tab/>
      </w:r>
      <w:r w:rsidRPr="00EB4D74">
        <w:fldChar w:fldCharType="begin"/>
      </w:r>
      <w:r w:rsidRPr="00EB4D74">
        <w:rPr>
          <w:lang w:val="it-IT"/>
        </w:rPr>
        <w:instrText xml:space="preserve"> PAGEREF _Toc342914890 \h </w:instrText>
      </w:r>
      <w:r w:rsidRPr="00EB4D74">
        <w:fldChar w:fldCharType="separate"/>
      </w:r>
      <w:r>
        <w:rPr>
          <w:lang w:val="it-IT"/>
        </w:rPr>
        <w:t>98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Chaves de Produto em Licenças por Volume</w:t>
      </w:r>
      <w:r w:rsidRPr="00EB4D74">
        <w:rPr>
          <w:lang w:val="it-IT"/>
        </w:rPr>
        <w:tab/>
      </w:r>
      <w:r w:rsidRPr="00EB4D74">
        <w:fldChar w:fldCharType="begin"/>
      </w:r>
      <w:r w:rsidRPr="00EB4D74">
        <w:rPr>
          <w:lang w:val="it-IT"/>
        </w:rPr>
        <w:instrText xml:space="preserve"> PAGEREF _Toc342914891 \h </w:instrText>
      </w:r>
      <w:r w:rsidRPr="00EB4D74">
        <w:fldChar w:fldCharType="separate"/>
      </w:r>
      <w:r>
        <w:rPr>
          <w:lang w:val="it-IT"/>
        </w:rPr>
        <w:t>99</w:t>
      </w:r>
      <w:r w:rsidRPr="00EB4D74">
        <w:fldChar w:fldCharType="end"/>
      </w:r>
    </w:p>
    <w:p w:rsidR="008B1196" w:rsidRPr="00EB4D74" w:rsidRDefault="008B1196" w:rsidP="008B1196">
      <w:pPr>
        <w:pStyle w:val="TOC1"/>
        <w:rPr>
          <w:rFonts w:asciiTheme="minorHAnsi" w:eastAsiaTheme="minorEastAsia" w:hAnsiTheme="minorHAnsi" w:cstheme="minorBidi"/>
          <w:b w:val="0"/>
          <w:caps w:val="0"/>
          <w:color w:val="auto"/>
          <w:szCs w:val="22"/>
          <w:lang w:val="it-IT"/>
        </w:rPr>
      </w:pPr>
      <w:r w:rsidRPr="00EB4D74">
        <w:rPr>
          <w:color w:val="auto"/>
          <w:lang w:val="it-IT"/>
        </w:rPr>
        <w:t>NoTAS do Produto</w:t>
      </w:r>
      <w:r w:rsidRPr="00EB4D74">
        <w:rPr>
          <w:color w:val="auto"/>
          <w:lang w:val="it-IT"/>
        </w:rPr>
        <w:tab/>
      </w:r>
      <w:r w:rsidRPr="00EB4D74">
        <w:rPr>
          <w:color w:val="auto"/>
        </w:rPr>
        <w:fldChar w:fldCharType="begin"/>
      </w:r>
      <w:r w:rsidRPr="00EB4D74">
        <w:rPr>
          <w:color w:val="auto"/>
          <w:lang w:val="it-IT"/>
        </w:rPr>
        <w:instrText xml:space="preserve"> PAGEREF _Toc342914892 \h </w:instrText>
      </w:r>
      <w:r w:rsidRPr="00EB4D74">
        <w:rPr>
          <w:color w:val="auto"/>
        </w:rPr>
      </w:r>
      <w:r w:rsidRPr="00EB4D74">
        <w:rPr>
          <w:color w:val="auto"/>
        </w:rPr>
        <w:fldChar w:fldCharType="separate"/>
      </w:r>
      <w:r>
        <w:rPr>
          <w:color w:val="auto"/>
          <w:lang w:val="it-IT"/>
        </w:rPr>
        <w:t>100</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lang w:val="pt-BR"/>
        </w:rPr>
        <w:t>Pool de Aplicativos</w:t>
      </w:r>
      <w:r w:rsidRPr="00EB4D74">
        <w:rPr>
          <w:lang w:val="it-IT"/>
        </w:rPr>
        <w:tab/>
      </w:r>
      <w:r w:rsidRPr="00EB4D74">
        <w:fldChar w:fldCharType="begin"/>
      </w:r>
      <w:r w:rsidRPr="00EB4D74">
        <w:rPr>
          <w:lang w:val="it-IT"/>
        </w:rPr>
        <w:instrText xml:space="preserve"> PAGEREF _Toc342914893 \h </w:instrText>
      </w:r>
      <w:r w:rsidRPr="00EB4D74">
        <w:fldChar w:fldCharType="separate"/>
      </w:r>
      <w:r>
        <w:rPr>
          <w:lang w:val="it-IT"/>
        </w:rPr>
        <w:t>100</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1</w:t>
      </w:r>
      <w:r w:rsidRPr="00EB4D74">
        <w:rPr>
          <w:caps/>
          <w:color w:val="auto"/>
          <w:lang w:val="pt-BR"/>
        </w:rPr>
        <w:t xml:space="preserve"> </w:t>
      </w:r>
      <w:r w:rsidRPr="00EB4D74">
        <w:rPr>
          <w:color w:val="auto"/>
          <w:lang w:val="pt-BR"/>
        </w:rPr>
        <w:t>Bing Maps Desktop Com Pacote De Conteúdo Aprimorado</w:t>
      </w:r>
      <w:r w:rsidRPr="00EB4D74">
        <w:rPr>
          <w:color w:val="auto"/>
          <w:lang w:val="it-IT"/>
        </w:rPr>
        <w:tab/>
      </w:r>
      <w:r w:rsidRPr="00EB4D74">
        <w:rPr>
          <w:color w:val="auto"/>
        </w:rPr>
        <w:fldChar w:fldCharType="begin"/>
      </w:r>
      <w:r w:rsidRPr="00EB4D74">
        <w:rPr>
          <w:color w:val="auto"/>
          <w:lang w:val="it-IT"/>
        </w:rPr>
        <w:instrText xml:space="preserve"> PAGEREF _Toc342914894 \h </w:instrText>
      </w:r>
      <w:r w:rsidRPr="00EB4D74">
        <w:rPr>
          <w:color w:val="auto"/>
        </w:rPr>
      </w:r>
      <w:r w:rsidRPr="00EB4D74">
        <w:rPr>
          <w:color w:val="auto"/>
        </w:rPr>
        <w:fldChar w:fldCharType="separate"/>
      </w:r>
      <w:r>
        <w:rPr>
          <w:color w:val="auto"/>
          <w:lang w:val="it-IT"/>
        </w:rPr>
        <w:t>100</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2</w:t>
      </w:r>
      <w:r w:rsidRPr="00EB4D74">
        <w:rPr>
          <w:color w:val="auto"/>
          <w:lang w:val="pt-BR"/>
        </w:rPr>
        <w:t xml:space="preserve"> Expression Studio Web Professional 4, Expression Studio Ultimate 4, Expression Encoder Pro 4</w:t>
      </w:r>
      <w:r w:rsidRPr="00EB4D74">
        <w:rPr>
          <w:color w:val="auto"/>
          <w:lang w:val="it-IT"/>
        </w:rPr>
        <w:tab/>
      </w:r>
      <w:r w:rsidRPr="00EB4D74">
        <w:rPr>
          <w:color w:val="auto"/>
        </w:rPr>
        <w:fldChar w:fldCharType="begin"/>
      </w:r>
      <w:r w:rsidRPr="00EB4D74">
        <w:rPr>
          <w:color w:val="auto"/>
          <w:lang w:val="it-IT"/>
        </w:rPr>
        <w:instrText xml:space="preserve"> PAGEREF _Toc342914895 \h </w:instrText>
      </w:r>
      <w:r w:rsidRPr="00EB4D74">
        <w:rPr>
          <w:color w:val="auto"/>
        </w:rPr>
      </w:r>
      <w:r w:rsidRPr="00EB4D74">
        <w:rPr>
          <w:color w:val="auto"/>
        </w:rPr>
        <w:fldChar w:fldCharType="separate"/>
      </w:r>
      <w:r>
        <w:rPr>
          <w:color w:val="auto"/>
          <w:lang w:val="it-IT"/>
        </w:rPr>
        <w:t>100</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3</w:t>
      </w:r>
      <w:r w:rsidRPr="00EB4D74">
        <w:rPr>
          <w:color w:val="auto"/>
          <w:lang w:val="pt-BR"/>
        </w:rPr>
        <w:t xml:space="preserve"> Lync para Mac 2011</w:t>
      </w:r>
      <w:r w:rsidRPr="00EB4D74">
        <w:rPr>
          <w:color w:val="auto"/>
          <w:lang w:val="it-IT"/>
        </w:rPr>
        <w:tab/>
      </w:r>
      <w:r w:rsidRPr="00EB4D74">
        <w:rPr>
          <w:color w:val="auto"/>
        </w:rPr>
        <w:fldChar w:fldCharType="begin"/>
      </w:r>
      <w:r w:rsidRPr="00EB4D74">
        <w:rPr>
          <w:color w:val="auto"/>
          <w:lang w:val="it-IT"/>
        </w:rPr>
        <w:instrText xml:space="preserve"> PAGEREF _Toc342914896 \h </w:instrText>
      </w:r>
      <w:r w:rsidRPr="00EB4D74">
        <w:rPr>
          <w:color w:val="auto"/>
        </w:rPr>
      </w:r>
      <w:r w:rsidRPr="00EB4D74">
        <w:rPr>
          <w:color w:val="auto"/>
        </w:rPr>
        <w:fldChar w:fldCharType="separate"/>
      </w:r>
      <w:r>
        <w:rPr>
          <w:color w:val="auto"/>
          <w:lang w:val="it-IT"/>
        </w:rPr>
        <w:t>101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 xml:space="preserve">4 </w:t>
      </w:r>
      <w:r w:rsidRPr="00EB4D74">
        <w:rPr>
          <w:color w:val="auto"/>
          <w:lang w:val="pt-BR"/>
        </w:rPr>
        <w:t>Sistemas Operacionais MSDN</w:t>
      </w:r>
      <w:r w:rsidRPr="00EB4D74">
        <w:rPr>
          <w:color w:val="auto"/>
          <w:lang w:val="it-IT"/>
        </w:rPr>
        <w:tab/>
      </w:r>
      <w:r w:rsidRPr="00EB4D74">
        <w:rPr>
          <w:color w:val="auto"/>
        </w:rPr>
        <w:fldChar w:fldCharType="begin"/>
      </w:r>
      <w:r w:rsidRPr="00EB4D74">
        <w:rPr>
          <w:color w:val="auto"/>
          <w:lang w:val="it-IT"/>
        </w:rPr>
        <w:instrText xml:space="preserve"> PAGEREF _Toc342914897 \h </w:instrText>
      </w:r>
      <w:r w:rsidRPr="00EB4D74">
        <w:rPr>
          <w:color w:val="auto"/>
        </w:rPr>
      </w:r>
      <w:r w:rsidRPr="00EB4D74">
        <w:rPr>
          <w:color w:val="auto"/>
        </w:rPr>
        <w:fldChar w:fldCharType="separate"/>
      </w:r>
      <w:r>
        <w:rPr>
          <w:color w:val="auto"/>
          <w:lang w:val="it-IT"/>
        </w:rPr>
        <w:t>101</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vertAlign w:val="superscript"/>
          <w:lang w:val="it-IT"/>
        </w:rPr>
        <w:t>5</w:t>
      </w:r>
      <w:r w:rsidRPr="00EB4D74">
        <w:rPr>
          <w:rFonts w:cs="Tahoma"/>
          <w:lang w:val="it-IT"/>
        </w:rPr>
        <w:t xml:space="preserve"> Office 365 Plano A2-A4 (SL do Usuário)</w:t>
      </w:r>
      <w:r w:rsidRPr="00EB4D74">
        <w:rPr>
          <w:lang w:val="it-IT"/>
        </w:rPr>
        <w:tab/>
      </w:r>
      <w:r w:rsidRPr="00EB4D74">
        <w:fldChar w:fldCharType="begin"/>
      </w:r>
      <w:r w:rsidRPr="00EB4D74">
        <w:rPr>
          <w:lang w:val="it-IT"/>
        </w:rPr>
        <w:instrText xml:space="preserve"> PAGEREF _Toc342914898 \h </w:instrText>
      </w:r>
      <w:r w:rsidRPr="00EB4D74">
        <w:fldChar w:fldCharType="separate"/>
      </w:r>
      <w:r>
        <w:rPr>
          <w:lang w:val="it-IT"/>
        </w:rPr>
        <w:t>101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lang w:val="it-IT"/>
        </w:rPr>
      </w:pPr>
      <w:r w:rsidRPr="00EB4D74">
        <w:rPr>
          <w:rFonts w:cs="Tahoma"/>
          <w:caps/>
          <w:vertAlign w:val="superscript"/>
          <w:lang w:val="pt-BR"/>
        </w:rPr>
        <w:t xml:space="preserve">6 </w:t>
      </w:r>
      <w:r w:rsidRPr="00EB4D74">
        <w:rPr>
          <w:rFonts w:cs="Tahoma"/>
          <w:lang w:val="pt-BR"/>
        </w:rPr>
        <w:t>Office 365 Plano E2-E4</w:t>
      </w:r>
      <w:r w:rsidRPr="00EB4D74">
        <w:rPr>
          <w:lang w:val="it-IT"/>
        </w:rPr>
        <w:tab/>
      </w:r>
      <w:r w:rsidRPr="00EB4D74">
        <w:fldChar w:fldCharType="begin"/>
      </w:r>
      <w:r w:rsidRPr="00EB4D74">
        <w:rPr>
          <w:lang w:val="it-IT"/>
        </w:rPr>
        <w:instrText xml:space="preserve"> PAGEREF _Toc342914899 \h </w:instrText>
      </w:r>
      <w:r w:rsidRPr="00EB4D74">
        <w:fldChar w:fldCharType="separate"/>
      </w:r>
      <w:r>
        <w:rPr>
          <w:lang w:val="it-IT"/>
        </w:rPr>
        <w:t>102</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 xml:space="preserve">7 </w:t>
      </w:r>
      <w:r w:rsidRPr="00EB4D74">
        <w:rPr>
          <w:color w:val="auto"/>
          <w:lang w:val="pt-BR"/>
        </w:rPr>
        <w:t>Office para Mac Standard 2011</w:t>
      </w:r>
      <w:r w:rsidRPr="00EB4D74">
        <w:rPr>
          <w:color w:val="auto"/>
          <w:lang w:val="it-IT"/>
        </w:rPr>
        <w:tab/>
      </w:r>
      <w:r w:rsidRPr="00EB4D74">
        <w:rPr>
          <w:color w:val="auto"/>
        </w:rPr>
        <w:fldChar w:fldCharType="begin"/>
      </w:r>
      <w:r w:rsidRPr="00EB4D74">
        <w:rPr>
          <w:color w:val="auto"/>
          <w:lang w:val="it-IT"/>
        </w:rPr>
        <w:instrText xml:space="preserve"> PAGEREF _Toc342914900 \h </w:instrText>
      </w:r>
      <w:r w:rsidRPr="00EB4D74">
        <w:rPr>
          <w:color w:val="auto"/>
        </w:rPr>
      </w:r>
      <w:r w:rsidRPr="00EB4D74">
        <w:rPr>
          <w:color w:val="auto"/>
        </w:rPr>
        <w:fldChar w:fldCharType="separate"/>
      </w:r>
      <w:r>
        <w:rPr>
          <w:color w:val="auto"/>
          <w:lang w:val="it-IT"/>
        </w:rPr>
        <w:t>103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8 </w:t>
      </w:r>
      <w:r w:rsidRPr="00EB4D74">
        <w:rPr>
          <w:color w:val="auto"/>
          <w:lang w:val="pt-BR"/>
        </w:rPr>
        <w:t>Pacote Multilíngue Do Office 2013</w:t>
      </w:r>
      <w:r w:rsidRPr="00EB4D74">
        <w:rPr>
          <w:color w:val="auto"/>
        </w:rPr>
        <w:tab/>
      </w:r>
      <w:r w:rsidRPr="00EB4D74">
        <w:rPr>
          <w:color w:val="auto"/>
        </w:rPr>
        <w:fldChar w:fldCharType="begin"/>
      </w:r>
      <w:r w:rsidRPr="00EB4D74">
        <w:rPr>
          <w:color w:val="auto"/>
        </w:rPr>
        <w:instrText xml:space="preserve"> PAGEREF _Toc342914901 \h </w:instrText>
      </w:r>
      <w:r w:rsidRPr="00EB4D74">
        <w:rPr>
          <w:color w:val="auto"/>
        </w:rPr>
      </w:r>
      <w:r w:rsidRPr="00EB4D74">
        <w:rPr>
          <w:color w:val="auto"/>
        </w:rPr>
        <w:fldChar w:fldCharType="separate"/>
      </w:r>
      <w:r>
        <w:rPr>
          <w:color w:val="auto"/>
        </w:rPr>
        <w:t>103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9</w:t>
      </w:r>
      <w:r w:rsidRPr="00EB4D74">
        <w:rPr>
          <w:color w:val="auto"/>
          <w:lang w:val="pt-BR"/>
        </w:rPr>
        <w:t xml:space="preserve"> Office Professional Plus 2013</w:t>
      </w:r>
      <w:r w:rsidRPr="00EB4D74">
        <w:rPr>
          <w:color w:val="auto"/>
        </w:rPr>
        <w:tab/>
      </w:r>
      <w:r w:rsidRPr="00EB4D74">
        <w:rPr>
          <w:color w:val="auto"/>
        </w:rPr>
        <w:fldChar w:fldCharType="begin"/>
      </w:r>
      <w:r w:rsidRPr="00EB4D74">
        <w:rPr>
          <w:color w:val="auto"/>
        </w:rPr>
        <w:instrText xml:space="preserve"> PAGEREF _Toc342914902 \h </w:instrText>
      </w:r>
      <w:r w:rsidRPr="00EB4D74">
        <w:rPr>
          <w:color w:val="auto"/>
        </w:rPr>
      </w:r>
      <w:r w:rsidRPr="00EB4D74">
        <w:rPr>
          <w:color w:val="auto"/>
        </w:rPr>
        <w:fldChar w:fldCharType="separate"/>
      </w:r>
      <w:r>
        <w:rPr>
          <w:color w:val="auto"/>
        </w:rPr>
        <w:t>104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10</w:t>
      </w:r>
      <w:r w:rsidRPr="00EB4D74">
        <w:rPr>
          <w:color w:val="auto"/>
          <w:lang w:val="pt-BR"/>
        </w:rPr>
        <w:t xml:space="preserve"> Office Standard 2013</w:t>
      </w:r>
      <w:r w:rsidRPr="00EB4D74">
        <w:rPr>
          <w:color w:val="auto"/>
        </w:rPr>
        <w:tab/>
      </w:r>
      <w:r w:rsidRPr="00EB4D74">
        <w:rPr>
          <w:color w:val="auto"/>
        </w:rPr>
        <w:fldChar w:fldCharType="begin"/>
      </w:r>
      <w:r w:rsidRPr="00EB4D74">
        <w:rPr>
          <w:color w:val="auto"/>
        </w:rPr>
        <w:instrText xml:space="preserve"> PAGEREF _Toc342914903 \h </w:instrText>
      </w:r>
      <w:r w:rsidRPr="00EB4D74">
        <w:rPr>
          <w:color w:val="auto"/>
        </w:rPr>
      </w:r>
      <w:r w:rsidRPr="00EB4D74">
        <w:rPr>
          <w:color w:val="auto"/>
        </w:rPr>
        <w:fldChar w:fldCharType="separate"/>
      </w:r>
      <w:r>
        <w:rPr>
          <w:color w:val="auto"/>
        </w:rPr>
        <w:t>104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11 </w:t>
      </w:r>
      <w:r w:rsidRPr="00EB4D74">
        <w:rPr>
          <w:color w:val="auto"/>
          <w:lang w:val="pt-BR"/>
        </w:rPr>
        <w:t>Office Professional Plus Subscription (Sl De Usuário)</w:t>
      </w:r>
      <w:r w:rsidRPr="00EB4D74">
        <w:rPr>
          <w:color w:val="auto"/>
        </w:rPr>
        <w:tab/>
      </w:r>
      <w:r w:rsidRPr="00EB4D74">
        <w:rPr>
          <w:color w:val="auto"/>
        </w:rPr>
        <w:fldChar w:fldCharType="begin"/>
      </w:r>
      <w:r w:rsidRPr="00EB4D74">
        <w:rPr>
          <w:color w:val="auto"/>
        </w:rPr>
        <w:instrText xml:space="preserve"> PAGEREF _Toc342914904 \h </w:instrText>
      </w:r>
      <w:r w:rsidRPr="00EB4D74">
        <w:rPr>
          <w:color w:val="auto"/>
        </w:rPr>
      </w:r>
      <w:r w:rsidRPr="00EB4D74">
        <w:rPr>
          <w:color w:val="auto"/>
        </w:rPr>
        <w:fldChar w:fldCharType="separate"/>
      </w:r>
      <w:r>
        <w:rPr>
          <w:color w:val="auto"/>
        </w:rPr>
        <w:t>104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12</w:t>
      </w:r>
      <w:r w:rsidRPr="00EB4D74">
        <w:rPr>
          <w:color w:val="auto"/>
          <w:lang w:val="pt-BR"/>
        </w:rPr>
        <w:t xml:space="preserve"> Outlook para Mac 2011</w:t>
      </w:r>
      <w:r w:rsidRPr="00EB4D74">
        <w:rPr>
          <w:color w:val="auto"/>
        </w:rPr>
        <w:tab/>
      </w:r>
      <w:r w:rsidRPr="00EB4D74">
        <w:rPr>
          <w:color w:val="auto"/>
        </w:rPr>
        <w:fldChar w:fldCharType="begin"/>
      </w:r>
      <w:r w:rsidRPr="00EB4D74">
        <w:rPr>
          <w:color w:val="auto"/>
        </w:rPr>
        <w:instrText xml:space="preserve"> PAGEREF _Toc342914905 \h </w:instrText>
      </w:r>
      <w:r w:rsidRPr="00EB4D74">
        <w:rPr>
          <w:color w:val="auto"/>
        </w:rPr>
      </w:r>
      <w:r w:rsidRPr="00EB4D74">
        <w:rPr>
          <w:color w:val="auto"/>
        </w:rPr>
        <w:fldChar w:fldCharType="separate"/>
      </w:r>
      <w:r>
        <w:rPr>
          <w:color w:val="auto"/>
        </w:rPr>
        <w:t>105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13</w:t>
      </w:r>
      <w:r w:rsidRPr="00EB4D74">
        <w:rPr>
          <w:color w:val="auto"/>
          <w:lang w:val="pt-BR"/>
        </w:rPr>
        <w:t xml:space="preserve"> Project 2013 Professional</w:t>
      </w:r>
      <w:r w:rsidRPr="00EB4D74">
        <w:rPr>
          <w:color w:val="auto"/>
        </w:rPr>
        <w:tab/>
      </w:r>
      <w:r w:rsidRPr="00EB4D74">
        <w:rPr>
          <w:color w:val="auto"/>
        </w:rPr>
        <w:fldChar w:fldCharType="begin"/>
      </w:r>
      <w:r w:rsidRPr="00EB4D74">
        <w:rPr>
          <w:color w:val="auto"/>
        </w:rPr>
        <w:instrText xml:space="preserve"> PAGEREF _Toc342914906 \h </w:instrText>
      </w:r>
      <w:r w:rsidRPr="00EB4D74">
        <w:rPr>
          <w:color w:val="auto"/>
        </w:rPr>
      </w:r>
      <w:r w:rsidRPr="00EB4D74">
        <w:rPr>
          <w:color w:val="auto"/>
        </w:rPr>
        <w:fldChar w:fldCharType="separate"/>
      </w:r>
      <w:r>
        <w:rPr>
          <w:color w:val="auto"/>
        </w:rPr>
        <w:t>105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14 </w:t>
      </w:r>
      <w:r w:rsidRPr="00EB4D74">
        <w:rPr>
          <w:color w:val="auto"/>
          <w:lang w:val="pt-BR"/>
        </w:rPr>
        <w:t>Direitos De Locação Do Office</w:t>
      </w:r>
      <w:r w:rsidRPr="00EB4D74">
        <w:rPr>
          <w:color w:val="auto"/>
        </w:rPr>
        <w:tab/>
      </w:r>
      <w:r w:rsidRPr="00EB4D74">
        <w:rPr>
          <w:color w:val="auto"/>
        </w:rPr>
        <w:fldChar w:fldCharType="begin"/>
      </w:r>
      <w:r w:rsidRPr="00EB4D74">
        <w:rPr>
          <w:color w:val="auto"/>
        </w:rPr>
        <w:instrText xml:space="preserve"> PAGEREF _Toc342914907 \h </w:instrText>
      </w:r>
      <w:r w:rsidRPr="00EB4D74">
        <w:rPr>
          <w:color w:val="auto"/>
        </w:rPr>
      </w:r>
      <w:r w:rsidRPr="00EB4D74">
        <w:rPr>
          <w:color w:val="auto"/>
        </w:rPr>
        <w:fldChar w:fldCharType="separate"/>
      </w:r>
      <w:r>
        <w:rPr>
          <w:color w:val="auto"/>
        </w:rPr>
        <w:t>105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15</w:t>
      </w:r>
      <w:r w:rsidRPr="00EB4D74">
        <w:rPr>
          <w:color w:val="auto"/>
          <w:lang w:val="pt-BR"/>
        </w:rPr>
        <w:t xml:space="preserve"> Visio Professional 2013</w:t>
      </w:r>
      <w:r w:rsidRPr="00EB4D74">
        <w:rPr>
          <w:color w:val="auto"/>
          <w:lang w:val="it-IT"/>
        </w:rPr>
        <w:tab/>
      </w:r>
      <w:r w:rsidRPr="00EB4D74">
        <w:rPr>
          <w:color w:val="auto"/>
        </w:rPr>
        <w:fldChar w:fldCharType="begin"/>
      </w:r>
      <w:r w:rsidRPr="00EB4D74">
        <w:rPr>
          <w:color w:val="auto"/>
          <w:lang w:val="it-IT"/>
        </w:rPr>
        <w:instrText xml:space="preserve"> PAGEREF _Toc342914908 \h </w:instrText>
      </w:r>
      <w:r w:rsidRPr="00EB4D74">
        <w:rPr>
          <w:color w:val="auto"/>
        </w:rPr>
      </w:r>
      <w:r w:rsidRPr="00EB4D74">
        <w:rPr>
          <w:color w:val="auto"/>
        </w:rPr>
        <w:fldChar w:fldCharType="separate"/>
      </w:r>
      <w:r>
        <w:rPr>
          <w:color w:val="auto"/>
          <w:lang w:val="it-IT"/>
        </w:rPr>
        <w:t>106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16</w:t>
      </w:r>
      <w:r w:rsidRPr="00EB4D74">
        <w:rPr>
          <w:color w:val="auto"/>
          <w:lang w:val="pt-BR"/>
        </w:rPr>
        <w:t xml:space="preserve"> Visual Studio Professional 2012</w:t>
      </w:r>
      <w:r w:rsidRPr="00EB4D74">
        <w:rPr>
          <w:color w:val="auto"/>
          <w:lang w:val="it-IT"/>
        </w:rPr>
        <w:tab/>
      </w:r>
      <w:r w:rsidRPr="00EB4D74">
        <w:rPr>
          <w:color w:val="auto"/>
        </w:rPr>
        <w:fldChar w:fldCharType="begin"/>
      </w:r>
      <w:r w:rsidRPr="00EB4D74">
        <w:rPr>
          <w:color w:val="auto"/>
          <w:lang w:val="it-IT"/>
        </w:rPr>
        <w:instrText xml:space="preserve"> PAGEREF _Toc342914909 \h </w:instrText>
      </w:r>
      <w:r w:rsidRPr="00EB4D74">
        <w:rPr>
          <w:color w:val="auto"/>
        </w:rPr>
      </w:r>
      <w:r w:rsidRPr="00EB4D74">
        <w:rPr>
          <w:color w:val="auto"/>
        </w:rPr>
        <w:fldChar w:fldCharType="separate"/>
      </w:r>
      <w:r>
        <w:rPr>
          <w:color w:val="auto"/>
          <w:lang w:val="it-IT"/>
        </w:rPr>
        <w:t>107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17</w:t>
      </w:r>
      <w:r w:rsidRPr="00EB4D74">
        <w:rPr>
          <w:color w:val="auto"/>
          <w:lang w:val="pt-BR"/>
        </w:rPr>
        <w:t xml:space="preserve"> Visual Studio Professional 2012 com MSDN</w:t>
      </w:r>
      <w:r w:rsidRPr="00EB4D74">
        <w:rPr>
          <w:color w:val="auto"/>
          <w:lang w:val="it-IT"/>
        </w:rPr>
        <w:tab/>
      </w:r>
      <w:r w:rsidRPr="00EB4D74">
        <w:rPr>
          <w:color w:val="auto"/>
        </w:rPr>
        <w:fldChar w:fldCharType="begin"/>
      </w:r>
      <w:r w:rsidRPr="00EB4D74">
        <w:rPr>
          <w:color w:val="auto"/>
          <w:lang w:val="it-IT"/>
        </w:rPr>
        <w:instrText xml:space="preserve"> PAGEREF _Toc342914910 \h </w:instrText>
      </w:r>
      <w:r w:rsidRPr="00EB4D74">
        <w:rPr>
          <w:color w:val="auto"/>
        </w:rPr>
      </w:r>
      <w:r w:rsidRPr="00EB4D74">
        <w:rPr>
          <w:color w:val="auto"/>
        </w:rPr>
        <w:fldChar w:fldCharType="separate"/>
      </w:r>
      <w:r>
        <w:rPr>
          <w:color w:val="auto"/>
          <w:lang w:val="it-IT"/>
        </w:rPr>
        <w:t>107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18</w:t>
      </w:r>
      <w:r w:rsidRPr="00EB4D74">
        <w:rPr>
          <w:color w:val="auto"/>
          <w:lang w:val="pt-BR"/>
        </w:rPr>
        <w:t xml:space="preserve"> Visual Studio Premium 2012 com MSDN</w:t>
      </w:r>
      <w:r w:rsidRPr="00EB4D74">
        <w:rPr>
          <w:color w:val="auto"/>
          <w:lang w:val="it-IT"/>
        </w:rPr>
        <w:tab/>
      </w:r>
      <w:r w:rsidRPr="00EB4D74">
        <w:rPr>
          <w:color w:val="auto"/>
        </w:rPr>
        <w:fldChar w:fldCharType="begin"/>
      </w:r>
      <w:r w:rsidRPr="00EB4D74">
        <w:rPr>
          <w:color w:val="auto"/>
          <w:lang w:val="it-IT"/>
        </w:rPr>
        <w:instrText xml:space="preserve"> PAGEREF _Toc342914911 \h </w:instrText>
      </w:r>
      <w:r w:rsidRPr="00EB4D74">
        <w:rPr>
          <w:color w:val="auto"/>
        </w:rPr>
      </w:r>
      <w:r w:rsidRPr="00EB4D74">
        <w:rPr>
          <w:color w:val="auto"/>
        </w:rPr>
        <w:fldChar w:fldCharType="separate"/>
      </w:r>
      <w:r>
        <w:rPr>
          <w:color w:val="auto"/>
          <w:lang w:val="it-IT"/>
        </w:rPr>
        <w:t>108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19</w:t>
      </w:r>
      <w:r w:rsidRPr="00EB4D74">
        <w:rPr>
          <w:color w:val="auto"/>
          <w:lang w:val="pt-BR"/>
        </w:rPr>
        <w:t xml:space="preserve"> Visual Studio Ultimate 2012 com MSDN</w:t>
      </w:r>
      <w:r w:rsidRPr="00EB4D74">
        <w:rPr>
          <w:color w:val="auto"/>
          <w:lang w:val="it-IT"/>
        </w:rPr>
        <w:tab/>
      </w:r>
      <w:r w:rsidRPr="00EB4D74">
        <w:rPr>
          <w:color w:val="auto"/>
        </w:rPr>
        <w:fldChar w:fldCharType="begin"/>
      </w:r>
      <w:r w:rsidRPr="00EB4D74">
        <w:rPr>
          <w:color w:val="auto"/>
          <w:lang w:val="it-IT"/>
        </w:rPr>
        <w:instrText xml:space="preserve"> PAGEREF _Toc342914912 \h </w:instrText>
      </w:r>
      <w:r w:rsidRPr="00EB4D74">
        <w:rPr>
          <w:color w:val="auto"/>
        </w:rPr>
      </w:r>
      <w:r w:rsidRPr="00EB4D74">
        <w:rPr>
          <w:color w:val="auto"/>
        </w:rPr>
        <w:fldChar w:fldCharType="separate"/>
      </w:r>
      <w:r>
        <w:rPr>
          <w:color w:val="auto"/>
          <w:lang w:val="it-IT"/>
        </w:rPr>
        <w:t>109</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lang w:val="it-IT"/>
        </w:rPr>
      </w:pPr>
      <w:r w:rsidRPr="00EB4D74">
        <w:rPr>
          <w:caps/>
          <w:color w:val="auto"/>
          <w:vertAlign w:val="superscript"/>
          <w:lang w:val="pt-BR"/>
        </w:rPr>
        <w:t>20</w:t>
      </w:r>
      <w:r w:rsidRPr="00EB4D74">
        <w:rPr>
          <w:color w:val="auto"/>
          <w:lang w:val="pt-BR"/>
        </w:rPr>
        <w:t xml:space="preserve"> Visual Studio Test Professional 2012 com MSDN</w:t>
      </w:r>
      <w:r w:rsidRPr="00EB4D74">
        <w:rPr>
          <w:color w:val="auto"/>
          <w:lang w:val="it-IT"/>
        </w:rPr>
        <w:tab/>
      </w:r>
      <w:r w:rsidRPr="00EB4D74">
        <w:rPr>
          <w:color w:val="auto"/>
        </w:rPr>
        <w:fldChar w:fldCharType="begin"/>
      </w:r>
      <w:r w:rsidRPr="00EB4D74">
        <w:rPr>
          <w:color w:val="auto"/>
          <w:lang w:val="it-IT"/>
        </w:rPr>
        <w:instrText xml:space="preserve"> PAGEREF _Toc342914913 \h </w:instrText>
      </w:r>
      <w:r w:rsidRPr="00EB4D74">
        <w:rPr>
          <w:color w:val="auto"/>
        </w:rPr>
      </w:r>
      <w:r w:rsidRPr="00EB4D74">
        <w:rPr>
          <w:color w:val="auto"/>
        </w:rPr>
        <w:fldChar w:fldCharType="separate"/>
      </w:r>
      <w:r>
        <w:rPr>
          <w:color w:val="auto"/>
          <w:lang w:val="it-IT"/>
        </w:rPr>
        <w:t>109</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Pool de Sistemas</w:t>
      </w:r>
      <w:r w:rsidRPr="00EB4D74">
        <w:tab/>
      </w:r>
      <w:r w:rsidRPr="00EB4D74">
        <w:fldChar w:fldCharType="begin"/>
      </w:r>
      <w:r w:rsidRPr="00EB4D74">
        <w:instrText xml:space="preserve"> PAGEREF _Toc342914914 \h </w:instrText>
      </w:r>
      <w:r w:rsidRPr="00EB4D74">
        <w:fldChar w:fldCharType="separate"/>
      </w:r>
      <w:r>
        <w:t>111</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21 </w:t>
      </w:r>
      <w:r w:rsidRPr="00EB4D74">
        <w:rPr>
          <w:color w:val="auto"/>
          <w:lang w:val="pt-BR"/>
        </w:rPr>
        <w:t>Licença de Assinatura do Windows</w:t>
      </w:r>
      <w:r w:rsidRPr="00EB4D74">
        <w:rPr>
          <w:color w:val="auto"/>
          <w:vertAlign w:val="superscript"/>
          <w:lang w:val="pt-BR"/>
        </w:rPr>
        <w:t>®</w:t>
      </w:r>
      <w:r w:rsidRPr="00EB4D74">
        <w:rPr>
          <w:color w:val="auto"/>
          <w:lang w:val="pt-BR"/>
        </w:rPr>
        <w:t xml:space="preserve"> Companion</w:t>
      </w:r>
      <w:r w:rsidRPr="00EB4D74">
        <w:rPr>
          <w:color w:val="auto"/>
        </w:rPr>
        <w:tab/>
      </w:r>
      <w:r w:rsidRPr="00EB4D74">
        <w:rPr>
          <w:color w:val="auto"/>
        </w:rPr>
        <w:fldChar w:fldCharType="begin"/>
      </w:r>
      <w:r w:rsidRPr="00EB4D74">
        <w:rPr>
          <w:color w:val="auto"/>
        </w:rPr>
        <w:instrText xml:space="preserve"> PAGEREF _Toc342914915 \h </w:instrText>
      </w:r>
      <w:r w:rsidRPr="00EB4D74">
        <w:rPr>
          <w:color w:val="auto"/>
        </w:rPr>
      </w:r>
      <w:r w:rsidRPr="00EB4D74">
        <w:rPr>
          <w:color w:val="auto"/>
        </w:rPr>
        <w:fldChar w:fldCharType="separate"/>
      </w:r>
      <w:r>
        <w:rPr>
          <w:color w:val="auto"/>
        </w:rPr>
        <w:t>111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22</w:t>
      </w:r>
      <w:r w:rsidRPr="00EB4D74">
        <w:rPr>
          <w:color w:val="auto"/>
          <w:lang w:val="pt-BR"/>
        </w:rPr>
        <w:t xml:space="preserve"> DVD Playback Pack Windows Vista</w:t>
      </w:r>
      <w:r w:rsidRPr="00EB4D74">
        <w:rPr>
          <w:color w:val="auto"/>
        </w:rPr>
        <w:tab/>
      </w:r>
      <w:r w:rsidRPr="00EB4D74">
        <w:rPr>
          <w:color w:val="auto"/>
        </w:rPr>
        <w:fldChar w:fldCharType="begin"/>
      </w:r>
      <w:r w:rsidRPr="00EB4D74">
        <w:rPr>
          <w:color w:val="auto"/>
        </w:rPr>
        <w:instrText xml:space="preserve"> PAGEREF _Toc342914916 \h </w:instrText>
      </w:r>
      <w:r w:rsidRPr="00EB4D74">
        <w:rPr>
          <w:color w:val="auto"/>
        </w:rPr>
      </w:r>
      <w:r w:rsidRPr="00EB4D74">
        <w:rPr>
          <w:color w:val="auto"/>
        </w:rPr>
        <w:fldChar w:fldCharType="separate"/>
      </w:r>
      <w:r>
        <w:rPr>
          <w:color w:val="auto"/>
        </w:rPr>
        <w:t>111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23</w:t>
      </w:r>
      <w:r w:rsidRPr="00EB4D74">
        <w:rPr>
          <w:color w:val="auto"/>
          <w:lang w:val="pt-BR"/>
        </w:rPr>
        <w:t xml:space="preserve"> Microsoft Desktop Optimization Pack para Software Assurance</w:t>
      </w:r>
      <w:r w:rsidRPr="00EB4D74">
        <w:rPr>
          <w:color w:val="auto"/>
        </w:rPr>
        <w:tab/>
      </w:r>
      <w:r w:rsidRPr="00EB4D74">
        <w:rPr>
          <w:color w:val="auto"/>
        </w:rPr>
        <w:fldChar w:fldCharType="begin"/>
      </w:r>
      <w:r w:rsidRPr="00EB4D74">
        <w:rPr>
          <w:color w:val="auto"/>
        </w:rPr>
        <w:instrText xml:space="preserve"> PAGEREF _Toc342914917 \h </w:instrText>
      </w:r>
      <w:r w:rsidRPr="00EB4D74">
        <w:rPr>
          <w:color w:val="auto"/>
        </w:rPr>
      </w:r>
      <w:r w:rsidRPr="00EB4D74">
        <w:rPr>
          <w:color w:val="auto"/>
        </w:rPr>
        <w:fldChar w:fldCharType="separate"/>
      </w:r>
      <w:r>
        <w:rPr>
          <w:color w:val="auto"/>
        </w:rPr>
        <w:t>111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24</w:t>
      </w:r>
      <w:r w:rsidRPr="00EB4D74">
        <w:rPr>
          <w:color w:val="auto"/>
          <w:lang w:val="pt-BR"/>
        </w:rPr>
        <w:t xml:space="preserve"> Windows</w:t>
      </w:r>
      <w:r w:rsidRPr="00EB4D74">
        <w:rPr>
          <w:color w:val="auto"/>
          <w:vertAlign w:val="superscript"/>
          <w:lang w:val="pt-BR"/>
        </w:rPr>
        <w:t>®</w:t>
      </w:r>
      <w:r w:rsidRPr="00EB4D74">
        <w:rPr>
          <w:color w:val="auto"/>
          <w:lang w:val="pt-BR"/>
        </w:rPr>
        <w:t xml:space="preserve"> 8 Enterprise Sideloading</w:t>
      </w:r>
      <w:r w:rsidRPr="00EB4D74">
        <w:rPr>
          <w:color w:val="auto"/>
        </w:rPr>
        <w:tab/>
      </w:r>
      <w:r w:rsidRPr="00EB4D74">
        <w:rPr>
          <w:color w:val="auto"/>
        </w:rPr>
        <w:fldChar w:fldCharType="begin"/>
      </w:r>
      <w:r w:rsidRPr="00EB4D74">
        <w:rPr>
          <w:color w:val="auto"/>
        </w:rPr>
        <w:instrText xml:space="preserve"> PAGEREF _Toc342914918 \h </w:instrText>
      </w:r>
      <w:r w:rsidRPr="00EB4D74">
        <w:rPr>
          <w:color w:val="auto"/>
        </w:rPr>
      </w:r>
      <w:r w:rsidRPr="00EB4D74">
        <w:rPr>
          <w:color w:val="auto"/>
        </w:rPr>
        <w:fldChar w:fldCharType="separate"/>
      </w:r>
      <w:r>
        <w:rPr>
          <w:color w:val="auto"/>
        </w:rPr>
        <w:t>112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25</w:t>
      </w:r>
      <w:r w:rsidRPr="00EB4D74">
        <w:rPr>
          <w:color w:val="auto"/>
          <w:lang w:val="pt-BR"/>
        </w:rPr>
        <w:t xml:space="preserve"> Parceiros na Aprendizagem do Windows</w:t>
      </w:r>
      <w:r w:rsidRPr="00EB4D74">
        <w:rPr>
          <w:color w:val="auto"/>
          <w:vertAlign w:val="superscript"/>
          <w:lang w:val="pt-BR"/>
        </w:rPr>
        <w:t>®</w:t>
      </w:r>
      <w:r w:rsidRPr="00EB4D74">
        <w:rPr>
          <w:color w:val="auto"/>
          <w:lang w:val="pt-BR"/>
        </w:rPr>
        <w:t xml:space="preserve"> 7</w:t>
      </w:r>
      <w:r w:rsidRPr="00EB4D74">
        <w:rPr>
          <w:color w:val="auto"/>
        </w:rPr>
        <w:tab/>
      </w:r>
      <w:r w:rsidRPr="00EB4D74">
        <w:rPr>
          <w:color w:val="auto"/>
        </w:rPr>
        <w:fldChar w:fldCharType="begin"/>
      </w:r>
      <w:r w:rsidRPr="00EB4D74">
        <w:rPr>
          <w:color w:val="auto"/>
        </w:rPr>
        <w:instrText xml:space="preserve"> PAGEREF _Toc342914919 \h </w:instrText>
      </w:r>
      <w:r w:rsidRPr="00EB4D74">
        <w:rPr>
          <w:color w:val="auto"/>
        </w:rPr>
      </w:r>
      <w:r w:rsidRPr="00EB4D74">
        <w:rPr>
          <w:color w:val="auto"/>
        </w:rPr>
        <w:fldChar w:fldCharType="separate"/>
      </w:r>
      <w:r>
        <w:rPr>
          <w:color w:val="auto"/>
        </w:rPr>
        <w:t>113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26 </w:t>
      </w:r>
      <w:r w:rsidRPr="00EB4D74">
        <w:rPr>
          <w:color w:val="auto"/>
          <w:lang w:val="pt-BR"/>
        </w:rPr>
        <w:t>Atualização para Windows</w:t>
      </w:r>
      <w:r w:rsidRPr="00EB4D74">
        <w:rPr>
          <w:color w:val="auto"/>
          <w:vertAlign w:val="superscript"/>
          <w:lang w:val="pt-BR"/>
        </w:rPr>
        <w:t>®</w:t>
      </w:r>
      <w:r w:rsidRPr="00EB4D74">
        <w:rPr>
          <w:color w:val="auto"/>
          <w:lang w:val="pt-BR"/>
        </w:rPr>
        <w:t xml:space="preserve"> 8 Pro e Windows Intune (Por Dispositivo)</w:t>
      </w:r>
      <w:r w:rsidRPr="00EB4D74">
        <w:rPr>
          <w:color w:val="auto"/>
        </w:rPr>
        <w:tab/>
      </w:r>
      <w:r w:rsidRPr="00EB4D74">
        <w:rPr>
          <w:color w:val="auto"/>
        </w:rPr>
        <w:fldChar w:fldCharType="begin"/>
      </w:r>
      <w:r w:rsidRPr="00EB4D74">
        <w:rPr>
          <w:color w:val="auto"/>
        </w:rPr>
        <w:instrText xml:space="preserve"> PAGEREF _Toc342914920 \h </w:instrText>
      </w:r>
      <w:r w:rsidRPr="00EB4D74">
        <w:rPr>
          <w:color w:val="auto"/>
        </w:rPr>
      </w:r>
      <w:r w:rsidRPr="00EB4D74">
        <w:rPr>
          <w:color w:val="auto"/>
        </w:rPr>
        <w:fldChar w:fldCharType="separate"/>
      </w:r>
      <w:r>
        <w:rPr>
          <w:color w:val="auto"/>
        </w:rPr>
        <w:t>113</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lang w:val="pt-BR"/>
        </w:rPr>
        <w:t>Pool de Servidores</w:t>
      </w:r>
      <w:r w:rsidRPr="00EB4D74">
        <w:tab/>
      </w:r>
      <w:r w:rsidRPr="00EB4D74">
        <w:fldChar w:fldCharType="begin"/>
      </w:r>
      <w:r w:rsidRPr="00EB4D74">
        <w:instrText xml:space="preserve"> PAGEREF _Toc342914921 \h </w:instrText>
      </w:r>
      <w:r w:rsidRPr="00EB4D74">
        <w:fldChar w:fldCharType="separate"/>
      </w:r>
      <w:r>
        <w:t>121</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27 </w:t>
      </w:r>
      <w:r w:rsidRPr="00EB4D74">
        <w:rPr>
          <w:color w:val="auto"/>
          <w:lang w:val="pt-BR"/>
        </w:rPr>
        <w:t>Bing Maps Server e Bing Maps Server com Pacote de Conteúdo Aprimorado</w:t>
      </w:r>
      <w:r w:rsidRPr="00EB4D74">
        <w:rPr>
          <w:color w:val="auto"/>
        </w:rPr>
        <w:tab/>
      </w:r>
      <w:r w:rsidRPr="00EB4D74">
        <w:rPr>
          <w:color w:val="auto"/>
        </w:rPr>
        <w:fldChar w:fldCharType="begin"/>
      </w:r>
      <w:r w:rsidRPr="00EB4D74">
        <w:rPr>
          <w:color w:val="auto"/>
        </w:rPr>
        <w:instrText xml:space="preserve"> PAGEREF _Toc342914922 \h </w:instrText>
      </w:r>
      <w:r w:rsidRPr="00EB4D74">
        <w:rPr>
          <w:color w:val="auto"/>
        </w:rPr>
      </w:r>
      <w:r w:rsidRPr="00EB4D74">
        <w:rPr>
          <w:color w:val="auto"/>
        </w:rPr>
        <w:fldChar w:fldCharType="separate"/>
      </w:r>
      <w:r>
        <w:rPr>
          <w:color w:val="auto"/>
        </w:rPr>
        <w:t>121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28</w:t>
      </w:r>
      <w:r w:rsidRPr="00EB4D74">
        <w:rPr>
          <w:color w:val="auto"/>
          <w:lang w:val="pt-BR"/>
        </w:rPr>
        <w:t xml:space="preserve"> Bing Maps 25KTrx, 250KTrx e Unlimited (SL Complementar)</w:t>
      </w:r>
      <w:r w:rsidRPr="00EB4D74">
        <w:rPr>
          <w:color w:val="auto"/>
        </w:rPr>
        <w:tab/>
      </w:r>
      <w:r w:rsidRPr="00EB4D74">
        <w:rPr>
          <w:color w:val="auto"/>
        </w:rPr>
        <w:fldChar w:fldCharType="begin"/>
      </w:r>
      <w:r w:rsidRPr="00EB4D74">
        <w:rPr>
          <w:color w:val="auto"/>
        </w:rPr>
        <w:instrText xml:space="preserve"> PAGEREF _Toc342914923 \h </w:instrText>
      </w:r>
      <w:r w:rsidRPr="00EB4D74">
        <w:rPr>
          <w:color w:val="auto"/>
        </w:rPr>
      </w:r>
      <w:r w:rsidRPr="00EB4D74">
        <w:rPr>
          <w:color w:val="auto"/>
        </w:rPr>
        <w:fldChar w:fldCharType="separate"/>
      </w:r>
      <w:r>
        <w:rPr>
          <w:color w:val="auto"/>
        </w:rPr>
        <w:t>121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29</w:t>
      </w:r>
      <w:r w:rsidRPr="00EB4D74">
        <w:rPr>
          <w:color w:val="auto"/>
          <w:lang w:val="pt-BR"/>
        </w:rPr>
        <w:t xml:space="preserve"> BizTalk</w:t>
      </w:r>
      <w:r w:rsidRPr="00EB4D74">
        <w:rPr>
          <w:color w:val="auto"/>
          <w:vertAlign w:val="superscript"/>
          <w:lang w:val="pt-BR"/>
        </w:rPr>
        <w:t>®</w:t>
      </w:r>
      <w:r w:rsidRPr="00EB4D74">
        <w:rPr>
          <w:color w:val="auto"/>
          <w:lang w:val="pt-BR"/>
        </w:rPr>
        <w:t xml:space="preserve"> Server 2010 Branch Edition</w:t>
      </w:r>
      <w:r w:rsidRPr="00EB4D74">
        <w:rPr>
          <w:color w:val="auto"/>
        </w:rPr>
        <w:tab/>
      </w:r>
      <w:r w:rsidRPr="00EB4D74">
        <w:rPr>
          <w:color w:val="auto"/>
        </w:rPr>
        <w:fldChar w:fldCharType="begin"/>
      </w:r>
      <w:r w:rsidRPr="00EB4D74">
        <w:rPr>
          <w:color w:val="auto"/>
        </w:rPr>
        <w:instrText xml:space="preserve"> PAGEREF _Toc342914924 \h </w:instrText>
      </w:r>
      <w:r w:rsidRPr="00EB4D74">
        <w:rPr>
          <w:color w:val="auto"/>
        </w:rPr>
      </w:r>
      <w:r w:rsidRPr="00EB4D74">
        <w:rPr>
          <w:color w:val="auto"/>
        </w:rPr>
        <w:fldChar w:fldCharType="separate"/>
      </w:r>
      <w:r>
        <w:rPr>
          <w:color w:val="auto"/>
        </w:rPr>
        <w:t>121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30</w:t>
      </w:r>
      <w:r w:rsidRPr="00EB4D74">
        <w:rPr>
          <w:color w:val="auto"/>
          <w:lang w:val="pt-BR"/>
        </w:rPr>
        <w:t xml:space="preserve"> BizTalk</w:t>
      </w:r>
      <w:r w:rsidRPr="00EB4D74">
        <w:rPr>
          <w:color w:val="auto"/>
          <w:vertAlign w:val="superscript"/>
          <w:lang w:val="pt-BR"/>
        </w:rPr>
        <w:t>®</w:t>
      </w:r>
      <w:r w:rsidRPr="00EB4D74">
        <w:rPr>
          <w:color w:val="auto"/>
          <w:lang w:val="pt-BR"/>
        </w:rPr>
        <w:t xml:space="preserve"> Server 2010 Enterprise Edition</w:t>
      </w:r>
      <w:r w:rsidRPr="00EB4D74">
        <w:rPr>
          <w:color w:val="auto"/>
        </w:rPr>
        <w:tab/>
      </w:r>
      <w:r w:rsidRPr="00EB4D74">
        <w:rPr>
          <w:color w:val="auto"/>
        </w:rPr>
        <w:fldChar w:fldCharType="begin"/>
      </w:r>
      <w:r w:rsidRPr="00EB4D74">
        <w:rPr>
          <w:color w:val="auto"/>
        </w:rPr>
        <w:instrText xml:space="preserve"> PAGEREF _Toc342914925 \h </w:instrText>
      </w:r>
      <w:r w:rsidRPr="00EB4D74">
        <w:rPr>
          <w:color w:val="auto"/>
        </w:rPr>
      </w:r>
      <w:r w:rsidRPr="00EB4D74">
        <w:rPr>
          <w:color w:val="auto"/>
        </w:rPr>
        <w:fldChar w:fldCharType="separate"/>
      </w:r>
      <w:r>
        <w:rPr>
          <w:color w:val="auto"/>
        </w:rPr>
        <w:t>122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31 </w:t>
      </w:r>
      <w:r w:rsidRPr="00EB4D74">
        <w:rPr>
          <w:color w:val="auto"/>
          <w:lang w:val="pt-BR"/>
        </w:rPr>
        <w:t>BizTalk</w:t>
      </w:r>
      <w:r w:rsidRPr="00EB4D74">
        <w:rPr>
          <w:color w:val="auto"/>
          <w:vertAlign w:val="superscript"/>
          <w:lang w:val="pt-BR"/>
        </w:rPr>
        <w:t>®</w:t>
      </w:r>
      <w:r w:rsidRPr="00EB4D74">
        <w:rPr>
          <w:color w:val="auto"/>
          <w:lang w:val="pt-BR"/>
        </w:rPr>
        <w:t xml:space="preserve"> Server 2010 Standard Edition</w:t>
      </w:r>
      <w:r w:rsidRPr="00EB4D74">
        <w:rPr>
          <w:color w:val="auto"/>
        </w:rPr>
        <w:tab/>
      </w:r>
      <w:r w:rsidRPr="00EB4D74">
        <w:rPr>
          <w:color w:val="auto"/>
        </w:rPr>
        <w:fldChar w:fldCharType="begin"/>
      </w:r>
      <w:r w:rsidRPr="00EB4D74">
        <w:rPr>
          <w:color w:val="auto"/>
        </w:rPr>
        <w:instrText xml:space="preserve"> PAGEREF _Toc342914926 \h </w:instrText>
      </w:r>
      <w:r w:rsidRPr="00EB4D74">
        <w:rPr>
          <w:color w:val="auto"/>
        </w:rPr>
      </w:r>
      <w:r w:rsidRPr="00EB4D74">
        <w:rPr>
          <w:color w:val="auto"/>
        </w:rPr>
        <w:fldChar w:fldCharType="separate"/>
      </w:r>
      <w:r>
        <w:rPr>
          <w:color w:val="auto"/>
        </w:rPr>
        <w:t>122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32 </w:t>
      </w:r>
      <w:r w:rsidRPr="00EB4D74">
        <w:rPr>
          <w:color w:val="auto"/>
          <w:lang w:val="pt-BR"/>
        </w:rPr>
        <w:t>Business Intelligence Appliance 2012</w:t>
      </w:r>
      <w:r w:rsidRPr="00EB4D74">
        <w:rPr>
          <w:color w:val="auto"/>
        </w:rPr>
        <w:tab/>
      </w:r>
      <w:r w:rsidRPr="00EB4D74">
        <w:rPr>
          <w:color w:val="auto"/>
        </w:rPr>
        <w:fldChar w:fldCharType="begin"/>
      </w:r>
      <w:r w:rsidRPr="00EB4D74">
        <w:rPr>
          <w:color w:val="auto"/>
        </w:rPr>
        <w:instrText xml:space="preserve"> PAGEREF _Toc342914927 \h </w:instrText>
      </w:r>
      <w:r w:rsidRPr="00EB4D74">
        <w:rPr>
          <w:color w:val="auto"/>
        </w:rPr>
      </w:r>
      <w:r w:rsidRPr="00EB4D74">
        <w:rPr>
          <w:color w:val="auto"/>
        </w:rPr>
        <w:fldChar w:fldCharType="separate"/>
      </w:r>
      <w:r>
        <w:rPr>
          <w:color w:val="auto"/>
        </w:rPr>
        <w:t>123</w:t>
      </w:r>
      <w:r w:rsidRPr="00EB4D74">
        <w:rPr>
          <w:color w:val="auto"/>
        </w:rPr>
        <w:fldChar w:fldCharType="end"/>
      </w:r>
    </w:p>
    <w:p w:rsidR="008B1196" w:rsidRPr="00EB4D74" w:rsidRDefault="008B1196" w:rsidP="008B1196">
      <w:pPr>
        <w:pStyle w:val="TOC3"/>
        <w:ind w:left="187" w:hanging="187"/>
        <w:rPr>
          <w:rFonts w:asciiTheme="minorHAnsi" w:eastAsiaTheme="minorEastAsia" w:hAnsiTheme="minorHAnsi" w:cstheme="minorBidi"/>
          <w:bCs w:val="0"/>
          <w:color w:val="auto"/>
          <w:sz w:val="22"/>
          <w:szCs w:val="22"/>
        </w:rPr>
      </w:pPr>
      <w:r w:rsidRPr="00EB4D74">
        <w:rPr>
          <w:caps/>
          <w:color w:val="auto"/>
          <w:vertAlign w:val="superscript"/>
          <w:lang w:val="pt-BR"/>
        </w:rPr>
        <w:t xml:space="preserve">33 </w:t>
      </w:r>
      <w:r w:rsidRPr="00EB4D74">
        <w:rPr>
          <w:color w:val="auto"/>
        </w:rPr>
        <w:t xml:space="preserve">Bridge do Pacote de CALs Principais para Office 365, Bridge do Pacote de CALs Principais </w:t>
      </w:r>
      <w:r w:rsidRPr="00EB4D74">
        <w:rPr>
          <w:color w:val="auto"/>
        </w:rPr>
        <w:br/>
        <w:t>para Office 365 e Windows Intune e Bridge do Pacote de CALs Principais para Windows Intune</w:t>
      </w:r>
      <w:r w:rsidRPr="00EB4D74">
        <w:rPr>
          <w:color w:val="auto"/>
        </w:rPr>
        <w:tab/>
      </w:r>
      <w:r w:rsidRPr="00EB4D74">
        <w:rPr>
          <w:color w:val="auto"/>
        </w:rPr>
        <w:fldChar w:fldCharType="begin"/>
      </w:r>
      <w:r w:rsidRPr="00EB4D74">
        <w:rPr>
          <w:color w:val="auto"/>
        </w:rPr>
        <w:instrText xml:space="preserve"> PAGEREF _Toc342914928 \h </w:instrText>
      </w:r>
      <w:r w:rsidRPr="00EB4D74">
        <w:rPr>
          <w:color w:val="auto"/>
        </w:rPr>
      </w:r>
      <w:r w:rsidRPr="00EB4D74">
        <w:rPr>
          <w:color w:val="auto"/>
        </w:rPr>
        <w:fldChar w:fldCharType="separate"/>
      </w:r>
      <w:r>
        <w:rPr>
          <w:color w:val="auto"/>
        </w:rPr>
        <w:t>123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34</w:t>
      </w:r>
      <w:r w:rsidRPr="00EB4D74">
        <w:rPr>
          <w:color w:val="auto"/>
          <w:lang w:val="pt-BR"/>
        </w:rPr>
        <w:t xml:space="preserve"> Pacote de CALs Principais</w:t>
      </w:r>
      <w:r w:rsidRPr="00EB4D74">
        <w:rPr>
          <w:color w:val="auto"/>
        </w:rPr>
        <w:tab/>
      </w:r>
      <w:r w:rsidRPr="00EB4D74">
        <w:rPr>
          <w:color w:val="auto"/>
        </w:rPr>
        <w:fldChar w:fldCharType="begin"/>
      </w:r>
      <w:r w:rsidRPr="00EB4D74">
        <w:rPr>
          <w:color w:val="auto"/>
        </w:rPr>
        <w:instrText xml:space="preserve"> PAGEREF _Toc342914929 \h </w:instrText>
      </w:r>
      <w:r w:rsidRPr="00EB4D74">
        <w:rPr>
          <w:color w:val="auto"/>
        </w:rPr>
      </w:r>
      <w:r w:rsidRPr="00EB4D74">
        <w:rPr>
          <w:color w:val="auto"/>
        </w:rPr>
        <w:fldChar w:fldCharType="separate"/>
      </w:r>
      <w:r>
        <w:rPr>
          <w:color w:val="auto"/>
        </w:rPr>
        <w:t>124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35</w:t>
      </w:r>
      <w:r w:rsidRPr="00EB4D74">
        <w:rPr>
          <w:color w:val="auto"/>
          <w:lang w:val="pt-BR"/>
        </w:rPr>
        <w:t xml:space="preserve"> Core Infrastructure Server Suite Standard</w:t>
      </w:r>
      <w:r w:rsidRPr="00EB4D74">
        <w:rPr>
          <w:color w:val="auto"/>
        </w:rPr>
        <w:tab/>
      </w:r>
      <w:r w:rsidRPr="00EB4D74">
        <w:rPr>
          <w:color w:val="auto"/>
        </w:rPr>
        <w:fldChar w:fldCharType="begin"/>
      </w:r>
      <w:r w:rsidRPr="00EB4D74">
        <w:rPr>
          <w:color w:val="auto"/>
        </w:rPr>
        <w:instrText xml:space="preserve"> PAGEREF _Toc342914930 \h </w:instrText>
      </w:r>
      <w:r w:rsidRPr="00EB4D74">
        <w:rPr>
          <w:color w:val="auto"/>
        </w:rPr>
      </w:r>
      <w:r w:rsidRPr="00EB4D74">
        <w:rPr>
          <w:color w:val="auto"/>
        </w:rPr>
        <w:fldChar w:fldCharType="separate"/>
      </w:r>
      <w:r>
        <w:rPr>
          <w:color w:val="auto"/>
        </w:rPr>
        <w:t>125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36</w:t>
      </w:r>
      <w:r w:rsidRPr="00EB4D74">
        <w:rPr>
          <w:color w:val="auto"/>
          <w:lang w:val="pt-BR"/>
        </w:rPr>
        <w:t xml:space="preserve"> Core Infrastructure Server Suite Enterprise</w:t>
      </w:r>
      <w:r w:rsidRPr="00EB4D74">
        <w:rPr>
          <w:color w:val="auto"/>
        </w:rPr>
        <w:tab/>
      </w:r>
      <w:r w:rsidRPr="00EB4D74">
        <w:rPr>
          <w:color w:val="auto"/>
        </w:rPr>
        <w:fldChar w:fldCharType="begin"/>
      </w:r>
      <w:r w:rsidRPr="00EB4D74">
        <w:rPr>
          <w:color w:val="auto"/>
        </w:rPr>
        <w:instrText xml:space="preserve"> PAGEREF _Toc342914931 \h </w:instrText>
      </w:r>
      <w:r w:rsidRPr="00EB4D74">
        <w:rPr>
          <w:color w:val="auto"/>
        </w:rPr>
      </w:r>
      <w:r w:rsidRPr="00EB4D74">
        <w:rPr>
          <w:color w:val="auto"/>
        </w:rPr>
        <w:fldChar w:fldCharType="separate"/>
      </w:r>
      <w:r>
        <w:rPr>
          <w:color w:val="auto"/>
        </w:rPr>
        <w:t>126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37 </w:t>
      </w:r>
      <w:r w:rsidRPr="00EB4D74">
        <w:rPr>
          <w:color w:val="auto"/>
          <w:lang w:val="pt-BR"/>
        </w:rPr>
        <w:t>Core Infrastructure Server Suite Datacenter</w:t>
      </w:r>
      <w:r w:rsidRPr="00EB4D74">
        <w:rPr>
          <w:color w:val="auto"/>
        </w:rPr>
        <w:tab/>
      </w:r>
      <w:r w:rsidRPr="00EB4D74">
        <w:rPr>
          <w:color w:val="auto"/>
        </w:rPr>
        <w:fldChar w:fldCharType="begin"/>
      </w:r>
      <w:r w:rsidRPr="00EB4D74">
        <w:rPr>
          <w:color w:val="auto"/>
        </w:rPr>
        <w:instrText xml:space="preserve"> PAGEREF _Toc342914932 \h </w:instrText>
      </w:r>
      <w:r w:rsidRPr="00EB4D74">
        <w:rPr>
          <w:color w:val="auto"/>
        </w:rPr>
      </w:r>
      <w:r w:rsidRPr="00EB4D74">
        <w:rPr>
          <w:color w:val="auto"/>
        </w:rPr>
        <w:fldChar w:fldCharType="separate"/>
      </w:r>
      <w:r>
        <w:rPr>
          <w:color w:val="auto"/>
        </w:rPr>
        <w:t>126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38</w:t>
      </w:r>
      <w:r w:rsidRPr="00EB4D74">
        <w:rPr>
          <w:color w:val="auto"/>
          <w:lang w:val="pt-BR"/>
        </w:rPr>
        <w:t xml:space="preserve"> Data Warehouse Appliance 2012</w:t>
      </w:r>
      <w:r w:rsidRPr="00EB4D74">
        <w:rPr>
          <w:color w:val="auto"/>
        </w:rPr>
        <w:tab/>
      </w:r>
      <w:r w:rsidRPr="00EB4D74">
        <w:rPr>
          <w:color w:val="auto"/>
        </w:rPr>
        <w:fldChar w:fldCharType="begin"/>
      </w:r>
      <w:r w:rsidRPr="00EB4D74">
        <w:rPr>
          <w:color w:val="auto"/>
        </w:rPr>
        <w:instrText xml:space="preserve"> PAGEREF _Toc342914933 \h </w:instrText>
      </w:r>
      <w:r w:rsidRPr="00EB4D74">
        <w:rPr>
          <w:color w:val="auto"/>
        </w:rPr>
      </w:r>
      <w:r w:rsidRPr="00EB4D74">
        <w:rPr>
          <w:color w:val="auto"/>
        </w:rPr>
        <w:fldChar w:fldCharType="separate"/>
      </w:r>
      <w:r>
        <w:rPr>
          <w:color w:val="auto"/>
        </w:rPr>
        <w:t>127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39</w:t>
      </w:r>
      <w:r w:rsidRPr="00EB4D74">
        <w:rPr>
          <w:color w:val="auto"/>
          <w:lang w:val="pt-BR"/>
        </w:rPr>
        <w:t xml:space="preserve"> Dynamics CRM Online</w:t>
      </w:r>
      <w:r w:rsidRPr="00EB4D74">
        <w:rPr>
          <w:color w:val="auto"/>
        </w:rPr>
        <w:tab/>
      </w:r>
      <w:r w:rsidRPr="00EB4D74">
        <w:rPr>
          <w:color w:val="auto"/>
        </w:rPr>
        <w:fldChar w:fldCharType="begin"/>
      </w:r>
      <w:r w:rsidRPr="00EB4D74">
        <w:rPr>
          <w:color w:val="auto"/>
        </w:rPr>
        <w:instrText xml:space="preserve"> PAGEREF _Toc342914934 \h </w:instrText>
      </w:r>
      <w:r w:rsidRPr="00EB4D74">
        <w:rPr>
          <w:color w:val="auto"/>
        </w:rPr>
      </w:r>
      <w:r w:rsidRPr="00EB4D74">
        <w:rPr>
          <w:color w:val="auto"/>
        </w:rPr>
        <w:fldChar w:fldCharType="separate"/>
      </w:r>
      <w:r>
        <w:rPr>
          <w:color w:val="auto"/>
        </w:rPr>
        <w:t>128</w:t>
      </w:r>
      <w:r w:rsidRPr="00EB4D74">
        <w:rPr>
          <w:color w:val="auto"/>
        </w:rPr>
        <w:fldChar w:fldCharType="end"/>
      </w:r>
    </w:p>
    <w:p w:rsidR="008B1196" w:rsidRPr="00EB4D74" w:rsidRDefault="008B1196" w:rsidP="008B1196">
      <w:pPr>
        <w:pStyle w:val="TOC3"/>
        <w:ind w:left="187" w:hanging="187"/>
        <w:rPr>
          <w:rFonts w:asciiTheme="minorHAnsi" w:eastAsiaTheme="minorEastAsia" w:hAnsiTheme="minorHAnsi" w:cstheme="minorBidi"/>
          <w:bCs w:val="0"/>
          <w:color w:val="auto"/>
          <w:sz w:val="22"/>
          <w:szCs w:val="22"/>
        </w:rPr>
      </w:pPr>
      <w:r w:rsidRPr="00EB4D74">
        <w:rPr>
          <w:caps/>
          <w:color w:val="auto"/>
          <w:vertAlign w:val="superscript"/>
          <w:lang w:val="pt-BR"/>
        </w:rPr>
        <w:t>40</w:t>
      </w:r>
      <w:r w:rsidRPr="00EB4D74">
        <w:rPr>
          <w:color w:val="auto"/>
          <w:lang w:val="pt-BR"/>
        </w:rPr>
        <w:t xml:space="preserve"> Bridge do Pacote de CALs Empresariais para Office 365, Bridge do Pacote de CALs Empresariais </w:t>
      </w:r>
      <w:r w:rsidRPr="00EB4D74">
        <w:rPr>
          <w:color w:val="auto"/>
          <w:lang w:val="pt-BR"/>
        </w:rPr>
        <w:br/>
        <w:t>para Office 365 e Windows Intune e Bridge do Pacote de CALs Empresariais para Windows Intune</w:t>
      </w:r>
      <w:r w:rsidRPr="00EB4D74">
        <w:rPr>
          <w:color w:val="auto"/>
        </w:rPr>
        <w:tab/>
      </w:r>
      <w:r w:rsidRPr="00EB4D74">
        <w:rPr>
          <w:color w:val="auto"/>
        </w:rPr>
        <w:fldChar w:fldCharType="begin"/>
      </w:r>
      <w:r w:rsidRPr="00EB4D74">
        <w:rPr>
          <w:color w:val="auto"/>
        </w:rPr>
        <w:instrText xml:space="preserve"> PAGEREF _Toc342914935 \h </w:instrText>
      </w:r>
      <w:r w:rsidRPr="00EB4D74">
        <w:rPr>
          <w:color w:val="auto"/>
        </w:rPr>
      </w:r>
      <w:r w:rsidRPr="00EB4D74">
        <w:rPr>
          <w:color w:val="auto"/>
        </w:rPr>
        <w:fldChar w:fldCharType="separate"/>
      </w:r>
      <w:r>
        <w:rPr>
          <w:color w:val="auto"/>
        </w:rPr>
        <w:t>128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41</w:t>
      </w:r>
      <w:r w:rsidRPr="00EB4D74">
        <w:rPr>
          <w:color w:val="auto"/>
          <w:lang w:val="pt-BR"/>
        </w:rPr>
        <w:t xml:space="preserve"> Pacote de CALs Empresariais</w:t>
      </w:r>
      <w:r w:rsidRPr="00EB4D74">
        <w:rPr>
          <w:color w:val="auto"/>
        </w:rPr>
        <w:tab/>
      </w:r>
      <w:r w:rsidRPr="00EB4D74">
        <w:rPr>
          <w:color w:val="auto"/>
        </w:rPr>
        <w:fldChar w:fldCharType="begin"/>
      </w:r>
      <w:r w:rsidRPr="00EB4D74">
        <w:rPr>
          <w:color w:val="auto"/>
        </w:rPr>
        <w:instrText xml:space="preserve"> PAGEREF _Toc342914936 \h </w:instrText>
      </w:r>
      <w:r w:rsidRPr="00EB4D74">
        <w:rPr>
          <w:color w:val="auto"/>
        </w:rPr>
      </w:r>
      <w:r w:rsidRPr="00EB4D74">
        <w:rPr>
          <w:color w:val="auto"/>
        </w:rPr>
        <w:fldChar w:fldCharType="separate"/>
      </w:r>
      <w:r>
        <w:rPr>
          <w:color w:val="auto"/>
        </w:rPr>
        <w:t>129</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vertAlign w:val="superscript"/>
          <w:lang w:val="pt-BR"/>
        </w:rPr>
        <w:t xml:space="preserve">42 </w:t>
      </w:r>
      <w:r w:rsidRPr="00EB4D74">
        <w:rPr>
          <w:rFonts w:cs="Tahoma"/>
          <w:lang w:val="pt-BR"/>
        </w:rPr>
        <w:t>Exchange Online Archiving (SL de Usuário)</w:t>
      </w:r>
      <w:r w:rsidRPr="00EB4D74">
        <w:tab/>
      </w:r>
      <w:r w:rsidRPr="00EB4D74">
        <w:fldChar w:fldCharType="begin"/>
      </w:r>
      <w:r w:rsidRPr="00EB4D74">
        <w:instrText xml:space="preserve"> PAGEREF _Toc342914937 \h </w:instrText>
      </w:r>
      <w:r w:rsidRPr="00EB4D74">
        <w:fldChar w:fldCharType="separate"/>
      </w:r>
      <w:r>
        <w:t>130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vertAlign w:val="superscript"/>
          <w:lang w:val="pt-BR"/>
        </w:rPr>
        <w:t>43</w:t>
      </w:r>
      <w:r w:rsidRPr="00EB4D74">
        <w:rPr>
          <w:rFonts w:cs="Tahoma"/>
          <w:lang w:val="pt-BR"/>
        </w:rPr>
        <w:t xml:space="preserve"> Exchange Hosted Archive (SL de Usuário), Exchange Hosted Archive Extra Storage (SL Complementar)</w:t>
      </w:r>
      <w:r w:rsidRPr="00EB4D74">
        <w:tab/>
      </w:r>
      <w:r w:rsidRPr="00EB4D74">
        <w:fldChar w:fldCharType="begin"/>
      </w:r>
      <w:r w:rsidRPr="00EB4D74">
        <w:instrText xml:space="preserve"> PAGEREF _Toc342914938 \h </w:instrText>
      </w:r>
      <w:r w:rsidRPr="00EB4D74">
        <w:fldChar w:fldCharType="separate"/>
      </w:r>
      <w:r>
        <w:t>131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vertAlign w:val="superscript"/>
        </w:rPr>
        <w:t xml:space="preserve">44 </w:t>
      </w:r>
      <w:r w:rsidRPr="00EB4D74">
        <w:rPr>
          <w:rFonts w:cs="Tahoma"/>
          <w:lang w:val="pt-BR"/>
        </w:rPr>
        <w:t>Exchange Hosted Encryption (SL de Usuário)</w:t>
      </w:r>
      <w:r w:rsidRPr="00EB4D74">
        <w:tab/>
      </w:r>
      <w:r w:rsidRPr="00EB4D74">
        <w:fldChar w:fldCharType="begin"/>
      </w:r>
      <w:r w:rsidRPr="00EB4D74">
        <w:instrText xml:space="preserve"> PAGEREF _Toc342914939 \h </w:instrText>
      </w:r>
      <w:r w:rsidRPr="00EB4D74">
        <w:fldChar w:fldCharType="separate"/>
      </w:r>
      <w:r>
        <w:t>132</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45 </w:t>
      </w:r>
      <w:r w:rsidRPr="00EB4D74">
        <w:rPr>
          <w:color w:val="auto"/>
          <w:lang w:val="pt-BR"/>
        </w:rPr>
        <w:t>Quiosque do Exchange Online (SL de Usuário)</w:t>
      </w:r>
      <w:r w:rsidRPr="00EB4D74">
        <w:rPr>
          <w:color w:val="auto"/>
        </w:rPr>
        <w:tab/>
      </w:r>
      <w:r w:rsidRPr="00EB4D74">
        <w:rPr>
          <w:color w:val="auto"/>
        </w:rPr>
        <w:fldChar w:fldCharType="begin"/>
      </w:r>
      <w:r w:rsidRPr="00EB4D74">
        <w:rPr>
          <w:color w:val="auto"/>
        </w:rPr>
        <w:instrText xml:space="preserve"> PAGEREF _Toc342914940 \h </w:instrText>
      </w:r>
      <w:r w:rsidRPr="00EB4D74">
        <w:rPr>
          <w:color w:val="auto"/>
        </w:rPr>
      </w:r>
      <w:r w:rsidRPr="00EB4D74">
        <w:rPr>
          <w:color w:val="auto"/>
        </w:rPr>
        <w:fldChar w:fldCharType="separate"/>
      </w:r>
      <w:r>
        <w:rPr>
          <w:color w:val="auto"/>
        </w:rPr>
        <w:t>132</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lastRenderedPageBreak/>
        <w:t>46</w:t>
      </w:r>
      <w:r w:rsidRPr="00EB4D74">
        <w:rPr>
          <w:rFonts w:cs="Tahoma"/>
          <w:lang w:val="pt-BR"/>
        </w:rPr>
        <w:t xml:space="preserve"> Exchange Online Plano 1</w:t>
      </w:r>
      <w:r w:rsidRPr="00EB4D74">
        <w:tab/>
      </w:r>
      <w:r w:rsidRPr="00EB4D74">
        <w:fldChar w:fldCharType="begin"/>
      </w:r>
      <w:r w:rsidRPr="00EB4D74">
        <w:instrText xml:space="preserve"> PAGEREF _Toc342914941 \h </w:instrText>
      </w:r>
      <w:r w:rsidRPr="00EB4D74">
        <w:fldChar w:fldCharType="separate"/>
      </w:r>
      <w:r>
        <w:t>132</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47</w:t>
      </w:r>
      <w:r w:rsidRPr="00EB4D74">
        <w:rPr>
          <w:rFonts w:cs="Tahoma"/>
          <w:lang w:val="pt-BR"/>
        </w:rPr>
        <w:t xml:space="preserve"> Exchange Online Plano 2</w:t>
      </w:r>
      <w:r w:rsidRPr="00EB4D74">
        <w:tab/>
      </w:r>
      <w:r w:rsidRPr="00EB4D74">
        <w:fldChar w:fldCharType="begin"/>
      </w:r>
      <w:r w:rsidRPr="00EB4D74">
        <w:instrText xml:space="preserve"> PAGEREF _Toc342914942 \h </w:instrText>
      </w:r>
      <w:r w:rsidRPr="00EB4D74">
        <w:fldChar w:fldCharType="separate"/>
      </w:r>
      <w:r>
        <w:t>133</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48 </w:t>
      </w:r>
      <w:r w:rsidRPr="00EB4D74">
        <w:rPr>
          <w:rFonts w:cs="Tahoma"/>
          <w:lang w:val="pt-BR"/>
        </w:rPr>
        <w:t>Exchange Server 2013 Enterprise e Standard Editions</w:t>
      </w:r>
      <w:r w:rsidRPr="00EB4D74">
        <w:tab/>
      </w:r>
      <w:r w:rsidRPr="00EB4D74">
        <w:fldChar w:fldCharType="begin"/>
      </w:r>
      <w:r w:rsidRPr="00EB4D74">
        <w:instrText xml:space="preserve"> PAGEREF _Toc342914943 \h </w:instrText>
      </w:r>
      <w:r w:rsidRPr="00EB4D74">
        <w:fldChar w:fldCharType="separate"/>
      </w:r>
      <w:r>
        <w:t>133</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49</w:t>
      </w:r>
      <w:r w:rsidRPr="00EB4D74">
        <w:rPr>
          <w:color w:val="auto"/>
          <w:lang w:val="pt-BR"/>
        </w:rPr>
        <w:t xml:space="preserve"> CAL do Exchange Server 2010 Standard</w:t>
      </w:r>
      <w:r w:rsidRPr="00EB4D74">
        <w:rPr>
          <w:color w:val="auto"/>
        </w:rPr>
        <w:tab/>
      </w:r>
      <w:r w:rsidRPr="00EB4D74">
        <w:rPr>
          <w:color w:val="auto"/>
        </w:rPr>
        <w:fldChar w:fldCharType="begin"/>
      </w:r>
      <w:r w:rsidRPr="00EB4D74">
        <w:rPr>
          <w:color w:val="auto"/>
        </w:rPr>
        <w:instrText xml:space="preserve"> PAGEREF _Toc342914944 \h </w:instrText>
      </w:r>
      <w:r w:rsidRPr="00EB4D74">
        <w:rPr>
          <w:color w:val="auto"/>
        </w:rPr>
      </w:r>
      <w:r w:rsidRPr="00EB4D74">
        <w:rPr>
          <w:color w:val="auto"/>
        </w:rPr>
        <w:fldChar w:fldCharType="separate"/>
      </w:r>
      <w:r>
        <w:rPr>
          <w:color w:val="auto"/>
        </w:rPr>
        <w:t>134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50</w:t>
      </w:r>
      <w:r w:rsidRPr="00EB4D74">
        <w:rPr>
          <w:color w:val="auto"/>
          <w:lang w:val="pt-BR"/>
        </w:rPr>
        <w:t xml:space="preserve"> Forefront Endpoint Protection</w:t>
      </w:r>
      <w:r w:rsidRPr="00EB4D74">
        <w:rPr>
          <w:color w:val="auto"/>
        </w:rPr>
        <w:tab/>
      </w:r>
      <w:r w:rsidRPr="00EB4D74">
        <w:rPr>
          <w:color w:val="auto"/>
        </w:rPr>
        <w:fldChar w:fldCharType="begin"/>
      </w:r>
      <w:r w:rsidRPr="00EB4D74">
        <w:rPr>
          <w:color w:val="auto"/>
        </w:rPr>
        <w:instrText xml:space="preserve"> PAGEREF _Toc342914945 \h </w:instrText>
      </w:r>
      <w:r w:rsidRPr="00EB4D74">
        <w:rPr>
          <w:color w:val="auto"/>
        </w:rPr>
      </w:r>
      <w:r w:rsidRPr="00EB4D74">
        <w:rPr>
          <w:color w:val="auto"/>
        </w:rPr>
        <w:fldChar w:fldCharType="separate"/>
      </w:r>
      <w:r>
        <w:rPr>
          <w:color w:val="auto"/>
        </w:rPr>
        <w:t>135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51</w:t>
      </w:r>
      <w:r w:rsidRPr="00EB4D74">
        <w:rPr>
          <w:color w:val="auto"/>
          <w:lang w:val="pt-BR"/>
        </w:rPr>
        <w:t xml:space="preserve"> Forefront Identity Manager 2010 R2</w:t>
      </w:r>
      <w:r w:rsidRPr="00EB4D74">
        <w:rPr>
          <w:color w:val="auto"/>
        </w:rPr>
        <w:tab/>
      </w:r>
      <w:r w:rsidRPr="00EB4D74">
        <w:rPr>
          <w:color w:val="auto"/>
        </w:rPr>
        <w:fldChar w:fldCharType="begin"/>
      </w:r>
      <w:r w:rsidRPr="00EB4D74">
        <w:rPr>
          <w:color w:val="auto"/>
        </w:rPr>
        <w:instrText xml:space="preserve"> PAGEREF _Toc342914946 \h </w:instrText>
      </w:r>
      <w:r w:rsidRPr="00EB4D74">
        <w:rPr>
          <w:color w:val="auto"/>
        </w:rPr>
      </w:r>
      <w:r w:rsidRPr="00EB4D74">
        <w:rPr>
          <w:color w:val="auto"/>
        </w:rPr>
        <w:fldChar w:fldCharType="separate"/>
      </w:r>
      <w:r>
        <w:rPr>
          <w:color w:val="auto"/>
        </w:rPr>
        <w:t>135</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52</w:t>
      </w:r>
      <w:r w:rsidRPr="00EB4D74">
        <w:rPr>
          <w:rFonts w:cs="Tahoma"/>
          <w:lang w:val="pt-BR"/>
        </w:rPr>
        <w:t xml:space="preserve"> Forefront Identity Manager 2010 – Windows Live Edition</w:t>
      </w:r>
      <w:r w:rsidRPr="00EB4D74">
        <w:tab/>
      </w:r>
      <w:r w:rsidRPr="00EB4D74">
        <w:fldChar w:fldCharType="begin"/>
      </w:r>
      <w:r w:rsidRPr="00EB4D74">
        <w:instrText xml:space="preserve"> PAGEREF _Toc342914947 \h </w:instrText>
      </w:r>
      <w:r w:rsidRPr="00EB4D74">
        <w:fldChar w:fldCharType="separate"/>
      </w:r>
      <w:r>
        <w:t>135</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53</w:t>
      </w:r>
      <w:r w:rsidRPr="00EB4D74">
        <w:rPr>
          <w:color w:val="auto"/>
          <w:lang w:val="pt-BR"/>
        </w:rPr>
        <w:t xml:space="preserve"> Forefront Online Protection para Exchange (SL de Dispositivo e Usuário)</w:t>
      </w:r>
      <w:r w:rsidRPr="00EB4D74">
        <w:rPr>
          <w:color w:val="auto"/>
        </w:rPr>
        <w:tab/>
      </w:r>
      <w:r w:rsidRPr="00EB4D74">
        <w:rPr>
          <w:color w:val="auto"/>
        </w:rPr>
        <w:fldChar w:fldCharType="begin"/>
      </w:r>
      <w:r w:rsidRPr="00EB4D74">
        <w:rPr>
          <w:color w:val="auto"/>
        </w:rPr>
        <w:instrText xml:space="preserve"> PAGEREF _Toc342914948 \h </w:instrText>
      </w:r>
      <w:r w:rsidRPr="00EB4D74">
        <w:rPr>
          <w:color w:val="auto"/>
        </w:rPr>
      </w:r>
      <w:r w:rsidRPr="00EB4D74">
        <w:rPr>
          <w:color w:val="auto"/>
        </w:rPr>
        <w:fldChar w:fldCharType="separate"/>
      </w:r>
      <w:r>
        <w:rPr>
          <w:color w:val="auto"/>
        </w:rPr>
        <w:t>135</w:t>
      </w:r>
      <w:r w:rsidRPr="00EB4D74">
        <w:rPr>
          <w:color w:val="auto"/>
        </w:rPr>
        <w:fldChar w:fldCharType="end"/>
      </w:r>
    </w:p>
    <w:p w:rsidR="008B1196" w:rsidRPr="00EB4D74" w:rsidRDefault="008B1196" w:rsidP="008B1196">
      <w:pPr>
        <w:pStyle w:val="TOC3"/>
        <w:ind w:left="187" w:hanging="187"/>
        <w:rPr>
          <w:rFonts w:asciiTheme="minorHAnsi" w:eastAsiaTheme="minorEastAsia" w:hAnsiTheme="minorHAnsi" w:cstheme="minorBidi"/>
          <w:bCs w:val="0"/>
          <w:color w:val="auto"/>
          <w:sz w:val="22"/>
          <w:szCs w:val="22"/>
        </w:rPr>
      </w:pPr>
      <w:r w:rsidRPr="00EB4D74">
        <w:rPr>
          <w:caps/>
          <w:color w:val="auto"/>
          <w:vertAlign w:val="superscript"/>
          <w:lang w:val="pt-BR"/>
        </w:rPr>
        <w:t>54</w:t>
      </w:r>
      <w:r w:rsidRPr="00EB4D74">
        <w:rPr>
          <w:color w:val="auto"/>
          <w:lang w:val="pt-BR"/>
        </w:rPr>
        <w:t xml:space="preserve"> Forefront Protection 2010 para Exchange Server (SL de Usuário e Dispositivo), Forefront Protection 2010 para SharePoint (SL de Usuário e Dispositivo) e Forefront Protection 2010 para Sites de Internet </w:t>
      </w:r>
      <w:r w:rsidRPr="00EB4D74">
        <w:rPr>
          <w:color w:val="auto"/>
          <w:lang w:val="pt-BR"/>
        </w:rPr>
        <w:br/>
        <w:t>(SL Complementar)</w:t>
      </w:r>
      <w:r w:rsidRPr="00EB4D74">
        <w:rPr>
          <w:color w:val="auto"/>
        </w:rPr>
        <w:tab/>
      </w:r>
      <w:r w:rsidRPr="00EB4D74">
        <w:rPr>
          <w:color w:val="auto"/>
        </w:rPr>
        <w:fldChar w:fldCharType="begin"/>
      </w:r>
      <w:r w:rsidRPr="00EB4D74">
        <w:rPr>
          <w:color w:val="auto"/>
        </w:rPr>
        <w:instrText xml:space="preserve"> PAGEREF _Toc342914949 \h </w:instrText>
      </w:r>
      <w:r w:rsidRPr="00EB4D74">
        <w:rPr>
          <w:color w:val="auto"/>
        </w:rPr>
      </w:r>
      <w:r w:rsidRPr="00EB4D74">
        <w:rPr>
          <w:color w:val="auto"/>
        </w:rPr>
        <w:fldChar w:fldCharType="separate"/>
      </w:r>
      <w:r>
        <w:rPr>
          <w:color w:val="auto"/>
        </w:rPr>
        <w:t>136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55</w:t>
      </w:r>
      <w:r w:rsidRPr="00EB4D74">
        <w:rPr>
          <w:color w:val="auto"/>
          <w:lang w:val="pt-BR"/>
        </w:rPr>
        <w:t xml:space="preserve"> Forefront Protection Suite (Dispositivo e Usuário)</w:t>
      </w:r>
      <w:r w:rsidRPr="00EB4D74">
        <w:rPr>
          <w:color w:val="auto"/>
        </w:rPr>
        <w:tab/>
      </w:r>
      <w:r w:rsidRPr="00EB4D74">
        <w:rPr>
          <w:color w:val="auto"/>
        </w:rPr>
        <w:fldChar w:fldCharType="begin"/>
      </w:r>
      <w:r w:rsidRPr="00EB4D74">
        <w:rPr>
          <w:color w:val="auto"/>
        </w:rPr>
        <w:instrText xml:space="preserve"> PAGEREF _Toc342914950 \h </w:instrText>
      </w:r>
      <w:r w:rsidRPr="00EB4D74">
        <w:rPr>
          <w:color w:val="auto"/>
        </w:rPr>
      </w:r>
      <w:r w:rsidRPr="00EB4D74">
        <w:rPr>
          <w:color w:val="auto"/>
        </w:rPr>
        <w:fldChar w:fldCharType="separate"/>
      </w:r>
      <w:r>
        <w:rPr>
          <w:color w:val="auto"/>
        </w:rPr>
        <w:t>136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56 </w:t>
      </w:r>
      <w:r w:rsidRPr="00EB4D74">
        <w:rPr>
          <w:color w:val="auto"/>
          <w:lang w:val="pt-BR"/>
        </w:rPr>
        <w:t>Forefront Security para Office Communications Server (SL de Usuário e Dispositivo)</w:t>
      </w:r>
      <w:r w:rsidRPr="00EB4D74">
        <w:rPr>
          <w:color w:val="auto"/>
        </w:rPr>
        <w:tab/>
      </w:r>
      <w:r w:rsidRPr="00EB4D74">
        <w:rPr>
          <w:color w:val="auto"/>
        </w:rPr>
        <w:fldChar w:fldCharType="begin"/>
      </w:r>
      <w:r w:rsidRPr="00EB4D74">
        <w:rPr>
          <w:color w:val="auto"/>
        </w:rPr>
        <w:instrText xml:space="preserve"> PAGEREF _Toc342914951 \h </w:instrText>
      </w:r>
      <w:r w:rsidRPr="00EB4D74">
        <w:rPr>
          <w:color w:val="auto"/>
        </w:rPr>
      </w:r>
      <w:r w:rsidRPr="00EB4D74">
        <w:rPr>
          <w:color w:val="auto"/>
        </w:rPr>
        <w:fldChar w:fldCharType="separate"/>
      </w:r>
      <w:r>
        <w:rPr>
          <w:color w:val="auto"/>
        </w:rPr>
        <w:t>137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57 </w:t>
      </w:r>
      <w:r w:rsidRPr="00EB4D74">
        <w:rPr>
          <w:color w:val="auto"/>
          <w:lang w:val="pt-BR"/>
        </w:rPr>
        <w:t>Forefront Threat Management Gateway Web Protection Service</w:t>
      </w:r>
      <w:r w:rsidRPr="00EB4D74">
        <w:rPr>
          <w:color w:val="auto"/>
        </w:rPr>
        <w:tab/>
      </w:r>
      <w:r w:rsidRPr="00EB4D74">
        <w:rPr>
          <w:color w:val="auto"/>
        </w:rPr>
        <w:fldChar w:fldCharType="begin"/>
      </w:r>
      <w:r w:rsidRPr="00EB4D74">
        <w:rPr>
          <w:color w:val="auto"/>
        </w:rPr>
        <w:instrText xml:space="preserve"> PAGEREF _Toc342914952 \h </w:instrText>
      </w:r>
      <w:r w:rsidRPr="00EB4D74">
        <w:rPr>
          <w:color w:val="auto"/>
        </w:rPr>
      </w:r>
      <w:r w:rsidRPr="00EB4D74">
        <w:rPr>
          <w:color w:val="auto"/>
        </w:rPr>
        <w:fldChar w:fldCharType="separate"/>
      </w:r>
      <w:r>
        <w:rPr>
          <w:color w:val="auto"/>
        </w:rPr>
        <w:t>137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58 </w:t>
      </w:r>
      <w:r w:rsidRPr="00EB4D74">
        <w:rPr>
          <w:color w:val="auto"/>
          <w:lang w:val="pt-BR"/>
        </w:rPr>
        <w:t>Forefront Unified Access Gateway 2010</w:t>
      </w:r>
      <w:r w:rsidRPr="00EB4D74">
        <w:rPr>
          <w:color w:val="auto"/>
        </w:rPr>
        <w:tab/>
      </w:r>
      <w:r w:rsidRPr="00EB4D74">
        <w:rPr>
          <w:color w:val="auto"/>
        </w:rPr>
        <w:fldChar w:fldCharType="begin"/>
      </w:r>
      <w:r w:rsidRPr="00EB4D74">
        <w:rPr>
          <w:color w:val="auto"/>
        </w:rPr>
        <w:instrText xml:space="preserve"> PAGEREF _Toc342914953 \h </w:instrText>
      </w:r>
      <w:r w:rsidRPr="00EB4D74">
        <w:rPr>
          <w:color w:val="auto"/>
        </w:rPr>
      </w:r>
      <w:r w:rsidRPr="00EB4D74">
        <w:rPr>
          <w:color w:val="auto"/>
        </w:rPr>
        <w:fldChar w:fldCharType="separate"/>
      </w:r>
      <w:r>
        <w:rPr>
          <w:color w:val="auto"/>
        </w:rPr>
        <w:t>137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59</w:t>
      </w:r>
      <w:r w:rsidRPr="00EB4D74">
        <w:rPr>
          <w:color w:val="auto"/>
          <w:lang w:val="pt-BR"/>
        </w:rPr>
        <w:t xml:space="preserve"> HPC Pack 2008 R2 Enterprise</w:t>
      </w:r>
      <w:r w:rsidRPr="00EB4D74">
        <w:rPr>
          <w:color w:val="auto"/>
        </w:rPr>
        <w:tab/>
      </w:r>
      <w:r w:rsidRPr="00EB4D74">
        <w:rPr>
          <w:color w:val="auto"/>
        </w:rPr>
        <w:fldChar w:fldCharType="begin"/>
      </w:r>
      <w:r w:rsidRPr="00EB4D74">
        <w:rPr>
          <w:color w:val="auto"/>
        </w:rPr>
        <w:instrText xml:space="preserve"> PAGEREF _Toc342914954 \h </w:instrText>
      </w:r>
      <w:r w:rsidRPr="00EB4D74">
        <w:rPr>
          <w:color w:val="auto"/>
        </w:rPr>
      </w:r>
      <w:r w:rsidRPr="00EB4D74">
        <w:rPr>
          <w:color w:val="auto"/>
        </w:rPr>
        <w:fldChar w:fldCharType="separate"/>
      </w:r>
      <w:r>
        <w:rPr>
          <w:color w:val="auto"/>
        </w:rPr>
        <w:t>137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60 </w:t>
      </w:r>
      <w:r w:rsidRPr="00EB4D74">
        <w:rPr>
          <w:color w:val="auto"/>
          <w:lang w:val="pt-BR"/>
        </w:rPr>
        <w:t>Microsoft Solutions MCP Exam Vouchers</w:t>
      </w:r>
      <w:r w:rsidRPr="00EB4D74">
        <w:rPr>
          <w:color w:val="auto"/>
        </w:rPr>
        <w:tab/>
      </w:r>
      <w:r w:rsidRPr="00EB4D74">
        <w:rPr>
          <w:color w:val="auto"/>
        </w:rPr>
        <w:fldChar w:fldCharType="begin"/>
      </w:r>
      <w:r w:rsidRPr="00EB4D74">
        <w:rPr>
          <w:color w:val="auto"/>
        </w:rPr>
        <w:instrText xml:space="preserve"> PAGEREF _Toc342914955 \h </w:instrText>
      </w:r>
      <w:r w:rsidRPr="00EB4D74">
        <w:rPr>
          <w:color w:val="auto"/>
        </w:rPr>
      </w:r>
      <w:r w:rsidRPr="00EB4D74">
        <w:rPr>
          <w:color w:val="auto"/>
        </w:rPr>
        <w:fldChar w:fldCharType="separate"/>
      </w:r>
      <w:r>
        <w:rPr>
          <w:color w:val="auto"/>
        </w:rPr>
        <w:t>138</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61 </w:t>
      </w:r>
      <w:r w:rsidRPr="00EB4D74">
        <w:rPr>
          <w:rFonts w:cs="Tahoma"/>
          <w:lang w:val="pt-BR"/>
        </w:rPr>
        <w:t>Lync Online Planos 1, 2 e 3</w:t>
      </w:r>
      <w:r w:rsidRPr="00EB4D74">
        <w:tab/>
      </w:r>
      <w:r w:rsidRPr="00EB4D74">
        <w:fldChar w:fldCharType="begin"/>
      </w:r>
      <w:r w:rsidRPr="00EB4D74">
        <w:instrText xml:space="preserve"> PAGEREF _Toc342914956 \h </w:instrText>
      </w:r>
      <w:r w:rsidRPr="00EB4D74">
        <w:fldChar w:fldCharType="separate"/>
      </w:r>
      <w:r>
        <w:t>138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62 </w:t>
      </w:r>
      <w:r w:rsidRPr="00EB4D74">
        <w:rPr>
          <w:rFonts w:cs="Tahoma"/>
          <w:lang w:val="pt-BR"/>
        </w:rPr>
        <w:t>Lync Server 2013</w:t>
      </w:r>
      <w:r w:rsidRPr="00EB4D74">
        <w:tab/>
      </w:r>
      <w:r w:rsidRPr="00EB4D74">
        <w:fldChar w:fldCharType="begin"/>
      </w:r>
      <w:r w:rsidRPr="00EB4D74">
        <w:instrText xml:space="preserve"> PAGEREF _Toc342914957 \h </w:instrText>
      </w:r>
      <w:r w:rsidRPr="00EB4D74">
        <w:fldChar w:fldCharType="separate"/>
      </w:r>
      <w:r>
        <w:t>139</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63</w:t>
      </w:r>
      <w:r w:rsidRPr="00EB4D74">
        <w:rPr>
          <w:color w:val="auto"/>
          <w:lang w:val="pt-BR"/>
        </w:rPr>
        <w:t xml:space="preserve"> Microsoft Dynamics AX 2012 R2</w:t>
      </w:r>
      <w:r w:rsidRPr="00EB4D74">
        <w:rPr>
          <w:color w:val="auto"/>
        </w:rPr>
        <w:tab/>
      </w:r>
      <w:r w:rsidRPr="00EB4D74">
        <w:rPr>
          <w:color w:val="auto"/>
        </w:rPr>
        <w:fldChar w:fldCharType="begin"/>
      </w:r>
      <w:r w:rsidRPr="00EB4D74">
        <w:rPr>
          <w:color w:val="auto"/>
        </w:rPr>
        <w:instrText xml:space="preserve"> PAGEREF _Toc342914958 \h </w:instrText>
      </w:r>
      <w:r w:rsidRPr="00EB4D74">
        <w:rPr>
          <w:color w:val="auto"/>
        </w:rPr>
      </w:r>
      <w:r w:rsidRPr="00EB4D74">
        <w:rPr>
          <w:color w:val="auto"/>
        </w:rPr>
        <w:fldChar w:fldCharType="separate"/>
      </w:r>
      <w:r>
        <w:rPr>
          <w:color w:val="auto"/>
        </w:rPr>
        <w:t>140</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64</w:t>
      </w:r>
      <w:r w:rsidRPr="00EB4D74">
        <w:rPr>
          <w:color w:val="auto"/>
          <w:lang w:val="pt-BR"/>
        </w:rPr>
        <w:t xml:space="preserve"> Microsoft Dynamics CRM 2011</w:t>
      </w:r>
      <w:r w:rsidRPr="00EB4D74">
        <w:rPr>
          <w:color w:val="auto"/>
        </w:rPr>
        <w:tab/>
      </w:r>
      <w:r w:rsidRPr="00EB4D74">
        <w:rPr>
          <w:color w:val="auto"/>
        </w:rPr>
        <w:fldChar w:fldCharType="begin"/>
      </w:r>
      <w:r w:rsidRPr="00EB4D74">
        <w:rPr>
          <w:color w:val="auto"/>
        </w:rPr>
        <w:instrText xml:space="preserve"> PAGEREF _Toc342914959 \h </w:instrText>
      </w:r>
      <w:r w:rsidRPr="00EB4D74">
        <w:rPr>
          <w:color w:val="auto"/>
        </w:rPr>
      </w:r>
      <w:r w:rsidRPr="00EB4D74">
        <w:rPr>
          <w:color w:val="auto"/>
        </w:rPr>
        <w:fldChar w:fldCharType="separate"/>
      </w:r>
      <w:r>
        <w:rPr>
          <w:color w:val="auto"/>
        </w:rPr>
        <w:t>141</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65 </w:t>
      </w:r>
      <w:r w:rsidRPr="00EB4D74">
        <w:rPr>
          <w:rFonts w:cs="Tahoma"/>
          <w:lang w:val="pt-BR"/>
        </w:rPr>
        <w:t>Office 365 Plano E1</w:t>
      </w:r>
      <w:r w:rsidRPr="00EB4D74">
        <w:tab/>
      </w:r>
      <w:r w:rsidRPr="00EB4D74">
        <w:fldChar w:fldCharType="begin"/>
      </w:r>
      <w:r w:rsidRPr="00EB4D74">
        <w:instrText xml:space="preserve"> PAGEREF _Toc342914960 \h </w:instrText>
      </w:r>
      <w:r w:rsidRPr="00EB4D74">
        <w:fldChar w:fldCharType="separate"/>
      </w:r>
      <w:r>
        <w:t>149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66 </w:t>
      </w:r>
      <w:r w:rsidRPr="00EB4D74">
        <w:rPr>
          <w:rFonts w:cs="Tahoma"/>
          <w:lang w:val="pt-BR"/>
        </w:rPr>
        <w:t>Office 365 Plano G1-G4</w:t>
      </w:r>
      <w:r w:rsidRPr="00EB4D74">
        <w:tab/>
      </w:r>
      <w:r w:rsidRPr="00EB4D74">
        <w:fldChar w:fldCharType="begin"/>
      </w:r>
      <w:r w:rsidRPr="00EB4D74">
        <w:instrText xml:space="preserve"> PAGEREF _Toc342914961 \h </w:instrText>
      </w:r>
      <w:r w:rsidRPr="00EB4D74">
        <w:fldChar w:fldCharType="separate"/>
      </w:r>
      <w:r>
        <w:t>150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rPr>
        <w:t xml:space="preserve">67 </w:t>
      </w:r>
      <w:r w:rsidRPr="00EB4D74">
        <w:rPr>
          <w:rFonts w:cs="Tahoma"/>
          <w:lang w:val="pt-BR"/>
        </w:rPr>
        <w:t>Office 365 Planos K1 e K2 (SL de Usuário)</w:t>
      </w:r>
      <w:r w:rsidRPr="00EB4D74">
        <w:tab/>
      </w:r>
      <w:r w:rsidRPr="00EB4D74">
        <w:fldChar w:fldCharType="begin"/>
      </w:r>
      <w:r w:rsidRPr="00EB4D74">
        <w:instrText xml:space="preserve"> PAGEREF _Toc342914962 \h </w:instrText>
      </w:r>
      <w:r w:rsidRPr="00EB4D74">
        <w:fldChar w:fldCharType="separate"/>
      </w:r>
      <w:r>
        <w:t>150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68</w:t>
      </w:r>
      <w:r w:rsidRPr="00EB4D74">
        <w:rPr>
          <w:rFonts w:cs="Tahoma"/>
          <w:lang w:val="pt-BR"/>
        </w:rPr>
        <w:t xml:space="preserve"> SharePoint Online Plano 1 e Plano 2</w:t>
      </w:r>
      <w:r w:rsidRPr="00EB4D74">
        <w:tab/>
      </w:r>
      <w:r w:rsidRPr="00EB4D74">
        <w:fldChar w:fldCharType="begin"/>
      </w:r>
      <w:r w:rsidRPr="00EB4D74">
        <w:instrText xml:space="preserve"> PAGEREF _Toc342914963 \h </w:instrText>
      </w:r>
      <w:r w:rsidRPr="00EB4D74">
        <w:fldChar w:fldCharType="separate"/>
      </w:r>
      <w:r>
        <w:t>151</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69 </w:t>
      </w:r>
      <w:r w:rsidRPr="00EB4D74">
        <w:rPr>
          <w:rFonts w:cs="Tahoma"/>
          <w:lang w:val="pt-BR"/>
        </w:rPr>
        <w:t>SharePoint Server 2013</w:t>
      </w:r>
      <w:r w:rsidRPr="00EB4D74">
        <w:tab/>
      </w:r>
      <w:r w:rsidRPr="00EB4D74">
        <w:fldChar w:fldCharType="begin"/>
      </w:r>
      <w:r w:rsidRPr="00EB4D74">
        <w:instrText xml:space="preserve"> PAGEREF _Toc342914964 \h </w:instrText>
      </w:r>
      <w:r w:rsidRPr="00EB4D74">
        <w:fldChar w:fldCharType="separate"/>
      </w:r>
      <w:r>
        <w:t>151</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70</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2008 R2 Datacenter</w:t>
      </w:r>
      <w:r w:rsidRPr="00EB4D74">
        <w:rPr>
          <w:color w:val="auto"/>
        </w:rPr>
        <w:tab/>
      </w:r>
      <w:r w:rsidRPr="00EB4D74">
        <w:rPr>
          <w:color w:val="auto"/>
        </w:rPr>
        <w:fldChar w:fldCharType="begin"/>
      </w:r>
      <w:r w:rsidRPr="00EB4D74">
        <w:rPr>
          <w:color w:val="auto"/>
        </w:rPr>
        <w:instrText xml:space="preserve"> PAGEREF _Toc342914965 \h </w:instrText>
      </w:r>
      <w:r w:rsidRPr="00EB4D74">
        <w:rPr>
          <w:color w:val="auto"/>
        </w:rPr>
      </w:r>
      <w:r w:rsidRPr="00EB4D74">
        <w:rPr>
          <w:color w:val="auto"/>
        </w:rPr>
        <w:fldChar w:fldCharType="separate"/>
      </w:r>
      <w:r>
        <w:rPr>
          <w:color w:val="auto"/>
        </w:rPr>
        <w:t>153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71</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2008 R2 Parallel Data Warehouse</w:t>
      </w:r>
      <w:r w:rsidRPr="00EB4D74">
        <w:rPr>
          <w:color w:val="auto"/>
        </w:rPr>
        <w:tab/>
      </w:r>
      <w:r w:rsidRPr="00EB4D74">
        <w:rPr>
          <w:color w:val="auto"/>
        </w:rPr>
        <w:fldChar w:fldCharType="begin"/>
      </w:r>
      <w:r w:rsidRPr="00EB4D74">
        <w:rPr>
          <w:color w:val="auto"/>
        </w:rPr>
        <w:instrText xml:space="preserve"> PAGEREF _Toc342914966 \h </w:instrText>
      </w:r>
      <w:r w:rsidRPr="00EB4D74">
        <w:rPr>
          <w:color w:val="auto"/>
        </w:rPr>
      </w:r>
      <w:r w:rsidRPr="00EB4D74">
        <w:rPr>
          <w:color w:val="auto"/>
        </w:rPr>
        <w:fldChar w:fldCharType="separate"/>
      </w:r>
      <w:r>
        <w:rPr>
          <w:color w:val="auto"/>
        </w:rPr>
        <w:t>155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72</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2008 R2 Small Business</w:t>
      </w:r>
      <w:r w:rsidRPr="00EB4D74">
        <w:rPr>
          <w:color w:val="auto"/>
        </w:rPr>
        <w:tab/>
      </w:r>
      <w:r w:rsidRPr="00EB4D74">
        <w:rPr>
          <w:color w:val="auto"/>
        </w:rPr>
        <w:fldChar w:fldCharType="begin"/>
      </w:r>
      <w:r w:rsidRPr="00EB4D74">
        <w:rPr>
          <w:color w:val="auto"/>
        </w:rPr>
        <w:instrText xml:space="preserve"> PAGEREF _Toc342914967 \h </w:instrText>
      </w:r>
      <w:r w:rsidRPr="00EB4D74">
        <w:rPr>
          <w:color w:val="auto"/>
        </w:rPr>
      </w:r>
      <w:r w:rsidRPr="00EB4D74">
        <w:rPr>
          <w:color w:val="auto"/>
        </w:rPr>
        <w:fldChar w:fldCharType="separate"/>
      </w:r>
      <w:r>
        <w:rPr>
          <w:color w:val="auto"/>
        </w:rPr>
        <w:t>156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73</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2008 R2 Web Processador</w:t>
      </w:r>
      <w:r w:rsidRPr="00EB4D74">
        <w:rPr>
          <w:color w:val="auto"/>
        </w:rPr>
        <w:tab/>
      </w:r>
      <w:r w:rsidRPr="00EB4D74">
        <w:rPr>
          <w:color w:val="auto"/>
        </w:rPr>
        <w:fldChar w:fldCharType="begin"/>
      </w:r>
      <w:r w:rsidRPr="00EB4D74">
        <w:rPr>
          <w:color w:val="auto"/>
        </w:rPr>
        <w:instrText xml:space="preserve"> PAGEREF _Toc342914968 \h </w:instrText>
      </w:r>
      <w:r w:rsidRPr="00EB4D74">
        <w:rPr>
          <w:color w:val="auto"/>
        </w:rPr>
      </w:r>
      <w:r w:rsidRPr="00EB4D74">
        <w:rPr>
          <w:color w:val="auto"/>
        </w:rPr>
        <w:fldChar w:fldCharType="separate"/>
      </w:r>
      <w:r>
        <w:rPr>
          <w:color w:val="auto"/>
        </w:rPr>
        <w:t>156</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74</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2008 R2 Workgroup (Complementar para 5 Clientes)</w:t>
      </w:r>
      <w:r w:rsidRPr="00EB4D74">
        <w:rPr>
          <w:color w:val="auto"/>
        </w:rPr>
        <w:tab/>
      </w:r>
      <w:r w:rsidRPr="00EB4D74">
        <w:rPr>
          <w:color w:val="auto"/>
        </w:rPr>
        <w:fldChar w:fldCharType="begin"/>
      </w:r>
      <w:r w:rsidRPr="00EB4D74">
        <w:rPr>
          <w:color w:val="auto"/>
        </w:rPr>
        <w:instrText xml:space="preserve"> PAGEREF _Toc342914969 \h </w:instrText>
      </w:r>
      <w:r w:rsidRPr="00EB4D74">
        <w:rPr>
          <w:color w:val="auto"/>
        </w:rPr>
      </w:r>
      <w:r w:rsidRPr="00EB4D74">
        <w:rPr>
          <w:color w:val="auto"/>
        </w:rPr>
        <w:fldChar w:fldCharType="separate"/>
      </w:r>
      <w:r>
        <w:rPr>
          <w:color w:val="auto"/>
        </w:rPr>
        <w:t>158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75</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2008 R2 Workgroup Processor</w:t>
      </w:r>
      <w:r w:rsidRPr="00EB4D74">
        <w:rPr>
          <w:color w:val="auto"/>
        </w:rPr>
        <w:tab/>
      </w:r>
      <w:r w:rsidRPr="00EB4D74">
        <w:rPr>
          <w:color w:val="auto"/>
        </w:rPr>
        <w:fldChar w:fldCharType="begin"/>
      </w:r>
      <w:r w:rsidRPr="00EB4D74">
        <w:rPr>
          <w:color w:val="auto"/>
        </w:rPr>
        <w:instrText xml:space="preserve"> PAGEREF _Toc342914970 \h </w:instrText>
      </w:r>
      <w:r w:rsidRPr="00EB4D74">
        <w:rPr>
          <w:color w:val="auto"/>
        </w:rPr>
      </w:r>
      <w:r w:rsidRPr="00EB4D74">
        <w:rPr>
          <w:color w:val="auto"/>
        </w:rPr>
        <w:fldChar w:fldCharType="separate"/>
      </w:r>
      <w:r>
        <w:rPr>
          <w:color w:val="auto"/>
        </w:rPr>
        <w:t>159</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76</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2012 Developer</w:t>
      </w:r>
      <w:r w:rsidRPr="00EB4D74">
        <w:rPr>
          <w:color w:val="auto"/>
        </w:rPr>
        <w:tab/>
      </w:r>
      <w:r w:rsidRPr="00EB4D74">
        <w:rPr>
          <w:color w:val="auto"/>
        </w:rPr>
        <w:fldChar w:fldCharType="begin"/>
      </w:r>
      <w:r w:rsidRPr="00EB4D74">
        <w:rPr>
          <w:color w:val="auto"/>
        </w:rPr>
        <w:instrText xml:space="preserve"> PAGEREF _Toc342914971 \h </w:instrText>
      </w:r>
      <w:r w:rsidRPr="00EB4D74">
        <w:rPr>
          <w:color w:val="auto"/>
        </w:rPr>
      </w:r>
      <w:r w:rsidRPr="00EB4D74">
        <w:rPr>
          <w:color w:val="auto"/>
        </w:rPr>
        <w:fldChar w:fldCharType="separate"/>
      </w:r>
      <w:r>
        <w:rPr>
          <w:color w:val="auto"/>
        </w:rPr>
        <w:t>161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77</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2012 Enterprise</w:t>
      </w:r>
      <w:r w:rsidRPr="00EB4D74">
        <w:rPr>
          <w:color w:val="auto"/>
        </w:rPr>
        <w:tab/>
      </w:r>
      <w:r w:rsidRPr="00EB4D74">
        <w:rPr>
          <w:color w:val="auto"/>
        </w:rPr>
        <w:fldChar w:fldCharType="begin"/>
      </w:r>
      <w:r w:rsidRPr="00EB4D74">
        <w:rPr>
          <w:color w:val="auto"/>
        </w:rPr>
        <w:instrText xml:space="preserve"> PAGEREF _Toc342914972 \h </w:instrText>
      </w:r>
      <w:r w:rsidRPr="00EB4D74">
        <w:rPr>
          <w:color w:val="auto"/>
        </w:rPr>
      </w:r>
      <w:r w:rsidRPr="00EB4D74">
        <w:rPr>
          <w:color w:val="auto"/>
        </w:rPr>
        <w:fldChar w:fldCharType="separate"/>
      </w:r>
      <w:r>
        <w:rPr>
          <w:color w:val="auto"/>
        </w:rPr>
        <w:t>161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78 </w:t>
      </w:r>
      <w:r w:rsidRPr="00EB4D74">
        <w:rPr>
          <w:color w:val="auto"/>
          <w:lang w:val="pt-BR"/>
        </w:rPr>
        <w:t>SQL Server</w:t>
      </w:r>
      <w:r w:rsidRPr="00EB4D74">
        <w:rPr>
          <w:color w:val="auto"/>
          <w:vertAlign w:val="superscript"/>
          <w:lang w:val="pt-BR"/>
        </w:rPr>
        <w:t>®</w:t>
      </w:r>
      <w:r w:rsidRPr="00EB4D74">
        <w:rPr>
          <w:color w:val="auto"/>
          <w:lang w:val="pt-BR"/>
        </w:rPr>
        <w:t xml:space="preserve"> 2012 Enterprise Core</w:t>
      </w:r>
      <w:r w:rsidRPr="00EB4D74">
        <w:rPr>
          <w:color w:val="auto"/>
        </w:rPr>
        <w:tab/>
      </w:r>
      <w:r w:rsidRPr="00EB4D74">
        <w:rPr>
          <w:color w:val="auto"/>
        </w:rPr>
        <w:fldChar w:fldCharType="begin"/>
      </w:r>
      <w:r w:rsidRPr="00EB4D74">
        <w:rPr>
          <w:color w:val="auto"/>
        </w:rPr>
        <w:instrText xml:space="preserve"> PAGEREF _Toc342914973 \h </w:instrText>
      </w:r>
      <w:r w:rsidRPr="00EB4D74">
        <w:rPr>
          <w:color w:val="auto"/>
        </w:rPr>
      </w:r>
      <w:r w:rsidRPr="00EB4D74">
        <w:rPr>
          <w:color w:val="auto"/>
        </w:rPr>
        <w:fldChar w:fldCharType="separate"/>
      </w:r>
      <w:r>
        <w:rPr>
          <w:color w:val="auto"/>
        </w:rPr>
        <w:t>162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79</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2012 Standard</w:t>
      </w:r>
      <w:r w:rsidRPr="00EB4D74">
        <w:rPr>
          <w:color w:val="auto"/>
        </w:rPr>
        <w:tab/>
      </w:r>
      <w:r w:rsidRPr="00EB4D74">
        <w:rPr>
          <w:color w:val="auto"/>
        </w:rPr>
        <w:fldChar w:fldCharType="begin"/>
      </w:r>
      <w:r w:rsidRPr="00EB4D74">
        <w:rPr>
          <w:color w:val="auto"/>
        </w:rPr>
        <w:instrText xml:space="preserve"> PAGEREF _Toc342914974 \h </w:instrText>
      </w:r>
      <w:r w:rsidRPr="00EB4D74">
        <w:rPr>
          <w:color w:val="auto"/>
        </w:rPr>
      </w:r>
      <w:r w:rsidRPr="00EB4D74">
        <w:rPr>
          <w:color w:val="auto"/>
        </w:rPr>
        <w:fldChar w:fldCharType="separate"/>
      </w:r>
      <w:r>
        <w:rPr>
          <w:color w:val="auto"/>
        </w:rPr>
        <w:t>164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80</w:t>
      </w:r>
      <w:r w:rsidRPr="00EB4D74">
        <w:rPr>
          <w:color w:val="auto"/>
          <w:lang w:val="pt-BR"/>
        </w:rPr>
        <w:t xml:space="preserve"> SQL Server</w:t>
      </w:r>
      <w:r w:rsidRPr="00EB4D74">
        <w:rPr>
          <w:color w:val="auto"/>
          <w:vertAlign w:val="superscript"/>
          <w:lang w:val="pt-BR"/>
        </w:rPr>
        <w:t>®</w:t>
      </w:r>
      <w:r w:rsidRPr="00EB4D74">
        <w:rPr>
          <w:color w:val="auto"/>
          <w:lang w:val="pt-BR"/>
        </w:rPr>
        <w:t xml:space="preserve"> 2012 Standard Core</w:t>
      </w:r>
      <w:r w:rsidRPr="00EB4D74">
        <w:rPr>
          <w:color w:val="auto"/>
        </w:rPr>
        <w:tab/>
      </w:r>
      <w:r w:rsidRPr="00EB4D74">
        <w:rPr>
          <w:color w:val="auto"/>
        </w:rPr>
        <w:fldChar w:fldCharType="begin"/>
      </w:r>
      <w:r w:rsidRPr="00EB4D74">
        <w:rPr>
          <w:color w:val="auto"/>
        </w:rPr>
        <w:instrText xml:space="preserve"> PAGEREF _Toc342914975 \h </w:instrText>
      </w:r>
      <w:r w:rsidRPr="00EB4D74">
        <w:rPr>
          <w:color w:val="auto"/>
        </w:rPr>
      </w:r>
      <w:r w:rsidRPr="00EB4D74">
        <w:rPr>
          <w:color w:val="auto"/>
        </w:rPr>
        <w:fldChar w:fldCharType="separate"/>
      </w:r>
      <w:r>
        <w:rPr>
          <w:color w:val="auto"/>
        </w:rPr>
        <w:t>164</w:t>
      </w:r>
      <w:r w:rsidRPr="00EB4D74">
        <w:rPr>
          <w:color w:val="auto"/>
        </w:rPr>
        <w:fldChar w:fldCharType="end"/>
      </w:r>
    </w:p>
    <w:p w:rsidR="008B1196" w:rsidRPr="00EB4D74" w:rsidRDefault="008B1196" w:rsidP="008B1196">
      <w:pPr>
        <w:pStyle w:val="TOC3"/>
        <w:ind w:left="187" w:hanging="187"/>
        <w:rPr>
          <w:rFonts w:asciiTheme="minorHAnsi" w:eastAsiaTheme="minorEastAsia" w:hAnsiTheme="minorHAnsi" w:cstheme="minorBidi"/>
          <w:bCs w:val="0"/>
          <w:color w:val="auto"/>
          <w:sz w:val="22"/>
          <w:szCs w:val="22"/>
        </w:rPr>
      </w:pPr>
      <w:r w:rsidRPr="00EB4D74">
        <w:rPr>
          <w:color w:val="auto"/>
          <w:vertAlign w:val="superscript"/>
          <w:lang w:val="pt-BR"/>
        </w:rPr>
        <w:t>81</w:t>
      </w:r>
      <w:r w:rsidRPr="00EB4D74">
        <w:rPr>
          <w:color w:val="auto"/>
          <w:lang w:val="pt-BR"/>
        </w:rPr>
        <w:t xml:space="preserve"> System Center Configuration Manager 2007 R3 – Licenças de Gerenciamento de Servidor e Servidor de Gerenciamento</w:t>
      </w:r>
      <w:r w:rsidRPr="00EB4D74">
        <w:rPr>
          <w:color w:val="auto"/>
        </w:rPr>
        <w:tab/>
      </w:r>
      <w:r w:rsidRPr="00EB4D74">
        <w:rPr>
          <w:color w:val="auto"/>
        </w:rPr>
        <w:fldChar w:fldCharType="begin"/>
      </w:r>
      <w:r w:rsidRPr="00EB4D74">
        <w:rPr>
          <w:color w:val="auto"/>
        </w:rPr>
        <w:instrText xml:space="preserve"> PAGEREF _Toc342914976 \h </w:instrText>
      </w:r>
      <w:r w:rsidRPr="00EB4D74">
        <w:rPr>
          <w:color w:val="auto"/>
        </w:rPr>
      </w:r>
      <w:r w:rsidRPr="00EB4D74">
        <w:rPr>
          <w:color w:val="auto"/>
        </w:rPr>
        <w:fldChar w:fldCharType="separate"/>
      </w:r>
      <w:r>
        <w:rPr>
          <w:color w:val="auto"/>
        </w:rPr>
        <w:t>167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83</w:t>
      </w:r>
      <w:r w:rsidRPr="00EB4D74">
        <w:rPr>
          <w:color w:val="auto"/>
          <w:lang w:val="pt-BR"/>
        </w:rPr>
        <w:t xml:space="preserve"> System Center Essentials 2010</w:t>
      </w:r>
      <w:r w:rsidRPr="00EB4D74">
        <w:rPr>
          <w:color w:val="auto"/>
        </w:rPr>
        <w:tab/>
      </w:r>
      <w:r w:rsidRPr="00EB4D74">
        <w:rPr>
          <w:color w:val="auto"/>
        </w:rPr>
        <w:fldChar w:fldCharType="begin"/>
      </w:r>
      <w:r w:rsidRPr="00EB4D74">
        <w:rPr>
          <w:color w:val="auto"/>
        </w:rPr>
        <w:instrText xml:space="preserve"> PAGEREF _Toc342914977 \h </w:instrText>
      </w:r>
      <w:r w:rsidRPr="00EB4D74">
        <w:rPr>
          <w:color w:val="auto"/>
        </w:rPr>
      </w:r>
      <w:r w:rsidRPr="00EB4D74">
        <w:rPr>
          <w:color w:val="auto"/>
        </w:rPr>
        <w:fldChar w:fldCharType="separate"/>
      </w:r>
      <w:r>
        <w:rPr>
          <w:color w:val="auto"/>
        </w:rPr>
        <w:t>167</w:t>
      </w:r>
      <w:r w:rsidRPr="00EB4D74">
        <w:rPr>
          <w:color w:val="auto"/>
        </w:rPr>
        <w:fldChar w:fldCharType="end"/>
      </w:r>
    </w:p>
    <w:p w:rsidR="008B1196" w:rsidRPr="00EB4D74" w:rsidRDefault="008B1196" w:rsidP="008B1196">
      <w:pPr>
        <w:pStyle w:val="TOC3"/>
        <w:ind w:left="187" w:hanging="187"/>
        <w:rPr>
          <w:rFonts w:asciiTheme="minorHAnsi" w:eastAsiaTheme="minorEastAsia" w:hAnsiTheme="minorHAnsi" w:cstheme="minorBidi"/>
          <w:bCs w:val="0"/>
          <w:color w:val="auto"/>
          <w:sz w:val="22"/>
          <w:szCs w:val="22"/>
        </w:rPr>
      </w:pPr>
      <w:r w:rsidRPr="00EB4D74">
        <w:rPr>
          <w:color w:val="auto"/>
          <w:vertAlign w:val="superscript"/>
          <w:lang w:val="pt-BR"/>
        </w:rPr>
        <w:t>84</w:t>
      </w:r>
      <w:r w:rsidRPr="00EB4D74">
        <w:rPr>
          <w:color w:val="auto"/>
          <w:lang w:val="pt-BR"/>
        </w:rPr>
        <w:t xml:space="preserve"> System Center Operations Manager 2007 R2 – Licenças de Gerenciamento de Clientes, </w:t>
      </w:r>
      <w:r w:rsidRPr="00EB4D74">
        <w:rPr>
          <w:color w:val="auto"/>
          <w:lang w:val="pt-BR"/>
        </w:rPr>
        <w:br/>
        <w:t>Gerenciamento de Servidor e Servidor de Gerenciamento</w:t>
      </w:r>
      <w:r w:rsidRPr="00EB4D74">
        <w:rPr>
          <w:color w:val="auto"/>
        </w:rPr>
        <w:tab/>
      </w:r>
      <w:r w:rsidRPr="00EB4D74">
        <w:rPr>
          <w:color w:val="auto"/>
        </w:rPr>
        <w:fldChar w:fldCharType="begin"/>
      </w:r>
      <w:r w:rsidRPr="00EB4D74">
        <w:rPr>
          <w:color w:val="auto"/>
        </w:rPr>
        <w:instrText xml:space="preserve"> PAGEREF _Toc342914978 \h </w:instrText>
      </w:r>
      <w:r w:rsidRPr="00EB4D74">
        <w:rPr>
          <w:color w:val="auto"/>
        </w:rPr>
      </w:r>
      <w:r w:rsidRPr="00EB4D74">
        <w:rPr>
          <w:color w:val="auto"/>
        </w:rPr>
        <w:fldChar w:fldCharType="separate"/>
      </w:r>
      <w:r>
        <w:rPr>
          <w:color w:val="auto"/>
        </w:rPr>
        <w:t>168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85</w:t>
      </w:r>
      <w:r w:rsidRPr="00EB4D74">
        <w:rPr>
          <w:color w:val="auto"/>
          <w:lang w:val="pt-BR"/>
        </w:rPr>
        <w:t xml:space="preserve"> System Center Reporting Manager 2006</w:t>
      </w:r>
      <w:r w:rsidRPr="00EB4D74">
        <w:rPr>
          <w:color w:val="auto"/>
        </w:rPr>
        <w:tab/>
      </w:r>
      <w:r w:rsidRPr="00EB4D74">
        <w:rPr>
          <w:color w:val="auto"/>
        </w:rPr>
        <w:fldChar w:fldCharType="begin"/>
      </w:r>
      <w:r w:rsidRPr="00EB4D74">
        <w:rPr>
          <w:color w:val="auto"/>
        </w:rPr>
        <w:instrText xml:space="preserve"> PAGEREF _Toc342914979 \h </w:instrText>
      </w:r>
      <w:r w:rsidRPr="00EB4D74">
        <w:rPr>
          <w:color w:val="auto"/>
        </w:rPr>
      </w:r>
      <w:r w:rsidRPr="00EB4D74">
        <w:rPr>
          <w:color w:val="auto"/>
        </w:rPr>
        <w:fldChar w:fldCharType="separate"/>
      </w:r>
      <w:r>
        <w:rPr>
          <w:color w:val="auto"/>
        </w:rPr>
        <w:t>168</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86</w:t>
      </w:r>
      <w:r w:rsidRPr="00EB4D74">
        <w:rPr>
          <w:color w:val="auto"/>
          <w:lang w:val="pt-BR"/>
        </w:rPr>
        <w:t xml:space="preserve"> System Center Server Management Suite Enterprise</w:t>
      </w:r>
      <w:r w:rsidRPr="00EB4D74">
        <w:rPr>
          <w:color w:val="auto"/>
        </w:rPr>
        <w:tab/>
      </w:r>
      <w:r w:rsidRPr="00EB4D74">
        <w:rPr>
          <w:color w:val="auto"/>
        </w:rPr>
        <w:fldChar w:fldCharType="begin"/>
      </w:r>
      <w:r w:rsidRPr="00EB4D74">
        <w:rPr>
          <w:color w:val="auto"/>
        </w:rPr>
        <w:instrText xml:space="preserve"> PAGEREF _Toc342914980 \h </w:instrText>
      </w:r>
      <w:r w:rsidRPr="00EB4D74">
        <w:rPr>
          <w:color w:val="auto"/>
        </w:rPr>
      </w:r>
      <w:r w:rsidRPr="00EB4D74">
        <w:rPr>
          <w:color w:val="auto"/>
        </w:rPr>
        <w:fldChar w:fldCharType="separate"/>
      </w:r>
      <w:r>
        <w:rPr>
          <w:color w:val="auto"/>
        </w:rPr>
        <w:t>169</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87 </w:t>
      </w:r>
      <w:r w:rsidRPr="00EB4D74">
        <w:rPr>
          <w:color w:val="auto"/>
          <w:lang w:val="pt-BR"/>
        </w:rPr>
        <w:t>System Center Server Management Suite Datacenter</w:t>
      </w:r>
      <w:r w:rsidRPr="00EB4D74">
        <w:rPr>
          <w:color w:val="auto"/>
        </w:rPr>
        <w:tab/>
      </w:r>
      <w:r w:rsidRPr="00EB4D74">
        <w:rPr>
          <w:color w:val="auto"/>
        </w:rPr>
        <w:fldChar w:fldCharType="begin"/>
      </w:r>
      <w:r w:rsidRPr="00EB4D74">
        <w:rPr>
          <w:color w:val="auto"/>
        </w:rPr>
        <w:instrText xml:space="preserve"> PAGEREF _Toc342914981 \h </w:instrText>
      </w:r>
      <w:r w:rsidRPr="00EB4D74">
        <w:rPr>
          <w:color w:val="auto"/>
        </w:rPr>
      </w:r>
      <w:r w:rsidRPr="00EB4D74">
        <w:rPr>
          <w:color w:val="auto"/>
        </w:rPr>
        <w:fldChar w:fldCharType="separate"/>
      </w:r>
      <w:r>
        <w:rPr>
          <w:color w:val="auto"/>
        </w:rPr>
        <w:t>170</w:t>
      </w:r>
      <w:r w:rsidRPr="00EB4D74">
        <w:rPr>
          <w:color w:val="auto"/>
        </w:rPr>
        <w:fldChar w:fldCharType="end"/>
      </w:r>
    </w:p>
    <w:p w:rsidR="008B1196" w:rsidRPr="00EB4D74" w:rsidRDefault="008B1196" w:rsidP="008B1196">
      <w:pPr>
        <w:pStyle w:val="TOC3"/>
        <w:ind w:left="187" w:hanging="187"/>
        <w:rPr>
          <w:rFonts w:asciiTheme="minorHAnsi" w:eastAsiaTheme="minorEastAsia" w:hAnsiTheme="minorHAnsi" w:cstheme="minorBidi"/>
          <w:bCs w:val="0"/>
          <w:color w:val="auto"/>
          <w:sz w:val="22"/>
          <w:szCs w:val="22"/>
          <w:lang w:val="it-IT"/>
        </w:rPr>
      </w:pPr>
      <w:r w:rsidRPr="00EB4D74">
        <w:rPr>
          <w:color w:val="auto"/>
          <w:vertAlign w:val="superscript"/>
          <w:lang w:val="pt-BR"/>
        </w:rPr>
        <w:t>88</w:t>
      </w:r>
      <w:r w:rsidRPr="00EB4D74">
        <w:rPr>
          <w:color w:val="auto"/>
          <w:lang w:val="pt-BR"/>
        </w:rPr>
        <w:t xml:space="preserve"> System Center Service Manager 2010 – Licenças de Gerenciamento de Servidor, </w:t>
      </w:r>
      <w:r w:rsidRPr="00EB4D74">
        <w:rPr>
          <w:color w:val="auto"/>
          <w:lang w:val="pt-BR"/>
        </w:rPr>
        <w:br/>
        <w:t>Gerenciamento de Clientes e Servidor de Gerenciamento</w:t>
      </w:r>
      <w:r w:rsidRPr="00EB4D74">
        <w:rPr>
          <w:color w:val="auto"/>
          <w:lang w:val="it-IT"/>
        </w:rPr>
        <w:tab/>
      </w:r>
      <w:r w:rsidRPr="00EB4D74">
        <w:rPr>
          <w:color w:val="auto"/>
        </w:rPr>
        <w:fldChar w:fldCharType="begin"/>
      </w:r>
      <w:r w:rsidRPr="00EB4D74">
        <w:rPr>
          <w:color w:val="auto"/>
          <w:lang w:val="it-IT"/>
        </w:rPr>
        <w:instrText xml:space="preserve"> PAGEREF _Toc342914982 \h </w:instrText>
      </w:r>
      <w:r w:rsidRPr="00EB4D74">
        <w:rPr>
          <w:color w:val="auto"/>
        </w:rPr>
      </w:r>
      <w:r w:rsidRPr="00EB4D74">
        <w:rPr>
          <w:color w:val="auto"/>
        </w:rPr>
        <w:fldChar w:fldCharType="separate"/>
      </w:r>
      <w:r>
        <w:rPr>
          <w:color w:val="auto"/>
          <w:lang w:val="it-IT"/>
        </w:rPr>
        <w:t>171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89</w:t>
      </w:r>
      <w:r w:rsidRPr="00EB4D74">
        <w:rPr>
          <w:color w:val="auto"/>
          <w:lang w:val="pt-BR"/>
        </w:rPr>
        <w:t xml:space="preserve"> System Center Virtual Machine Manager 2008 R2 – Licenças de Gerenciamento de Servidor e Cliente</w:t>
      </w:r>
      <w:r w:rsidRPr="00EB4D74">
        <w:rPr>
          <w:color w:val="auto"/>
        </w:rPr>
        <w:tab/>
      </w:r>
      <w:r w:rsidRPr="00EB4D74">
        <w:rPr>
          <w:color w:val="auto"/>
        </w:rPr>
        <w:fldChar w:fldCharType="begin"/>
      </w:r>
      <w:r w:rsidRPr="00EB4D74">
        <w:rPr>
          <w:color w:val="auto"/>
        </w:rPr>
        <w:instrText xml:space="preserve"> PAGEREF _Toc342914983 \h </w:instrText>
      </w:r>
      <w:r w:rsidRPr="00EB4D74">
        <w:rPr>
          <w:color w:val="auto"/>
        </w:rPr>
      </w:r>
      <w:r w:rsidRPr="00EB4D74">
        <w:rPr>
          <w:color w:val="auto"/>
        </w:rPr>
        <w:fldChar w:fldCharType="separate"/>
      </w:r>
      <w:r>
        <w:rPr>
          <w:color w:val="auto"/>
        </w:rPr>
        <w:t>171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 xml:space="preserve">90 </w:t>
      </w:r>
      <w:r w:rsidRPr="00EB4D74">
        <w:rPr>
          <w:color w:val="auto"/>
          <w:lang w:val="pt-BR"/>
        </w:rPr>
        <w:t>System Center 2012</w:t>
      </w:r>
      <w:r w:rsidRPr="00EB4D74">
        <w:rPr>
          <w:color w:val="auto"/>
        </w:rPr>
        <w:tab/>
      </w:r>
      <w:r w:rsidRPr="00EB4D74">
        <w:rPr>
          <w:color w:val="auto"/>
        </w:rPr>
        <w:fldChar w:fldCharType="begin"/>
      </w:r>
      <w:r w:rsidRPr="00EB4D74">
        <w:rPr>
          <w:color w:val="auto"/>
        </w:rPr>
        <w:instrText xml:space="preserve"> PAGEREF _Toc342914984 \h </w:instrText>
      </w:r>
      <w:r w:rsidRPr="00EB4D74">
        <w:rPr>
          <w:color w:val="auto"/>
        </w:rPr>
      </w:r>
      <w:r w:rsidRPr="00EB4D74">
        <w:rPr>
          <w:color w:val="auto"/>
        </w:rPr>
        <w:fldChar w:fldCharType="separate"/>
      </w:r>
      <w:r>
        <w:rPr>
          <w:color w:val="auto"/>
        </w:rPr>
        <w:t>171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91</w:t>
      </w:r>
      <w:r w:rsidRPr="00EB4D74">
        <w:rPr>
          <w:color w:val="auto"/>
          <w:lang w:val="pt-BR"/>
        </w:rPr>
        <w:t xml:space="preserve"> System Center 2012 Endpoint Protection</w:t>
      </w:r>
      <w:r w:rsidRPr="00EB4D74">
        <w:rPr>
          <w:color w:val="auto"/>
        </w:rPr>
        <w:tab/>
      </w:r>
      <w:r w:rsidRPr="00EB4D74">
        <w:rPr>
          <w:color w:val="auto"/>
        </w:rPr>
        <w:fldChar w:fldCharType="begin"/>
      </w:r>
      <w:r w:rsidRPr="00EB4D74">
        <w:rPr>
          <w:color w:val="auto"/>
        </w:rPr>
        <w:instrText xml:space="preserve"> PAGEREF _Toc342914985 \h </w:instrText>
      </w:r>
      <w:r w:rsidRPr="00EB4D74">
        <w:rPr>
          <w:color w:val="auto"/>
        </w:rPr>
      </w:r>
      <w:r w:rsidRPr="00EB4D74">
        <w:rPr>
          <w:color w:val="auto"/>
        </w:rPr>
        <w:fldChar w:fldCharType="separate"/>
      </w:r>
      <w:r>
        <w:rPr>
          <w:color w:val="auto"/>
        </w:rPr>
        <w:t>175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92</w:t>
      </w:r>
      <w:r w:rsidRPr="00EB4D74">
        <w:rPr>
          <w:color w:val="auto"/>
          <w:lang w:val="pt-BR"/>
        </w:rPr>
        <w:t xml:space="preserve"> TechNet Plus Single User</w:t>
      </w:r>
      <w:r w:rsidRPr="00EB4D74">
        <w:rPr>
          <w:color w:val="auto"/>
        </w:rPr>
        <w:tab/>
      </w:r>
      <w:r w:rsidRPr="00EB4D74">
        <w:rPr>
          <w:color w:val="auto"/>
        </w:rPr>
        <w:fldChar w:fldCharType="begin"/>
      </w:r>
      <w:r w:rsidRPr="00EB4D74">
        <w:rPr>
          <w:color w:val="auto"/>
        </w:rPr>
        <w:instrText xml:space="preserve"> PAGEREF _Toc342914986 \h </w:instrText>
      </w:r>
      <w:r w:rsidRPr="00EB4D74">
        <w:rPr>
          <w:color w:val="auto"/>
        </w:rPr>
      </w:r>
      <w:r w:rsidRPr="00EB4D74">
        <w:rPr>
          <w:color w:val="auto"/>
        </w:rPr>
        <w:fldChar w:fldCharType="separate"/>
      </w:r>
      <w:r>
        <w:rPr>
          <w:color w:val="auto"/>
        </w:rPr>
        <w:t>175</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olor w:val="auto"/>
          <w:vertAlign w:val="superscript"/>
          <w:lang w:val="pt-BR"/>
        </w:rPr>
        <w:t>93</w:t>
      </w:r>
      <w:r w:rsidRPr="00EB4D74">
        <w:rPr>
          <w:color w:val="auto"/>
          <w:lang w:val="pt-BR"/>
        </w:rPr>
        <w:t xml:space="preserve"> VDI Standard e Premium Suites</w:t>
      </w:r>
      <w:r w:rsidRPr="00EB4D74">
        <w:rPr>
          <w:color w:val="auto"/>
        </w:rPr>
        <w:tab/>
      </w:r>
      <w:r w:rsidRPr="00EB4D74">
        <w:rPr>
          <w:color w:val="auto"/>
        </w:rPr>
        <w:fldChar w:fldCharType="begin"/>
      </w:r>
      <w:r w:rsidRPr="00EB4D74">
        <w:rPr>
          <w:color w:val="auto"/>
        </w:rPr>
        <w:instrText xml:space="preserve"> PAGEREF _Toc342914987 \h </w:instrText>
      </w:r>
      <w:r w:rsidRPr="00EB4D74">
        <w:rPr>
          <w:color w:val="auto"/>
        </w:rPr>
      </w:r>
      <w:r w:rsidRPr="00EB4D74">
        <w:rPr>
          <w:color w:val="auto"/>
        </w:rPr>
        <w:fldChar w:fldCharType="separate"/>
      </w:r>
      <w:r>
        <w:rPr>
          <w:color w:val="auto"/>
        </w:rPr>
        <w:t>175</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rPr>
        <w:t>94</w:t>
      </w:r>
      <w:r w:rsidRPr="00EB4D74">
        <w:rPr>
          <w:rFonts w:cs="Tahoma"/>
          <w:caps/>
        </w:rPr>
        <w:t xml:space="preserve"> </w:t>
      </w:r>
      <w:r w:rsidRPr="00EB4D74">
        <w:rPr>
          <w:rFonts w:cs="Tahoma"/>
        </w:rPr>
        <w:t>Serviços do Windows Azure</w:t>
      </w:r>
      <w:r w:rsidRPr="00EB4D74">
        <w:tab/>
      </w:r>
      <w:r w:rsidRPr="00EB4D74">
        <w:fldChar w:fldCharType="begin"/>
      </w:r>
      <w:r w:rsidRPr="00EB4D74">
        <w:instrText xml:space="preserve"> PAGEREF _Toc342914988 \h </w:instrText>
      </w:r>
      <w:r w:rsidRPr="00EB4D74">
        <w:fldChar w:fldCharType="separate"/>
      </w:r>
      <w:r>
        <w:t>175</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vertAlign w:val="superscript"/>
          <w:lang w:val="pt-BR"/>
        </w:rPr>
        <w:t>95</w:t>
      </w:r>
      <w:r w:rsidRPr="00EB4D74">
        <w:rPr>
          <w:rFonts w:cs="Tahoma"/>
          <w:lang w:val="pt-BR"/>
        </w:rPr>
        <w:t>Windows Embedded Device Manager 2011 – Licença do Servidor de Gerenciamento</w:t>
      </w:r>
      <w:r w:rsidRPr="00EB4D74">
        <w:tab/>
      </w:r>
      <w:r w:rsidRPr="00EB4D74">
        <w:fldChar w:fldCharType="begin"/>
      </w:r>
      <w:r w:rsidRPr="00EB4D74">
        <w:instrText xml:space="preserve"> PAGEREF _Toc342914989 \h </w:instrText>
      </w:r>
      <w:r w:rsidRPr="00EB4D74">
        <w:fldChar w:fldCharType="separate"/>
      </w:r>
      <w:r>
        <w:t>176</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96</w:t>
      </w:r>
      <w:r w:rsidRPr="00EB4D74">
        <w:rPr>
          <w:rFonts w:cs="Tahoma"/>
          <w:lang w:val="pt-BR"/>
        </w:rPr>
        <w:t>Windows Embedded Device Manager 2011 – Licença de Gerenciamento de Clientes</w:t>
      </w:r>
      <w:r w:rsidRPr="00EB4D74">
        <w:tab/>
      </w:r>
      <w:r w:rsidRPr="00EB4D74">
        <w:fldChar w:fldCharType="begin"/>
      </w:r>
      <w:r w:rsidRPr="00EB4D74">
        <w:instrText xml:space="preserve"> PAGEREF _Toc342914990 \h </w:instrText>
      </w:r>
      <w:r w:rsidRPr="00EB4D74">
        <w:fldChar w:fldCharType="separate"/>
      </w:r>
      <w:r>
        <w:t>177</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97 </w:t>
      </w:r>
      <w:r w:rsidRPr="00EB4D74">
        <w:rPr>
          <w:color w:val="auto"/>
          <w:lang w:val="pt-BR"/>
        </w:rPr>
        <w:t>EBS 2008 Standard e EBS 2008 Premium</w:t>
      </w:r>
      <w:r w:rsidRPr="00EB4D74">
        <w:rPr>
          <w:color w:val="auto"/>
        </w:rPr>
        <w:tab/>
      </w:r>
      <w:r w:rsidRPr="00EB4D74">
        <w:rPr>
          <w:color w:val="auto"/>
        </w:rPr>
        <w:fldChar w:fldCharType="begin"/>
      </w:r>
      <w:r w:rsidRPr="00EB4D74">
        <w:rPr>
          <w:color w:val="auto"/>
        </w:rPr>
        <w:instrText xml:space="preserve"> PAGEREF _Toc342914991 \h </w:instrText>
      </w:r>
      <w:r w:rsidRPr="00EB4D74">
        <w:rPr>
          <w:color w:val="auto"/>
        </w:rPr>
      </w:r>
      <w:r w:rsidRPr="00EB4D74">
        <w:rPr>
          <w:color w:val="auto"/>
        </w:rPr>
        <w:fldChar w:fldCharType="separate"/>
      </w:r>
      <w:r>
        <w:rPr>
          <w:color w:val="auto"/>
        </w:rPr>
        <w:t>177</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98</w:t>
      </w:r>
      <w:r w:rsidRPr="00EB4D74">
        <w:rPr>
          <w:color w:val="auto"/>
          <w:lang w:val="pt-BR"/>
        </w:rPr>
        <w:t xml:space="preserve"> Windows HPC Server 2008 R2 Suite</w:t>
      </w:r>
      <w:r w:rsidRPr="00EB4D74">
        <w:rPr>
          <w:color w:val="auto"/>
        </w:rPr>
        <w:tab/>
      </w:r>
      <w:r w:rsidRPr="00EB4D74">
        <w:rPr>
          <w:color w:val="auto"/>
        </w:rPr>
        <w:fldChar w:fldCharType="begin"/>
      </w:r>
      <w:r w:rsidRPr="00EB4D74">
        <w:rPr>
          <w:color w:val="auto"/>
        </w:rPr>
        <w:instrText xml:space="preserve"> PAGEREF _Toc342914992 \h </w:instrText>
      </w:r>
      <w:r w:rsidRPr="00EB4D74">
        <w:rPr>
          <w:color w:val="auto"/>
        </w:rPr>
      </w:r>
      <w:r w:rsidRPr="00EB4D74">
        <w:rPr>
          <w:color w:val="auto"/>
        </w:rPr>
        <w:fldChar w:fldCharType="separate"/>
      </w:r>
      <w:r>
        <w:rPr>
          <w:color w:val="auto"/>
        </w:rPr>
        <w:t>179</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99 </w:t>
      </w:r>
      <w:r w:rsidRPr="00EB4D74">
        <w:rPr>
          <w:rFonts w:cs="Tahoma"/>
          <w:lang w:val="pt-BR"/>
        </w:rPr>
        <w:t>Complemento do Windows Intune (Por Dispositivo)</w:t>
      </w:r>
      <w:r w:rsidRPr="00EB4D74">
        <w:tab/>
      </w:r>
      <w:r w:rsidRPr="00EB4D74">
        <w:fldChar w:fldCharType="begin"/>
      </w:r>
      <w:r w:rsidRPr="00EB4D74">
        <w:instrText xml:space="preserve"> PAGEREF _Toc342914993 \h </w:instrText>
      </w:r>
      <w:r w:rsidRPr="00EB4D74">
        <w:fldChar w:fldCharType="separate"/>
      </w:r>
      <w:r>
        <w:t>180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 xml:space="preserve">100 </w:t>
      </w:r>
      <w:r w:rsidRPr="00EB4D74">
        <w:rPr>
          <w:rFonts w:cs="Tahoma"/>
          <w:lang w:val="pt-BR"/>
        </w:rPr>
        <w:t>Windows Multipoint Server 2012 Standard</w:t>
      </w:r>
      <w:r w:rsidRPr="00EB4D74">
        <w:tab/>
      </w:r>
      <w:r w:rsidRPr="00EB4D74">
        <w:fldChar w:fldCharType="begin"/>
      </w:r>
      <w:r w:rsidRPr="00EB4D74">
        <w:instrText xml:space="preserve"> PAGEREF _Toc342914994 \h </w:instrText>
      </w:r>
      <w:r w:rsidRPr="00EB4D74">
        <w:fldChar w:fldCharType="separate"/>
      </w:r>
      <w:r>
        <w:t>180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lastRenderedPageBreak/>
        <w:t xml:space="preserve">101 </w:t>
      </w:r>
      <w:r w:rsidRPr="00EB4D74">
        <w:rPr>
          <w:rFonts w:cs="Tahoma"/>
          <w:lang w:val="pt-BR"/>
        </w:rPr>
        <w:t>Windows Multipoint Server 2012 Premium</w:t>
      </w:r>
      <w:r w:rsidRPr="00EB4D74">
        <w:tab/>
      </w:r>
      <w:r w:rsidRPr="00EB4D74">
        <w:fldChar w:fldCharType="begin"/>
      </w:r>
      <w:r w:rsidRPr="00EB4D74">
        <w:instrText xml:space="preserve"> PAGEREF _Toc342914995 \h </w:instrText>
      </w:r>
      <w:r w:rsidRPr="00EB4D74">
        <w:fldChar w:fldCharType="separate"/>
      </w:r>
      <w:r>
        <w:t>180</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102</w:t>
      </w:r>
      <w:r w:rsidRPr="00EB4D74">
        <w:rPr>
          <w:rFonts w:cs="Tahoma"/>
          <w:lang w:val="pt-BR"/>
        </w:rPr>
        <w:t xml:space="preserve"> CAL do Windows Multipoint Server 2012</w:t>
      </w:r>
      <w:r w:rsidRPr="00EB4D74">
        <w:tab/>
      </w:r>
      <w:r w:rsidRPr="00EB4D74">
        <w:fldChar w:fldCharType="begin"/>
      </w:r>
      <w:r w:rsidRPr="00EB4D74">
        <w:instrText xml:space="preserve"> PAGEREF _Toc342914996 \h </w:instrText>
      </w:r>
      <w:r w:rsidRPr="00EB4D74">
        <w:fldChar w:fldCharType="separate"/>
      </w:r>
      <w:r>
        <w:t>180</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 xml:space="preserve">103 </w:t>
      </w:r>
      <w:r w:rsidRPr="00EB4D74">
        <w:rPr>
          <w:color w:val="auto"/>
          <w:lang w:val="pt-BR"/>
        </w:rPr>
        <w:t>Windows Server 2008 R2 HPC Edition</w:t>
      </w:r>
      <w:r w:rsidRPr="00EB4D74">
        <w:rPr>
          <w:color w:val="auto"/>
        </w:rPr>
        <w:tab/>
      </w:r>
      <w:r w:rsidRPr="00EB4D74">
        <w:rPr>
          <w:color w:val="auto"/>
        </w:rPr>
        <w:fldChar w:fldCharType="begin"/>
      </w:r>
      <w:r w:rsidRPr="00EB4D74">
        <w:rPr>
          <w:color w:val="auto"/>
        </w:rPr>
        <w:instrText xml:space="preserve"> PAGEREF _Toc342914997 \h </w:instrText>
      </w:r>
      <w:r w:rsidRPr="00EB4D74">
        <w:rPr>
          <w:color w:val="auto"/>
        </w:rPr>
      </w:r>
      <w:r w:rsidRPr="00EB4D74">
        <w:rPr>
          <w:color w:val="auto"/>
        </w:rPr>
        <w:fldChar w:fldCharType="separate"/>
      </w:r>
      <w:r>
        <w:rPr>
          <w:color w:val="auto"/>
        </w:rPr>
        <w:t>181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104</w:t>
      </w:r>
      <w:r w:rsidRPr="00EB4D74">
        <w:rPr>
          <w:color w:val="auto"/>
          <w:lang w:val="pt-BR"/>
        </w:rPr>
        <w:t xml:space="preserve"> Windows Server 2008 R2 Enterprise</w:t>
      </w:r>
      <w:r w:rsidRPr="00EB4D74">
        <w:rPr>
          <w:color w:val="auto"/>
        </w:rPr>
        <w:tab/>
      </w:r>
      <w:r w:rsidRPr="00EB4D74">
        <w:rPr>
          <w:color w:val="auto"/>
        </w:rPr>
        <w:fldChar w:fldCharType="begin"/>
      </w:r>
      <w:r w:rsidRPr="00EB4D74">
        <w:rPr>
          <w:color w:val="auto"/>
        </w:rPr>
        <w:instrText xml:space="preserve"> PAGEREF _Toc342914998 \h </w:instrText>
      </w:r>
      <w:r w:rsidRPr="00EB4D74">
        <w:rPr>
          <w:color w:val="auto"/>
        </w:rPr>
      </w:r>
      <w:r w:rsidRPr="00EB4D74">
        <w:rPr>
          <w:color w:val="auto"/>
        </w:rPr>
        <w:fldChar w:fldCharType="separate"/>
      </w:r>
      <w:r>
        <w:rPr>
          <w:color w:val="auto"/>
        </w:rPr>
        <w:t>181</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105</w:t>
      </w:r>
      <w:r w:rsidRPr="00EB4D74">
        <w:rPr>
          <w:color w:val="auto"/>
          <w:lang w:val="pt-BR"/>
        </w:rPr>
        <w:t xml:space="preserve"> Windows Server 2008 R2 for Itanium-Based Systems</w:t>
      </w:r>
      <w:r w:rsidRPr="00EB4D74">
        <w:rPr>
          <w:color w:val="auto"/>
        </w:rPr>
        <w:tab/>
      </w:r>
      <w:r w:rsidRPr="00EB4D74">
        <w:rPr>
          <w:color w:val="auto"/>
        </w:rPr>
        <w:fldChar w:fldCharType="begin"/>
      </w:r>
      <w:r w:rsidRPr="00EB4D74">
        <w:rPr>
          <w:color w:val="auto"/>
        </w:rPr>
        <w:instrText xml:space="preserve"> PAGEREF _Toc342914999 \h </w:instrText>
      </w:r>
      <w:r w:rsidRPr="00EB4D74">
        <w:rPr>
          <w:color w:val="auto"/>
        </w:rPr>
      </w:r>
      <w:r w:rsidRPr="00EB4D74">
        <w:rPr>
          <w:color w:val="auto"/>
        </w:rPr>
        <w:fldChar w:fldCharType="separate"/>
      </w:r>
      <w:r>
        <w:rPr>
          <w:color w:val="auto"/>
        </w:rPr>
        <w:t>182</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106</w:t>
      </w:r>
      <w:r w:rsidRPr="00EB4D74">
        <w:rPr>
          <w:color w:val="auto"/>
          <w:lang w:val="pt-BR"/>
        </w:rPr>
        <w:t xml:space="preserve"> CAL do Windows Server 2012</w:t>
      </w:r>
      <w:r w:rsidRPr="00EB4D74">
        <w:rPr>
          <w:color w:val="auto"/>
        </w:rPr>
        <w:tab/>
      </w:r>
      <w:r w:rsidRPr="00EB4D74">
        <w:rPr>
          <w:color w:val="auto"/>
        </w:rPr>
        <w:fldChar w:fldCharType="begin"/>
      </w:r>
      <w:r w:rsidRPr="00EB4D74">
        <w:rPr>
          <w:color w:val="auto"/>
        </w:rPr>
        <w:instrText xml:space="preserve"> PAGEREF _Toc342915000 \h </w:instrText>
      </w:r>
      <w:r w:rsidRPr="00EB4D74">
        <w:rPr>
          <w:color w:val="auto"/>
        </w:rPr>
      </w:r>
      <w:r w:rsidRPr="00EB4D74">
        <w:rPr>
          <w:color w:val="auto"/>
        </w:rPr>
        <w:fldChar w:fldCharType="separate"/>
      </w:r>
      <w:r>
        <w:rPr>
          <w:color w:val="auto"/>
        </w:rPr>
        <w:t>183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107</w:t>
      </w:r>
      <w:r w:rsidRPr="00EB4D74">
        <w:rPr>
          <w:color w:val="auto"/>
          <w:lang w:val="pt-BR"/>
        </w:rPr>
        <w:t xml:space="preserve"> Windows Server 2008 R2 Datacenter</w:t>
      </w:r>
      <w:r w:rsidRPr="00EB4D74">
        <w:rPr>
          <w:color w:val="auto"/>
        </w:rPr>
        <w:tab/>
      </w:r>
      <w:r w:rsidRPr="00EB4D74">
        <w:rPr>
          <w:color w:val="auto"/>
        </w:rPr>
        <w:fldChar w:fldCharType="begin"/>
      </w:r>
      <w:r w:rsidRPr="00EB4D74">
        <w:rPr>
          <w:color w:val="auto"/>
        </w:rPr>
        <w:instrText xml:space="preserve"> PAGEREF _Toc342915001 \h </w:instrText>
      </w:r>
      <w:r w:rsidRPr="00EB4D74">
        <w:rPr>
          <w:color w:val="auto"/>
        </w:rPr>
      </w:r>
      <w:r w:rsidRPr="00EB4D74">
        <w:rPr>
          <w:color w:val="auto"/>
        </w:rPr>
        <w:fldChar w:fldCharType="separate"/>
      </w:r>
      <w:r>
        <w:rPr>
          <w:color w:val="auto"/>
        </w:rPr>
        <w:t>183</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108</w:t>
      </w:r>
      <w:r w:rsidRPr="00EB4D74">
        <w:rPr>
          <w:color w:val="auto"/>
          <w:lang w:val="pt-BR"/>
        </w:rPr>
        <w:t xml:space="preserve"> Windows Server 2008 R2 Standard</w:t>
      </w:r>
      <w:r w:rsidRPr="00EB4D74">
        <w:rPr>
          <w:color w:val="auto"/>
        </w:rPr>
        <w:tab/>
      </w:r>
      <w:r w:rsidRPr="00EB4D74">
        <w:rPr>
          <w:color w:val="auto"/>
        </w:rPr>
        <w:fldChar w:fldCharType="begin"/>
      </w:r>
      <w:r w:rsidRPr="00EB4D74">
        <w:rPr>
          <w:color w:val="auto"/>
        </w:rPr>
        <w:instrText xml:space="preserve"> PAGEREF _Toc342915002 \h </w:instrText>
      </w:r>
      <w:r w:rsidRPr="00EB4D74">
        <w:rPr>
          <w:color w:val="auto"/>
        </w:rPr>
      </w:r>
      <w:r w:rsidRPr="00EB4D74">
        <w:rPr>
          <w:color w:val="auto"/>
        </w:rPr>
        <w:fldChar w:fldCharType="separate"/>
      </w:r>
      <w:r>
        <w:rPr>
          <w:color w:val="auto"/>
        </w:rPr>
        <w:t>184</w:t>
      </w:r>
      <w:r w:rsidRPr="00EB4D74">
        <w:rPr>
          <w:color w:val="auto"/>
        </w:rPr>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rPr>
        <w:t>109</w:t>
      </w:r>
      <w:r w:rsidRPr="00EB4D74">
        <w:rPr>
          <w:color w:val="auto"/>
        </w:rPr>
        <w:t xml:space="preserve"> Windows Web Server</w:t>
      </w:r>
      <w:r w:rsidRPr="00EB4D74">
        <w:rPr>
          <w:color w:val="auto"/>
          <w:vertAlign w:val="superscript"/>
        </w:rPr>
        <w:t>®</w:t>
      </w:r>
      <w:r w:rsidRPr="00EB4D74">
        <w:rPr>
          <w:color w:val="auto"/>
        </w:rPr>
        <w:t xml:space="preserve"> 2008 R2</w:t>
      </w:r>
      <w:r w:rsidRPr="00EB4D74">
        <w:rPr>
          <w:color w:val="auto"/>
        </w:rPr>
        <w:tab/>
      </w:r>
      <w:r w:rsidRPr="00EB4D74">
        <w:rPr>
          <w:color w:val="auto"/>
        </w:rPr>
        <w:fldChar w:fldCharType="begin"/>
      </w:r>
      <w:r w:rsidRPr="00EB4D74">
        <w:rPr>
          <w:color w:val="auto"/>
        </w:rPr>
        <w:instrText xml:space="preserve"> PAGEREF _Toc342915003 \h </w:instrText>
      </w:r>
      <w:r w:rsidRPr="00EB4D74">
        <w:rPr>
          <w:color w:val="auto"/>
        </w:rPr>
      </w:r>
      <w:r w:rsidRPr="00EB4D74">
        <w:rPr>
          <w:color w:val="auto"/>
        </w:rPr>
        <w:fldChar w:fldCharType="separate"/>
      </w:r>
      <w:r>
        <w:rPr>
          <w:color w:val="auto"/>
        </w:rPr>
        <w:t>185</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110</w:t>
      </w:r>
      <w:r w:rsidRPr="00EB4D74">
        <w:rPr>
          <w:rFonts w:cs="Tahoma"/>
          <w:lang w:val="pt-BR"/>
        </w:rPr>
        <w:t xml:space="preserve"> Windows Small Business Server (SBS) 2008 Premium</w:t>
      </w:r>
      <w:r w:rsidRPr="00EB4D74">
        <w:tab/>
      </w:r>
      <w:r w:rsidRPr="00EB4D74">
        <w:fldChar w:fldCharType="begin"/>
      </w:r>
      <w:r w:rsidRPr="00EB4D74">
        <w:instrText xml:space="preserve"> PAGEREF _Toc342915004 \h </w:instrText>
      </w:r>
      <w:r w:rsidRPr="00EB4D74">
        <w:fldChar w:fldCharType="separate"/>
      </w:r>
      <w:r>
        <w:t>186</w:t>
      </w:r>
      <w:r w:rsidRPr="00EB4D74">
        <w:fldChar w:fldCharType="end"/>
      </w:r>
    </w:p>
    <w:p w:rsidR="008B1196" w:rsidRPr="00EB4D74" w:rsidRDefault="008B1196" w:rsidP="008B1196">
      <w:pPr>
        <w:pStyle w:val="TOC3"/>
        <w:rPr>
          <w:rFonts w:asciiTheme="minorHAnsi" w:eastAsiaTheme="minorEastAsia" w:hAnsiTheme="minorHAnsi" w:cstheme="minorBidi"/>
          <w:bCs w:val="0"/>
          <w:color w:val="auto"/>
          <w:sz w:val="22"/>
          <w:szCs w:val="22"/>
        </w:rPr>
      </w:pPr>
      <w:r w:rsidRPr="00EB4D74">
        <w:rPr>
          <w:caps/>
          <w:color w:val="auto"/>
          <w:vertAlign w:val="superscript"/>
          <w:lang w:val="pt-BR"/>
        </w:rPr>
        <w:t>111</w:t>
      </w:r>
      <w:r w:rsidRPr="00EB4D74">
        <w:rPr>
          <w:color w:val="auto"/>
          <w:lang w:val="pt-BR"/>
        </w:rPr>
        <w:t xml:space="preserve"> Windows Small Business Server (SBS) 2011 Standard</w:t>
      </w:r>
      <w:r w:rsidRPr="00EB4D74">
        <w:rPr>
          <w:color w:val="auto"/>
        </w:rPr>
        <w:tab/>
      </w:r>
      <w:r w:rsidRPr="00EB4D74">
        <w:rPr>
          <w:color w:val="auto"/>
        </w:rPr>
        <w:fldChar w:fldCharType="begin"/>
      </w:r>
      <w:r w:rsidRPr="00EB4D74">
        <w:rPr>
          <w:color w:val="auto"/>
        </w:rPr>
        <w:instrText xml:space="preserve"> PAGEREF _Toc342915005 \h </w:instrText>
      </w:r>
      <w:r w:rsidRPr="00EB4D74">
        <w:rPr>
          <w:color w:val="auto"/>
        </w:rPr>
      </w:r>
      <w:r w:rsidRPr="00EB4D74">
        <w:rPr>
          <w:color w:val="auto"/>
        </w:rPr>
        <w:fldChar w:fldCharType="separate"/>
      </w:r>
      <w:r>
        <w:rPr>
          <w:color w:val="auto"/>
        </w:rPr>
        <w:t>186</w:t>
      </w:r>
      <w:r w:rsidRPr="00EB4D74">
        <w:rPr>
          <w:color w:val="auto"/>
        </w:rPr>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rPr>
        <w:t>112</w:t>
      </w:r>
      <w:r w:rsidRPr="00EB4D74">
        <w:rPr>
          <w:rFonts w:cs="Tahoma"/>
        </w:rPr>
        <w:t xml:space="preserve"> Pacote de CALs do Windows Small Business Server (SBS) 2011</w:t>
      </w:r>
      <w:r w:rsidRPr="00EB4D74">
        <w:tab/>
      </w:r>
      <w:r w:rsidRPr="00EB4D74">
        <w:fldChar w:fldCharType="begin"/>
      </w:r>
      <w:r w:rsidRPr="00EB4D74">
        <w:instrText xml:space="preserve"> PAGEREF _Toc342915006 \h </w:instrText>
      </w:r>
      <w:r w:rsidRPr="00EB4D74">
        <w:fldChar w:fldCharType="separate"/>
      </w:r>
      <w:r>
        <w:t>187</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lang w:val="pt-BR"/>
        </w:rPr>
        <w:t>113</w:t>
      </w:r>
      <w:r w:rsidRPr="00EB4D74">
        <w:rPr>
          <w:rFonts w:cs="Tahoma"/>
          <w:lang w:val="pt-BR"/>
        </w:rPr>
        <w:t xml:space="preserve"> Complemento do Windows Small Business Server (SBS) 2011 Premium</w:t>
      </w:r>
      <w:r w:rsidRPr="00EB4D74">
        <w:tab/>
      </w:r>
      <w:r w:rsidRPr="00EB4D74">
        <w:fldChar w:fldCharType="begin"/>
      </w:r>
      <w:r w:rsidRPr="00EB4D74">
        <w:instrText xml:space="preserve"> PAGEREF _Toc342915007 \h </w:instrText>
      </w:r>
      <w:r w:rsidRPr="00EB4D74">
        <w:fldChar w:fldCharType="separate"/>
      </w:r>
      <w:r>
        <w:t>188</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caps/>
          <w:vertAlign w:val="superscript"/>
        </w:rPr>
        <w:t>114</w:t>
      </w:r>
      <w:r w:rsidRPr="00EB4D74">
        <w:rPr>
          <w:rFonts w:cs="Tahoma"/>
        </w:rPr>
        <w:t xml:space="preserve"> Pacote de CALs do Complemento do Windows Small Business Server (SBS) 2011 Premium</w:t>
      </w:r>
      <w:r w:rsidRPr="00EB4D74">
        <w:tab/>
      </w:r>
      <w:r w:rsidRPr="00EB4D74">
        <w:fldChar w:fldCharType="begin"/>
      </w:r>
      <w:r w:rsidRPr="00EB4D74">
        <w:instrText xml:space="preserve"> PAGEREF _Toc342915008 \h </w:instrText>
      </w:r>
      <w:r w:rsidRPr="00EB4D74">
        <w:fldChar w:fldCharType="separate"/>
      </w:r>
      <w:r>
        <w:t>189</w:t>
      </w:r>
      <w:r w:rsidRPr="00EB4D74">
        <w:fldChar w:fldCharType="end"/>
      </w:r>
    </w:p>
    <w:p w:rsidR="008B1196" w:rsidRPr="00EB4D74" w:rsidRDefault="008B1196" w:rsidP="008B1196">
      <w:pPr>
        <w:pStyle w:val="TOC2"/>
        <w:rPr>
          <w:rFonts w:asciiTheme="minorHAnsi" w:eastAsiaTheme="minorEastAsia" w:hAnsiTheme="minorHAnsi" w:cstheme="minorBidi"/>
          <w:sz w:val="22"/>
          <w:szCs w:val="22"/>
        </w:rPr>
      </w:pPr>
      <w:r w:rsidRPr="00EB4D74">
        <w:rPr>
          <w:rFonts w:cs="Tahoma"/>
          <w:vertAlign w:val="superscript"/>
          <w:lang w:val="pt-BR"/>
        </w:rPr>
        <w:t>115</w:t>
      </w:r>
      <w:r w:rsidRPr="00EB4D74">
        <w:rPr>
          <w:rFonts w:cs="Tahoma"/>
          <w:lang w:val="pt-BR"/>
        </w:rPr>
        <w:t xml:space="preserve"> Windows Small Business Server 2011 Essentials</w:t>
      </w:r>
      <w:r w:rsidRPr="00EB4D74">
        <w:tab/>
      </w:r>
      <w:r w:rsidRPr="00EB4D74">
        <w:fldChar w:fldCharType="begin"/>
      </w:r>
      <w:r w:rsidRPr="00EB4D74">
        <w:instrText xml:space="preserve"> PAGEREF _Toc342915009 \h </w:instrText>
      </w:r>
      <w:r w:rsidRPr="00EB4D74">
        <w:fldChar w:fldCharType="separate"/>
      </w:r>
      <w:r>
        <w:t>190</w:t>
      </w:r>
      <w:r w:rsidRPr="00EB4D74">
        <w:fldChar w:fldCharType="end"/>
      </w:r>
    </w:p>
    <w:p w:rsidR="008B1196" w:rsidRPr="00EB4D74" w:rsidRDefault="008B1196" w:rsidP="008B1196">
      <w:pPr>
        <w:rPr>
          <w:sz w:val="2"/>
          <w:szCs w:val="2"/>
        </w:rPr>
      </w:pPr>
      <w:r w:rsidRPr="00EB4D74">
        <w:rPr>
          <w:rFonts w:cs="Tahoma"/>
          <w:szCs w:val="18"/>
        </w:rPr>
        <w:fldChar w:fldCharType="end"/>
      </w:r>
      <w:r w:rsidRPr="00EB4D74">
        <w:br w:type="page"/>
      </w:r>
    </w:p>
    <w:p w:rsidR="008B1196" w:rsidRPr="00EB4D74" w:rsidRDefault="008B1196" w:rsidP="008B1196">
      <w:pPr>
        <w:pStyle w:val="Heading2"/>
        <w:rPr>
          <w:rFonts w:ascii="Tahoma" w:hAnsi="Tahoma" w:cs="Tahoma"/>
          <w:lang w:val="it-IT"/>
        </w:rPr>
      </w:pPr>
      <w:bookmarkStart w:id="7" w:name="_Toc246850065"/>
      <w:bookmarkStart w:id="8" w:name="_Toc336337840"/>
      <w:bookmarkStart w:id="9" w:name="_Toc342914497"/>
      <w:bookmarkEnd w:id="7"/>
      <w:bookmarkEnd w:id="8"/>
      <w:r w:rsidRPr="00EB4D74">
        <w:rPr>
          <w:rFonts w:ascii="Tahoma" w:hAnsi="Tahoma" w:cs="Tahoma"/>
          <w:sz w:val="36"/>
          <w:lang w:val="pt-BR"/>
        </w:rPr>
        <w:lastRenderedPageBreak/>
        <w:t>Legenda da Tabela</w:t>
      </w:r>
      <w:bookmarkEnd w:id="9"/>
    </w:p>
    <w:p w:rsidR="008B1196" w:rsidRPr="00EB4D74" w:rsidRDefault="008B1196" w:rsidP="008B1196">
      <w:pPr>
        <w:pStyle w:val="ChartKeyHeadings"/>
        <w:ind w:right="-187"/>
        <w:rPr>
          <w:rFonts w:ascii="Tahoma" w:hAnsi="Tahoma" w:cs="Tahoma"/>
          <w:sz w:val="18"/>
          <w:szCs w:val="18"/>
          <w:lang w:val="it-IT"/>
        </w:rPr>
      </w:pPr>
    </w:p>
    <w:p w:rsidR="008B1196" w:rsidRPr="00EB4D74" w:rsidRDefault="008B1196" w:rsidP="008B1196">
      <w:pPr>
        <w:pStyle w:val="ChartKeyHeadings"/>
        <w:rPr>
          <w:rFonts w:ascii="Tahoma" w:hAnsi="Tahoma" w:cs="Tahoma"/>
          <w:lang w:val="it-IT"/>
        </w:rPr>
      </w:pPr>
      <w:r w:rsidRPr="00EB4D74">
        <w:rPr>
          <w:rFonts w:ascii="Tahoma" w:hAnsi="Tahoma" w:cs="Tahoma"/>
          <w:lang w:val="pt-BR"/>
        </w:rPr>
        <w:t>Títulos das colunas</w:t>
      </w:r>
    </w:p>
    <w:p w:rsidR="008B1196" w:rsidRPr="00EB4D74" w:rsidRDefault="008B1196" w:rsidP="008B1196">
      <w:pPr>
        <w:pStyle w:val="ChartKeyHeadings"/>
        <w:rPr>
          <w:rFonts w:ascii="Tahoma" w:hAnsi="Tahoma" w:cs="Tahoma"/>
          <w:sz w:val="18"/>
          <w:szCs w:val="18"/>
          <w:lang w:val="it-IT"/>
        </w:rPr>
      </w:pPr>
    </w:p>
    <w:p w:rsidR="008B1196" w:rsidRPr="00EB4D74" w:rsidRDefault="008B1196" w:rsidP="008B1196">
      <w:pPr>
        <w:pStyle w:val="Bodywithspace"/>
        <w:spacing w:before="0" w:after="0" w:line="276" w:lineRule="auto"/>
        <w:rPr>
          <w:rFonts w:ascii="Tahoma" w:hAnsi="Tahoma" w:cs="Tahoma"/>
          <w:sz w:val="18"/>
          <w:szCs w:val="18"/>
          <w:lang w:val="it-IT"/>
        </w:rPr>
      </w:pPr>
      <w:r w:rsidRPr="00EB4D74">
        <w:rPr>
          <w:rStyle w:val="BodyChar2"/>
          <w:rFonts w:ascii="Tahoma" w:hAnsi="Tahoma" w:cs="Tahoma"/>
          <w:b/>
          <w:color w:val="000000"/>
          <w:sz w:val="18"/>
          <w:szCs w:val="18"/>
          <w:lang w:val="pt-BR"/>
        </w:rPr>
        <w:t xml:space="preserve">Unidades Campus e School </w:t>
      </w:r>
      <w:r w:rsidRPr="00EB4D74">
        <w:rPr>
          <w:rFonts w:ascii="Tahoma" w:hAnsi="Tahoma" w:cs="Tahoma"/>
          <w:b/>
          <w:color w:val="000000"/>
          <w:sz w:val="18"/>
          <w:szCs w:val="18"/>
          <w:lang w:val="pt-BR"/>
        </w:rPr>
        <w:t>=</w:t>
      </w:r>
      <w:r w:rsidRPr="00EB4D74">
        <w:rPr>
          <w:rFonts w:ascii="Tahoma" w:hAnsi="Tahoma" w:cs="Tahoma"/>
          <w:color w:val="000000"/>
          <w:sz w:val="18"/>
          <w:szCs w:val="18"/>
          <w:lang w:val="pt-BR"/>
        </w:rPr>
        <w:t xml:space="preserve"> Os números mostrados nesta coluna representam unidades designadas quando o software é oferecido pelo Registro School de acordo com o Contrato Campus e School.</w:t>
      </w:r>
      <w:r w:rsidRPr="00EB4D74">
        <w:rPr>
          <w:rFonts w:ascii="Tahoma" w:hAnsi="Tahoma" w:cs="Tahoma"/>
          <w:sz w:val="18"/>
          <w:szCs w:val="18"/>
          <w:lang w:val="it-IT"/>
        </w:rPr>
        <w:t> </w:t>
      </w:r>
      <w:r w:rsidRPr="00EB4D74">
        <w:rPr>
          <w:rFonts w:ascii="Tahoma" w:hAnsi="Tahoma" w:cs="Tahoma"/>
          <w:color w:val="000000"/>
          <w:sz w:val="18"/>
          <w:szCs w:val="18"/>
          <w:lang w:val="pt-BR"/>
        </w:rPr>
        <w:t>Os produtos não são oferecidos nesses programas quando a coluna CA/SA está vazia.</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rPr>
        <w:t xml:space="preserve">Data disponível = </w:t>
      </w:r>
      <w:r w:rsidRPr="00EB4D74">
        <w:rPr>
          <w:rStyle w:val="BodyChar"/>
          <w:rFonts w:ascii="Tahoma" w:hAnsi="Tahoma" w:cs="Tahoma"/>
          <w:sz w:val="18"/>
          <w:lang w:val="pt-BR"/>
        </w:rPr>
        <w:t>Esta é a data em que um produto está disponível pela primeira vez,</w:t>
      </w:r>
      <w:r w:rsidRPr="00EB4D74">
        <w:rPr>
          <w:rStyle w:val="BodyChar"/>
          <w:rFonts w:ascii="Tahoma" w:hAnsi="Tahoma" w:cs="Tahoma"/>
          <w:color w:val="000000"/>
          <w:sz w:val="18"/>
          <w:lang w:val="pt-BR"/>
        </w:rPr>
        <w:t xml:space="preserve"> designada como mês/ano. </w:t>
      </w:r>
      <w:r w:rsidRPr="00EB4D74">
        <w:rPr>
          <w:rStyle w:val="BodyChar"/>
          <w:rFonts w:ascii="Tahoma" w:hAnsi="Tahoma" w:cs="Tahoma"/>
          <w:sz w:val="18"/>
          <w:lang w:val="pt-BR"/>
        </w:rPr>
        <w:t>Trata-se da data em que a Microsoft coloca as licenças desse produto à disposição para solicitação ou coloca o software desse produto à disposição para download no Centro de Atendimento de Licenciamento por Volume (VLSC), o que ocorrer primeiro.</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EA (Enterprise Agreement) =</w:t>
      </w:r>
      <w:r w:rsidRPr="00EB4D74">
        <w:rPr>
          <w:rFonts w:ascii="Tahoma" w:hAnsi="Tahoma" w:cs="Tahoma"/>
          <w:sz w:val="18"/>
          <w:lang w:val="pt-BR"/>
        </w:rPr>
        <w:t xml:space="preserve"> Enterprise Agreement 20xx.</w:t>
      </w:r>
    </w:p>
    <w:p w:rsidR="008B1196" w:rsidRPr="00EB4D74" w:rsidRDefault="008B1196" w:rsidP="008B1196">
      <w:pPr>
        <w:pStyle w:val="Bodywithspace"/>
        <w:spacing w:before="0" w:after="0" w:line="276" w:lineRule="auto"/>
        <w:rPr>
          <w:rFonts w:ascii="Tahoma" w:hAnsi="Tahoma" w:cs="Tahoma"/>
        </w:rPr>
      </w:pPr>
      <w:r w:rsidRPr="00EB4D74">
        <w:rPr>
          <w:rStyle w:val="BodyChar2"/>
          <w:rFonts w:ascii="Tahoma" w:hAnsi="Tahoma" w:cs="Tahoma"/>
          <w:b/>
          <w:sz w:val="18"/>
          <w:lang w:val="pt-BR"/>
        </w:rPr>
        <w:t xml:space="preserve">EA Sub (Contrato Enterprise Subscription) = </w:t>
      </w:r>
      <w:r w:rsidRPr="00EB4D74">
        <w:rPr>
          <w:rFonts w:ascii="Tahoma" w:hAnsi="Tahoma" w:cs="Tahoma"/>
          <w:sz w:val="18"/>
          <w:lang w:val="pt-BR"/>
        </w:rPr>
        <w:t>Contrato Enterprise Subscription 200x.</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2"/>
          <w:rFonts w:ascii="Tahoma" w:hAnsi="Tahoma" w:cs="Tahoma"/>
          <w:b/>
          <w:sz w:val="18"/>
          <w:lang w:val="pt-BR"/>
        </w:rPr>
        <w:t>Mínimo de Licenças Open =</w:t>
      </w:r>
      <w:r w:rsidRPr="00EB4D74">
        <w:rPr>
          <w:rFonts w:ascii="Tahoma" w:hAnsi="Tahoma" w:cs="Tahoma"/>
          <w:sz w:val="18"/>
          <w:lang w:val="pt-BR"/>
        </w:rPr>
        <w:t xml:space="preserve"> Cada Licença conta unicamente como cinco Licenças para fins do pedido inicial mínimo nos programas Licença Open e/ou Open Value. O valor indica para qual programa essa condição está em vigor.</w:t>
      </w:r>
    </w:p>
    <w:p w:rsidR="008B1196" w:rsidRPr="00EB4D74" w:rsidRDefault="008B1196" w:rsidP="008B1196">
      <w:pPr>
        <w:pStyle w:val="Bodywithspace"/>
        <w:spacing w:before="0" w:after="0" w:line="276" w:lineRule="auto"/>
        <w:rPr>
          <w:rFonts w:ascii="Tahoma" w:hAnsi="Tahoma" w:cs="Tahoma"/>
          <w:lang w:val="it-IT"/>
        </w:rPr>
      </w:pPr>
      <w:r w:rsidRPr="00EB4D74">
        <w:rPr>
          <w:rFonts w:ascii="Tahoma" w:hAnsi="Tahoma" w:cs="Tahoma"/>
          <w:b/>
          <w:sz w:val="18"/>
          <w:lang w:val="pt-BR"/>
        </w:rPr>
        <w:t>Licença Open =</w:t>
      </w:r>
      <w:r w:rsidRPr="00EB4D74">
        <w:rPr>
          <w:rFonts w:ascii="Tahoma" w:hAnsi="Tahoma" w:cs="Tahoma"/>
          <w:sz w:val="18"/>
          <w:lang w:val="pt-BR"/>
        </w:rPr>
        <w:t xml:space="preserve"> O componente exclusivamente Licença Open dos Programas Open. A Licença Open inclui Licença Open, Licença Open para Academic, Licença Open para Government e Licença Open para Charity, onde estiverem disponíveis.</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Open Value (OV)=</w:t>
      </w:r>
      <w:r w:rsidRPr="00EB4D74">
        <w:rPr>
          <w:rFonts w:ascii="Tahoma" w:hAnsi="Tahoma" w:cs="Tahoma"/>
          <w:sz w:val="18"/>
          <w:lang w:val="pt-BR"/>
        </w:rPr>
        <w:t xml:space="preserve"> Open Value inclui Open Value e Open Value for Government.</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Open Value Subscription (OVS)=</w:t>
      </w:r>
      <w:r w:rsidRPr="00EB4D74">
        <w:rPr>
          <w:rFonts w:ascii="Tahoma" w:hAnsi="Tahoma" w:cs="Tahoma"/>
          <w:sz w:val="18"/>
          <w:lang w:val="pt-BR"/>
        </w:rPr>
        <w:t xml:space="preserve"> Open Value Subscription inclui Open Value Subscription e Open Value Subecription for Government.</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rPr>
        <w:t xml:space="preserve">EES/OVS-ES = </w:t>
      </w:r>
      <w:r w:rsidRPr="00EB4D74">
        <w:rPr>
          <w:rStyle w:val="BodyChar"/>
          <w:rFonts w:ascii="Tahoma" w:hAnsi="Tahoma" w:cs="Tahoma"/>
          <w:sz w:val="18"/>
          <w:lang w:val="pt-BR"/>
        </w:rPr>
        <w:t>Enrollment for Education Solutions/Open Value Subscription – Education Solutions</w:t>
      </w:r>
    </w:p>
    <w:p w:rsidR="008B1196" w:rsidRPr="00EB4D74" w:rsidRDefault="008B1196" w:rsidP="008B1196">
      <w:pPr>
        <w:pStyle w:val="Bodywithspace"/>
        <w:spacing w:before="0" w:after="0" w:line="276" w:lineRule="auto"/>
        <w:rPr>
          <w:rFonts w:ascii="Tahoma" w:hAnsi="Tahoma" w:cs="Tahoma"/>
          <w:lang w:val="it-IT"/>
        </w:rPr>
      </w:pPr>
      <w:r w:rsidRPr="00EB4D74">
        <w:rPr>
          <w:rFonts w:ascii="Tahoma" w:hAnsi="Tahoma" w:cs="Tahoma"/>
          <w:b/>
          <w:sz w:val="18"/>
          <w:lang w:val="pt-BR"/>
        </w:rPr>
        <w:t xml:space="preserve">Promoções e Migrações = </w:t>
      </w:r>
      <w:r w:rsidRPr="00EB4D74">
        <w:rPr>
          <w:rFonts w:ascii="Tahoma" w:hAnsi="Tahoma" w:cs="Tahoma"/>
          <w:sz w:val="18"/>
          <w:lang w:val="pt-BR"/>
        </w:rPr>
        <w:t>Há uma promoção ou migração de software disponível.</w:t>
      </w:r>
    </w:p>
    <w:p w:rsidR="008B1196" w:rsidRPr="00EB4D74" w:rsidRDefault="008B1196" w:rsidP="008B1196">
      <w:pPr>
        <w:pStyle w:val="Bodywithspace"/>
        <w:spacing w:before="0" w:after="0" w:line="276" w:lineRule="auto"/>
        <w:rPr>
          <w:rFonts w:ascii="Tahoma" w:hAnsi="Tahoma" w:cs="Tahoma"/>
        </w:rPr>
      </w:pPr>
      <w:r w:rsidRPr="00EB4D74">
        <w:rPr>
          <w:rFonts w:ascii="Tahoma" w:hAnsi="Tahoma" w:cs="Tahoma"/>
          <w:b/>
          <w:sz w:val="18"/>
          <w:lang w:val="pt-BR"/>
        </w:rPr>
        <w:t xml:space="preserve">SAB = </w:t>
      </w:r>
      <w:r w:rsidRPr="00EB4D74">
        <w:rPr>
          <w:rFonts w:ascii="Tahoma" w:hAnsi="Tahoma" w:cs="Tahoma"/>
          <w:sz w:val="18"/>
          <w:lang w:val="pt-BR"/>
        </w:rPr>
        <w:t>Existem Benefícios do Software Assurance para clientes qualificados deste software.</w:t>
      </w:r>
    </w:p>
    <w:p w:rsidR="008B1196" w:rsidRPr="00EB4D74" w:rsidRDefault="008B1196" w:rsidP="008B1196">
      <w:pPr>
        <w:pStyle w:val="Bodywithspace"/>
        <w:spacing w:before="0" w:after="0" w:line="276" w:lineRule="auto"/>
        <w:rPr>
          <w:rFonts w:ascii="Tahoma" w:hAnsi="Tahoma" w:cs="Tahoma"/>
        </w:rPr>
      </w:pPr>
      <w:r w:rsidRPr="00EB4D74">
        <w:rPr>
          <w:rFonts w:ascii="Tahoma" w:hAnsi="Tahoma" w:cs="Tahoma"/>
          <w:b/>
          <w:sz w:val="18"/>
          <w:lang w:val="pt-BR"/>
        </w:rPr>
        <w:t>Select =</w:t>
      </w:r>
      <w:r w:rsidRPr="00EB4D74">
        <w:rPr>
          <w:rFonts w:ascii="Tahoma" w:hAnsi="Tahoma" w:cs="Tahoma"/>
          <w:sz w:val="18"/>
          <w:lang w:val="pt-BR"/>
        </w:rPr>
        <w:t xml:space="preserve"> Select 20xx. Também inclui Select para Academic e Select para Government.</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rPr>
        <w:t>Select Plus</w:t>
      </w:r>
      <w:r w:rsidRPr="00EB4D74">
        <w:rPr>
          <w:rStyle w:val="BodyChar"/>
          <w:rFonts w:ascii="Tahoma" w:hAnsi="Tahoma" w:cs="Tahoma"/>
          <w:sz w:val="18"/>
          <w:lang w:val="pt-BR"/>
        </w:rPr>
        <w:t xml:space="preserve"> = Select Plus 20xx. Também inclui Select Plus para Academic e Select Plus para Government.</w:t>
      </w:r>
    </w:p>
    <w:p w:rsidR="008B1196" w:rsidRPr="00EB4D74" w:rsidRDefault="008B1196" w:rsidP="008B1196">
      <w:pPr>
        <w:pStyle w:val="Bodywithspace"/>
        <w:spacing w:before="0" w:after="0"/>
        <w:rPr>
          <w:rFonts w:ascii="Tahoma" w:hAnsi="Tahoma" w:cs="Tahoma"/>
          <w:sz w:val="18"/>
          <w:szCs w:val="18"/>
        </w:rPr>
      </w:pPr>
    </w:p>
    <w:p w:rsidR="008B1196" w:rsidRPr="00EB4D74" w:rsidRDefault="008B1196" w:rsidP="008B1196">
      <w:pPr>
        <w:pStyle w:val="ChartKeyHeadings"/>
        <w:rPr>
          <w:rFonts w:ascii="Tahoma" w:hAnsi="Tahoma" w:cs="Tahoma"/>
        </w:rPr>
      </w:pPr>
      <w:r w:rsidRPr="00EB4D74">
        <w:rPr>
          <w:rFonts w:ascii="Tahoma" w:hAnsi="Tahoma" w:cs="Tahoma"/>
          <w:lang w:val="pt-BR"/>
        </w:rPr>
        <w:t>Valores das colunas</w:t>
      </w:r>
    </w:p>
    <w:p w:rsidR="008B1196" w:rsidRPr="00EB4D74" w:rsidRDefault="008B1196" w:rsidP="008B1196">
      <w:pPr>
        <w:pStyle w:val="ChartKeyHeadings"/>
        <w:rPr>
          <w:rFonts w:ascii="Tahoma" w:hAnsi="Tahoma" w:cs="Tahoma"/>
          <w:sz w:val="18"/>
          <w:szCs w:val="18"/>
        </w:rPr>
      </w:pP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1An =</w:t>
      </w:r>
      <w:r w:rsidRPr="00EB4D74">
        <w:rPr>
          <w:rFonts w:ascii="Tahoma" w:hAnsi="Tahoma" w:cs="Tahoma"/>
          <w:sz w:val="18"/>
          <w:lang w:val="pt-BR"/>
        </w:rPr>
        <w:t>(resta 1 ano do prazo do contrato).</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2An =</w:t>
      </w:r>
      <w:r w:rsidRPr="00EB4D74">
        <w:rPr>
          <w:rFonts w:ascii="Tahoma" w:hAnsi="Tahoma" w:cs="Tahoma"/>
          <w:sz w:val="18"/>
          <w:lang w:val="pt-BR"/>
        </w:rPr>
        <w:t xml:space="preserve"> (restam 2 anos do prazo do contrato).</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3An =</w:t>
      </w:r>
      <w:r w:rsidRPr="00EB4D74">
        <w:rPr>
          <w:rFonts w:ascii="Tahoma" w:hAnsi="Tahoma" w:cs="Tahoma"/>
          <w:sz w:val="18"/>
          <w:lang w:val="pt-BR"/>
        </w:rPr>
        <w:t xml:space="preserve"> (restam 3 anos do prazo do contrato).</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eastAsia="pt-BR"/>
        </w:rPr>
        <w:t xml:space="preserve">A = </w:t>
      </w:r>
      <w:r w:rsidRPr="00EB4D74">
        <w:rPr>
          <w:rFonts w:ascii="Tahoma" w:hAnsi="Tahoma" w:cs="Tahoma"/>
          <w:sz w:val="18"/>
          <w:lang w:val="pt-BR"/>
        </w:rPr>
        <w:t>Indica que o software é oferecido como um produto adicional.</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1"/>
          <w:rFonts w:ascii="Tahoma" w:hAnsi="Tahoma" w:cs="Tahoma"/>
          <w:b/>
          <w:sz w:val="18"/>
          <w:lang w:val="pt-BR" w:eastAsia="pt-BR"/>
        </w:rPr>
        <w:t xml:space="preserve">AO = </w:t>
      </w:r>
      <w:r w:rsidRPr="00EB4D74">
        <w:rPr>
          <w:rFonts w:ascii="Tahoma" w:hAnsi="Tahoma" w:cs="Tahoma"/>
          <w:sz w:val="18"/>
          <w:lang w:val="pt-BR"/>
        </w:rPr>
        <w:t>Indica o software oferecido como um produto adicional solicitado em toda a organização.</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eastAsia="pt-BR"/>
        </w:rPr>
        <w:t xml:space="preserve">C = </w:t>
      </w:r>
      <w:r w:rsidRPr="00EB4D74">
        <w:rPr>
          <w:rFonts w:ascii="Tahoma" w:hAnsi="Tahoma" w:cs="Tahoma"/>
          <w:sz w:val="18"/>
          <w:lang w:val="pt-BR"/>
        </w:rPr>
        <w:t>Indica que o software é oferecido como um produto Core Infrastructure.</w:t>
      </w:r>
    </w:p>
    <w:p w:rsidR="008B1196" w:rsidRPr="00EB4D74" w:rsidRDefault="008B1196" w:rsidP="008B1196">
      <w:pPr>
        <w:pStyle w:val="ListParagraph"/>
        <w:rPr>
          <w:rFonts w:ascii="Tahoma" w:hAnsi="Tahoma" w:cs="Tahoma"/>
          <w:lang w:val="it-IT"/>
        </w:rPr>
      </w:pPr>
      <w:r w:rsidRPr="00EB4D74">
        <w:rPr>
          <w:rStyle w:val="BodyChar"/>
          <w:rFonts w:ascii="Tahoma" w:hAnsi="Tahoma" w:cs="Tahoma"/>
          <w:b/>
          <w:sz w:val="18"/>
          <w:lang w:val="pt-BR" w:eastAsia="pt-BR"/>
        </w:rPr>
        <w:t xml:space="preserve">D = </w:t>
      </w:r>
      <w:r w:rsidRPr="00EB4D74">
        <w:rPr>
          <w:rFonts w:ascii="Tahoma" w:hAnsi="Tahoma" w:cs="Tahoma"/>
          <w:sz w:val="18"/>
          <w:lang w:val="it-IT"/>
        </w:rPr>
        <w:t>Indica que o software é oferecido como um produto de programa Industry Device.</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sz w:val="18"/>
          <w:lang w:val="pt-BR" w:eastAsia="pt-BR"/>
        </w:rPr>
        <w:t xml:space="preserve">DT = </w:t>
      </w:r>
      <w:r w:rsidRPr="00EB4D74">
        <w:rPr>
          <w:rFonts w:ascii="Tahoma" w:hAnsi="Tahoma" w:cs="Tahoma"/>
          <w:sz w:val="18"/>
          <w:lang w:val="pt-BR"/>
        </w:rPr>
        <w:t>Benefícios do Software Assurance para Ofertas para Desktop.</w:t>
      </w:r>
    </w:p>
    <w:p w:rsidR="008B1196" w:rsidRPr="00EB4D74" w:rsidRDefault="008B1196" w:rsidP="008B1196">
      <w:pPr>
        <w:pStyle w:val="Bodywithspace"/>
        <w:spacing w:before="0" w:after="0" w:line="276" w:lineRule="auto"/>
        <w:rPr>
          <w:rFonts w:ascii="Tahoma" w:hAnsi="Tahoma" w:cs="Tahoma"/>
          <w:lang w:val="it-IT"/>
        </w:rPr>
      </w:pPr>
      <w:r w:rsidRPr="00EB4D74">
        <w:rPr>
          <w:rFonts w:ascii="Tahoma" w:hAnsi="Tahoma" w:cs="Tahoma"/>
          <w:b/>
          <w:color w:val="000000"/>
          <w:sz w:val="18"/>
          <w:lang w:val="pt-BR"/>
        </w:rPr>
        <w:t>E</w:t>
      </w:r>
      <w:r w:rsidRPr="00EB4D74">
        <w:rPr>
          <w:rFonts w:ascii="Tahoma" w:hAnsi="Tahoma" w:cs="Tahoma"/>
          <w:color w:val="000000"/>
          <w:sz w:val="18"/>
          <w:lang w:val="pt-BR"/>
        </w:rPr>
        <w:t xml:space="preserve"> = Indica que o produto é oferecido como um produto Enterprise ou da plataforma desktop.</w:t>
      </w:r>
    </w:p>
    <w:p w:rsidR="008B1196" w:rsidRPr="00EB4D74" w:rsidRDefault="008B1196" w:rsidP="008B1196">
      <w:pPr>
        <w:spacing w:line="276" w:lineRule="auto"/>
        <w:ind w:left="720"/>
        <w:rPr>
          <w:rFonts w:cs="Tahoma"/>
          <w:lang w:val="it-IT"/>
        </w:rPr>
      </w:pPr>
      <w:r w:rsidRPr="00EB4D74">
        <w:rPr>
          <w:rFonts w:cs="Tahoma"/>
          <w:b/>
          <w:color w:val="000000"/>
          <w:lang w:val="pt-BR"/>
        </w:rPr>
        <w:t>EOLS</w:t>
      </w:r>
      <w:r w:rsidRPr="00EB4D74">
        <w:rPr>
          <w:rFonts w:cs="Tahoma"/>
          <w:color w:val="000000"/>
          <w:lang w:val="pt-BR"/>
        </w:rPr>
        <w:t xml:space="preserve"> = Indica que o produto é oferecido como um serviço online Enterprise ou serviço online da plataforma.</w:t>
      </w:r>
    </w:p>
    <w:p w:rsidR="008B1196" w:rsidRPr="00EB4D74" w:rsidRDefault="008B1196" w:rsidP="008B1196">
      <w:pPr>
        <w:pStyle w:val="Bodywithspace"/>
        <w:spacing w:before="0" w:after="0" w:line="276" w:lineRule="auto"/>
        <w:rPr>
          <w:rFonts w:ascii="Tahoma" w:hAnsi="Tahoma" w:cs="Tahoma"/>
          <w:lang w:val="it-IT"/>
        </w:rPr>
      </w:pPr>
      <w:r w:rsidRPr="00EB4D74">
        <w:rPr>
          <w:rFonts w:ascii="Tahoma" w:hAnsi="Tahoma" w:cs="Tahoma"/>
          <w:b/>
          <w:color w:val="000000"/>
          <w:sz w:val="18"/>
          <w:lang w:val="pt-BR"/>
        </w:rPr>
        <w:t>ST = Indica se o software ser</w:t>
      </w:r>
      <w:r w:rsidRPr="00EB4D74">
        <w:rPr>
          <w:rFonts w:ascii="Tahoma" w:hAnsi="Tahoma" w:cs="Tahoma"/>
          <w:color w:val="000000"/>
          <w:sz w:val="18"/>
          <w:lang w:val="pt-BR"/>
        </w:rPr>
        <w:t>á oferecido como Oferta ao Aluno e deverá ser solicitado para a Contagem de Alunos integral.</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eastAsia="pt-BR"/>
        </w:rPr>
        <w:t>L (Licença) =</w:t>
      </w:r>
      <w:r w:rsidRPr="00EB4D74">
        <w:rPr>
          <w:rFonts w:ascii="Tahoma" w:hAnsi="Tahoma" w:cs="Tahoma"/>
          <w:sz w:val="18"/>
          <w:lang w:val="pt-BR"/>
        </w:rPr>
        <w:t xml:space="preserve"> Valor em pontos designado quando uma Licença Padrão é oferecida para o software indicado.</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eastAsia="pt-BR"/>
        </w:rPr>
        <w:t>L&amp;SA (Licença e Software Assurance) =</w:t>
      </w:r>
      <w:r w:rsidRPr="00EB4D74">
        <w:rPr>
          <w:rFonts w:ascii="Tahoma" w:hAnsi="Tahoma" w:cs="Tahoma"/>
          <w:sz w:val="18"/>
          <w:lang w:val="pt-BR"/>
        </w:rPr>
        <w:t xml:space="preserve"> Valor em pontos designado quando uma instância de Licença e Software Assurance é oferecida para o software indicado.</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1"/>
          <w:rFonts w:ascii="Tahoma" w:hAnsi="Tahoma" w:cs="Tahoma"/>
          <w:b/>
          <w:sz w:val="18"/>
          <w:lang w:val="pt-BR" w:eastAsia="pt-BR"/>
        </w:rPr>
        <w:t xml:space="preserve">LO = </w:t>
      </w:r>
      <w:r w:rsidRPr="00EB4D74">
        <w:rPr>
          <w:rFonts w:ascii="Tahoma" w:hAnsi="Tahoma" w:cs="Tahoma"/>
          <w:color w:val="000000"/>
          <w:sz w:val="18"/>
          <w:lang w:val="pt-BR"/>
        </w:rPr>
        <w:t>Disponível na Licença Open.</w:t>
      </w:r>
    </w:p>
    <w:p w:rsidR="008B1196" w:rsidRPr="00EB4D74" w:rsidRDefault="008B1196" w:rsidP="008B1196">
      <w:pPr>
        <w:pStyle w:val="Bodywithspace"/>
        <w:spacing w:before="0" w:after="0" w:line="276" w:lineRule="atLeast"/>
        <w:ind w:right="-180"/>
        <w:rPr>
          <w:rStyle w:val="BodyChar"/>
          <w:rFonts w:ascii="Tahoma" w:hAnsi="Tahoma" w:cs="Tahoma"/>
          <w:b/>
          <w:sz w:val="18"/>
          <w:lang w:val="pt-BR"/>
        </w:rPr>
      </w:pPr>
    </w:p>
    <w:p w:rsidR="008B1196" w:rsidRPr="00EB4D74" w:rsidRDefault="008B1196" w:rsidP="008B1196">
      <w:pPr>
        <w:pStyle w:val="Bodywithspace"/>
        <w:spacing w:before="0" w:after="0" w:line="276" w:lineRule="atLeast"/>
        <w:ind w:right="-180"/>
        <w:rPr>
          <w:rStyle w:val="BodyChar"/>
          <w:rFonts w:ascii="Tahoma" w:hAnsi="Tahoma" w:cs="Tahoma"/>
          <w:b/>
          <w:sz w:val="18"/>
          <w:lang w:val="pt-BR"/>
        </w:rPr>
      </w:pPr>
    </w:p>
    <w:p w:rsidR="008B1196" w:rsidRPr="00EB4D74" w:rsidRDefault="008B1196" w:rsidP="008B1196">
      <w:pPr>
        <w:pStyle w:val="Bodywithspace"/>
        <w:spacing w:before="0" w:after="0" w:line="276" w:lineRule="atLeast"/>
        <w:ind w:right="-180"/>
        <w:rPr>
          <w:rStyle w:val="BodyChar"/>
          <w:rFonts w:ascii="Tahoma" w:hAnsi="Tahoma" w:cs="Tahoma"/>
          <w:b/>
          <w:sz w:val="18"/>
          <w:lang w:val="pt-BR"/>
        </w:rPr>
      </w:pPr>
    </w:p>
    <w:p w:rsidR="008B1196" w:rsidRPr="00EB4D74" w:rsidRDefault="008B1196" w:rsidP="008B1196">
      <w:pPr>
        <w:pStyle w:val="Bodywithspace"/>
        <w:spacing w:before="0" w:after="0" w:line="276" w:lineRule="atLeast"/>
        <w:ind w:right="-180"/>
        <w:rPr>
          <w:rFonts w:ascii="Tahoma" w:hAnsi="Tahoma" w:cs="Tahoma"/>
          <w:lang w:val="pt-BR"/>
        </w:rPr>
      </w:pPr>
      <w:r w:rsidRPr="00EB4D74">
        <w:rPr>
          <w:rStyle w:val="BodyChar"/>
          <w:rFonts w:ascii="Tahoma" w:hAnsi="Tahoma" w:cs="Tahoma"/>
          <w:b/>
          <w:sz w:val="18"/>
          <w:lang w:val="pt-BR"/>
        </w:rPr>
        <w:lastRenderedPageBreak/>
        <w:t>OSB</w:t>
      </w:r>
      <w:r w:rsidRPr="00EB4D74">
        <w:rPr>
          <w:rStyle w:val="BodyChar"/>
          <w:rFonts w:ascii="Tahoma" w:hAnsi="Tahoma" w:cs="Tahoma"/>
          <w:sz w:val="18"/>
          <w:lang w:val="pt-BR"/>
        </w:rPr>
        <w:t xml:space="preserve"> = Benefícios de Serviços Online para clientes qualificados. </w:t>
      </w:r>
      <w:r w:rsidRPr="00EB4D74">
        <w:rPr>
          <w:rFonts w:ascii="Tahoma" w:hAnsi="Tahoma" w:cs="Tahoma"/>
          <w:sz w:val="18"/>
          <w:lang w:val="pt-BR"/>
        </w:rPr>
        <w:t>Observe que os produtos qualificados para os benefícios de Serviços Online poderão aparecer em mais de uma tabela de pools de produtos. A razão disso é simplesmente demonstrar que essas ofertas podem ser qualificadas para benefícios de software assurance associados a mais do que um pool de produtos e não é necessário escolher entre os benefícios de um pool ou de outro.</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color w:val="000000"/>
          <w:sz w:val="18"/>
          <w:lang w:val="pt-BR"/>
        </w:rPr>
        <w:t>LO/SA</w:t>
      </w:r>
      <w:r w:rsidRPr="00EB4D74">
        <w:rPr>
          <w:rStyle w:val="BodyChar"/>
          <w:rFonts w:ascii="Tahoma" w:hAnsi="Tahoma" w:cs="Tahoma"/>
          <w:color w:val="000000"/>
          <w:sz w:val="18"/>
          <w:lang w:val="pt-BR"/>
        </w:rPr>
        <w:t xml:space="preserve"> = Disponível na Licença Open apenas para L&amp;SA e SA.</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color w:val="000000"/>
          <w:sz w:val="18"/>
          <w:lang w:val="pt-BR"/>
        </w:rPr>
        <w:t>POS =</w:t>
      </w:r>
      <w:r w:rsidRPr="00EB4D74">
        <w:rPr>
          <w:rStyle w:val="BodyChar"/>
          <w:rFonts w:ascii="Tahoma" w:hAnsi="Tahoma" w:cs="Tahoma"/>
          <w:color w:val="000000"/>
          <w:sz w:val="18"/>
          <w:lang w:val="pt-BR"/>
        </w:rPr>
        <w:t xml:space="preserve"> Disponível no programa Licença Online Subscription.</w:t>
      </w:r>
    </w:p>
    <w:p w:rsidR="008B1196" w:rsidRPr="00EB4D74" w:rsidRDefault="008B1196" w:rsidP="008B1196">
      <w:pPr>
        <w:pStyle w:val="Bodywithspace"/>
        <w:spacing w:before="0" w:after="0" w:line="276" w:lineRule="auto"/>
        <w:rPr>
          <w:rFonts w:ascii="Tahoma" w:hAnsi="Tahoma" w:cs="Tahoma"/>
        </w:rPr>
      </w:pPr>
      <w:r w:rsidRPr="00EB4D74">
        <w:rPr>
          <w:rStyle w:val="BodyChar"/>
          <w:rFonts w:ascii="Tahoma" w:hAnsi="Tahoma" w:cs="Tahoma"/>
          <w:b/>
          <w:color w:val="000000"/>
          <w:sz w:val="18"/>
          <w:lang w:val="pt-BR" w:eastAsia="pt-BR"/>
        </w:rPr>
        <w:t xml:space="preserve">OV/OVS = </w:t>
      </w:r>
      <w:r w:rsidRPr="00EB4D74">
        <w:rPr>
          <w:rFonts w:ascii="Tahoma" w:hAnsi="Tahoma" w:cs="Tahoma"/>
          <w:color w:val="000000"/>
          <w:sz w:val="18"/>
          <w:lang w:val="pt-BR"/>
        </w:rPr>
        <w:t>Disponível no programa Open Value e Open Value Subscription.</w:t>
      </w:r>
    </w:p>
    <w:p w:rsidR="008B1196" w:rsidRPr="00EB4D74" w:rsidRDefault="008B1196" w:rsidP="008B1196">
      <w:pPr>
        <w:pStyle w:val="Bodywithspace"/>
        <w:spacing w:before="0" w:after="0" w:line="276" w:lineRule="auto"/>
        <w:ind w:right="-180"/>
        <w:rPr>
          <w:rFonts w:ascii="Tahoma" w:hAnsi="Tahoma" w:cs="Tahoma"/>
          <w:lang w:val="it-IT"/>
        </w:rPr>
      </w:pPr>
      <w:r w:rsidRPr="00EB4D74">
        <w:rPr>
          <w:rStyle w:val="BodyChar"/>
          <w:rFonts w:ascii="Tahoma" w:hAnsi="Tahoma" w:cs="Tahoma"/>
          <w:b/>
          <w:sz w:val="18"/>
          <w:lang w:val="pt-BR" w:eastAsia="pt-BR"/>
        </w:rPr>
        <w:t xml:space="preserve">P = </w:t>
      </w:r>
      <w:r w:rsidRPr="00EB4D74">
        <w:rPr>
          <w:rFonts w:ascii="Tahoma" w:hAnsi="Tahoma" w:cs="Tahoma"/>
          <w:sz w:val="18"/>
          <w:lang w:val="pt-BR"/>
        </w:rPr>
        <w:t>Indica software oferecido como opção de licença não extensiva a toda a empresa no Open Value.</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eastAsia="pt-BR"/>
        </w:rPr>
        <w:t xml:space="preserve">S = </w:t>
      </w:r>
      <w:r w:rsidRPr="00EB4D74">
        <w:rPr>
          <w:rFonts w:ascii="Tahoma" w:hAnsi="Tahoma" w:cs="Tahoma"/>
          <w:sz w:val="18"/>
          <w:lang w:val="pt-BR"/>
        </w:rPr>
        <w:t>Indica que o software é oferecido como um produto da plataforma desktop de aplicativos.</w:t>
      </w:r>
    </w:p>
    <w:p w:rsidR="008B1196" w:rsidRPr="00EB4D74" w:rsidRDefault="008B1196" w:rsidP="008B1196">
      <w:pPr>
        <w:pStyle w:val="Bodywithspace"/>
        <w:spacing w:before="0" w:after="0" w:line="276" w:lineRule="auto"/>
        <w:rPr>
          <w:rFonts w:ascii="Tahoma" w:hAnsi="Tahoma" w:cs="Tahoma"/>
          <w:lang w:val="it-IT"/>
        </w:rPr>
      </w:pPr>
      <w:r w:rsidRPr="00EB4D74">
        <w:rPr>
          <w:rStyle w:val="BodyChar"/>
          <w:rFonts w:ascii="Tahoma" w:hAnsi="Tahoma" w:cs="Tahoma"/>
          <w:b/>
          <w:sz w:val="18"/>
          <w:lang w:val="pt-BR" w:eastAsia="pt-BR"/>
        </w:rPr>
        <w:t>SA (Software Assurance) =</w:t>
      </w:r>
      <w:r w:rsidRPr="00EB4D74">
        <w:rPr>
          <w:rFonts w:ascii="Tahoma" w:hAnsi="Tahoma" w:cs="Tahoma"/>
          <w:sz w:val="18"/>
          <w:lang w:val="pt-BR"/>
        </w:rPr>
        <w:t xml:space="preserve"> Valor em pontos designado quando o Software Assurance é oferecido para o software indicado.</w:t>
      </w:r>
    </w:p>
    <w:p w:rsidR="008B1196" w:rsidRPr="00EB4D74" w:rsidRDefault="008B1196" w:rsidP="008B1196">
      <w:pPr>
        <w:pStyle w:val="Bodywithspace"/>
        <w:spacing w:before="0" w:after="0" w:line="276" w:lineRule="auto"/>
        <w:ind w:right="-180"/>
        <w:rPr>
          <w:rFonts w:ascii="Tahoma" w:hAnsi="Tahoma" w:cs="Tahoma"/>
          <w:lang w:val="it-IT"/>
        </w:rPr>
      </w:pPr>
      <w:r w:rsidRPr="00EB4D74">
        <w:rPr>
          <w:rStyle w:val="BodyChar"/>
          <w:rFonts w:ascii="Tahoma" w:hAnsi="Tahoma" w:cs="Tahoma"/>
          <w:b/>
          <w:sz w:val="18"/>
          <w:lang w:val="pt-BR" w:eastAsia="pt-BR"/>
        </w:rPr>
        <w:t xml:space="preserve">SRV = </w:t>
      </w:r>
      <w:r w:rsidRPr="00EB4D74">
        <w:rPr>
          <w:rFonts w:ascii="Tahoma" w:hAnsi="Tahoma" w:cs="Tahoma"/>
          <w:sz w:val="18"/>
          <w:lang w:val="pt-BR"/>
        </w:rPr>
        <w:t>Benefícios do Software Assurance para Ofertas para Pool de Servidores.</w:t>
      </w:r>
    </w:p>
    <w:p w:rsidR="008B1196" w:rsidRPr="00EB4D74" w:rsidRDefault="008B1196" w:rsidP="008B1196">
      <w:pPr>
        <w:pStyle w:val="Bodywithspace"/>
        <w:tabs>
          <w:tab w:val="left" w:pos="9360"/>
        </w:tabs>
        <w:spacing w:before="0" w:after="0" w:line="276" w:lineRule="auto"/>
        <w:ind w:right="-180"/>
        <w:rPr>
          <w:rFonts w:ascii="Tahoma" w:hAnsi="Tahoma" w:cs="Tahoma"/>
          <w:lang w:val="it-IT"/>
        </w:rPr>
      </w:pPr>
      <w:r w:rsidRPr="00EB4D74">
        <w:rPr>
          <w:rStyle w:val="BodyChar"/>
          <w:rFonts w:ascii="Tahoma" w:hAnsi="Tahoma" w:cs="Tahoma"/>
          <w:b/>
          <w:sz w:val="18"/>
          <w:lang w:val="pt-BR" w:eastAsia="pt-BR"/>
        </w:rPr>
        <w:t>U (Licença de Atualização) =</w:t>
      </w:r>
      <w:r w:rsidRPr="00EB4D74">
        <w:rPr>
          <w:rFonts w:ascii="Tahoma" w:hAnsi="Tahoma" w:cs="Tahoma"/>
          <w:sz w:val="18"/>
          <w:lang w:val="pt-BR"/>
        </w:rPr>
        <w:t xml:space="preserve"> Valor em pontos designado quando uma atualização é oferecida para o software indicado.</w:t>
      </w:r>
    </w:p>
    <w:p w:rsidR="008B1196" w:rsidRPr="00EB4D74" w:rsidRDefault="008B1196" w:rsidP="008B1196">
      <w:pPr>
        <w:pStyle w:val="Bodywithspace"/>
        <w:spacing w:before="0" w:after="0" w:line="276" w:lineRule="auto"/>
        <w:ind w:right="-180"/>
        <w:rPr>
          <w:rFonts w:ascii="Tahoma" w:hAnsi="Tahoma" w:cs="Tahoma"/>
          <w:lang w:val="it-IT"/>
        </w:rPr>
      </w:pPr>
      <w:r w:rsidRPr="00EB4D74">
        <w:rPr>
          <w:rStyle w:val="BodyChar"/>
          <w:rFonts w:ascii="Tahoma" w:hAnsi="Tahoma" w:cs="Tahoma"/>
          <w:b/>
          <w:sz w:val="18"/>
          <w:lang w:val="pt-BR" w:eastAsia="pt-BR"/>
        </w:rPr>
        <w:t>U &amp; SA (Atualização e Software Assurance) =</w:t>
      </w:r>
      <w:r w:rsidRPr="00EB4D74">
        <w:rPr>
          <w:rFonts w:ascii="Tahoma" w:hAnsi="Tahoma" w:cs="Tahoma"/>
          <w:sz w:val="18"/>
          <w:lang w:val="pt-BR"/>
        </w:rPr>
        <w:t xml:space="preserve"> Valor em pontos designado quando uma instância de atualização e Software Assurance é oferecida para o software indicado.</w:t>
      </w:r>
    </w:p>
    <w:p w:rsidR="008B1196" w:rsidRPr="00EB4D74" w:rsidRDefault="008B1196" w:rsidP="008B1196">
      <w:pPr>
        <w:pStyle w:val="Heading1"/>
        <w:spacing w:after="120"/>
      </w:pPr>
      <w:r w:rsidRPr="00EB4D74">
        <w:br w:type="page"/>
      </w:r>
      <w:bookmarkStart w:id="10" w:name="_Toc336337841"/>
      <w:bookmarkStart w:id="11" w:name="_Toc342914498"/>
      <w:bookmarkEnd w:id="10"/>
      <w:r w:rsidRPr="00EB4D74">
        <w:lastRenderedPageBreak/>
        <w:t>lista de PRODUTOs</w:t>
      </w:r>
      <w:bookmarkEnd w:id="11"/>
    </w:p>
    <w:p w:rsidR="008B1196" w:rsidRPr="00EB4D74" w:rsidRDefault="008B1196" w:rsidP="008B1196">
      <w:pPr>
        <w:pStyle w:val="Heading3"/>
        <w:rPr>
          <w:rFonts w:ascii="Tahoma" w:hAnsi="Tahoma" w:cs="Tahoma"/>
          <w:b w:val="0"/>
          <w:sz w:val="18"/>
          <w:szCs w:val="22"/>
          <w:lang w:val="it-IT"/>
        </w:rPr>
      </w:pPr>
      <w:bookmarkStart w:id="12" w:name="_Toc300391149"/>
      <w:bookmarkStart w:id="13" w:name="_Toc312398873"/>
      <w:bookmarkStart w:id="14" w:name="_Toc336337842"/>
    </w:p>
    <w:p w:rsidR="008B1196" w:rsidRPr="00EB4D74" w:rsidRDefault="008B1196" w:rsidP="008B1196">
      <w:pPr>
        <w:rPr>
          <w:lang w:val="it-IT"/>
        </w:rPr>
      </w:pPr>
    </w:p>
    <w:p w:rsidR="008B1196" w:rsidRPr="00EB4D74" w:rsidRDefault="008B1196" w:rsidP="008B1196">
      <w:pPr>
        <w:pStyle w:val="Heading3"/>
        <w:rPr>
          <w:rFonts w:ascii="Tahoma" w:hAnsi="Tahoma" w:cs="Tahoma"/>
          <w:lang w:val="it-IT"/>
        </w:rPr>
      </w:pPr>
      <w:bookmarkStart w:id="15" w:name="_Toc342914499"/>
      <w:bookmarkEnd w:id="12"/>
      <w:bookmarkEnd w:id="13"/>
      <w:bookmarkEnd w:id="14"/>
      <w:r w:rsidRPr="00EB4D74">
        <w:rPr>
          <w:rFonts w:ascii="Tahoma" w:hAnsi="Tahoma" w:cs="Tahoma"/>
          <w:sz w:val="22"/>
          <w:lang w:val="pt-BR"/>
        </w:rPr>
        <w:t>POOL DE APLICATIVOS</w:t>
      </w:r>
      <w:bookmarkEnd w:id="15"/>
    </w:p>
    <w:p w:rsidR="008B1196" w:rsidRPr="00EB4D74" w:rsidRDefault="008B1196" w:rsidP="008B1196">
      <w:pPr>
        <w:rPr>
          <w:rFonts w:cs="Tahoma"/>
          <w:lang w:val="it-IT"/>
        </w:rPr>
      </w:pPr>
    </w:p>
    <w:tbl>
      <w:tblPr>
        <w:tblW w:w="10530"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8"/>
        <w:gridCol w:w="429"/>
        <w:gridCol w:w="429"/>
        <w:gridCol w:w="429"/>
        <w:gridCol w:w="429"/>
        <w:gridCol w:w="429"/>
        <w:gridCol w:w="429"/>
        <w:gridCol w:w="429"/>
        <w:gridCol w:w="429"/>
        <w:gridCol w:w="429"/>
        <w:gridCol w:w="429"/>
        <w:gridCol w:w="429"/>
        <w:gridCol w:w="429"/>
        <w:gridCol w:w="429"/>
        <w:gridCol w:w="429"/>
        <w:gridCol w:w="429"/>
        <w:gridCol w:w="429"/>
        <w:gridCol w:w="514"/>
        <w:gridCol w:w="514"/>
      </w:tblGrid>
      <w:tr w:rsidR="008B1196" w:rsidRPr="00EB4D74" w:rsidTr="00EA30FC">
        <w:trPr>
          <w:cantSplit/>
          <w:trHeight w:val="728"/>
          <w:tblHeader/>
        </w:trPr>
        <w:tc>
          <w:tcPr>
            <w:tcW w:w="2638" w:type="dxa"/>
            <w:tcBorders>
              <w:top w:val="single" w:sz="4" w:space="0" w:color="FFFFFF"/>
              <w:left w:val="nil"/>
              <w:bottom w:val="nil"/>
            </w:tcBorders>
          </w:tcPr>
          <w:p w:rsidR="008B1196" w:rsidRPr="00EB4D74" w:rsidRDefault="008B1196" w:rsidP="00EA30FC">
            <w:pPr>
              <w:widowControl w:val="0"/>
              <w:ind w:left="-360"/>
              <w:rPr>
                <w:rFonts w:cs="Tahoma"/>
                <w:lang w:val="it-IT"/>
              </w:rPr>
            </w:pPr>
          </w:p>
        </w:tc>
        <w:tc>
          <w:tcPr>
            <w:tcW w:w="429" w:type="dxa"/>
            <w:textDirection w:val="btLr"/>
            <w:vAlign w:val="cente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Notas do Produto</w:t>
            </w:r>
          </w:p>
        </w:tc>
        <w:tc>
          <w:tcPr>
            <w:tcW w:w="429" w:type="dxa"/>
            <w:textDirection w:val="btL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Data disponível</w:t>
            </w:r>
          </w:p>
        </w:tc>
        <w:tc>
          <w:tcPr>
            <w:tcW w:w="429" w:type="dxa"/>
            <w:tcBorders>
              <w:right w:val="single" w:sz="18" w:space="0" w:color="auto"/>
            </w:tcBorders>
            <w:textDirection w:val="btLr"/>
            <w:vAlign w:val="cente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SAB</w:t>
            </w:r>
          </w:p>
        </w:tc>
        <w:tc>
          <w:tcPr>
            <w:tcW w:w="3003" w:type="dxa"/>
            <w:gridSpan w:val="7"/>
            <w:tcBorders>
              <w:left w:val="single" w:sz="18" w:space="0" w:color="auto"/>
              <w:right w:val="single" w:sz="18" w:space="0" w:color="auto"/>
            </w:tcBorders>
            <w:vAlign w:val="center"/>
          </w:tcPr>
          <w:p w:rsidR="008B1196" w:rsidRPr="00EB4D74" w:rsidRDefault="008B1196" w:rsidP="00EA30FC">
            <w:pPr>
              <w:pStyle w:val="TableHeadingsBlack"/>
              <w:widowControl w:val="0"/>
              <w:rPr>
                <w:rFonts w:ascii="Tahoma" w:hAnsi="Tahoma" w:cs="Tahoma"/>
              </w:rPr>
            </w:pPr>
            <w:r w:rsidRPr="00EB4D74">
              <w:rPr>
                <w:rFonts w:ascii="Tahoma" w:hAnsi="Tahoma" w:cs="Tahoma"/>
                <w:lang w:val="pt-BR"/>
              </w:rPr>
              <w:t>Select / Select Plus*</w:t>
            </w:r>
          </w:p>
        </w:tc>
        <w:tc>
          <w:tcPr>
            <w:tcW w:w="1287" w:type="dxa"/>
            <w:gridSpan w:val="3"/>
            <w:tcBorders>
              <w:left w:val="single" w:sz="18" w:space="0" w:color="auto"/>
              <w:right w:val="single" w:sz="18" w:space="0" w:color="auto"/>
            </w:tcBorders>
            <w:vAlign w:val="center"/>
          </w:tcPr>
          <w:p w:rsidR="008B1196" w:rsidRPr="00EB4D74" w:rsidRDefault="008B1196" w:rsidP="00EA30FC">
            <w:pPr>
              <w:pStyle w:val="TableHeadingsBlack"/>
              <w:widowControl w:val="0"/>
              <w:rPr>
                <w:rFonts w:ascii="Tahoma" w:hAnsi="Tahoma" w:cs="Tahoma"/>
              </w:rPr>
            </w:pPr>
            <w:r w:rsidRPr="00EB4D74">
              <w:rPr>
                <w:rFonts w:ascii="Tahoma" w:hAnsi="Tahoma" w:cs="Tahoma"/>
                <w:lang w:val="pt-BR"/>
              </w:rPr>
              <w:t>Licença Open</w:t>
            </w:r>
          </w:p>
        </w:tc>
        <w:tc>
          <w:tcPr>
            <w:tcW w:w="429" w:type="dxa"/>
            <w:tcBorders>
              <w:left w:val="single" w:sz="18" w:space="0" w:color="auto"/>
            </w:tcBorders>
            <w:textDirection w:val="btLr"/>
            <w:vAlign w:val="cente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Unidades Campus e School</w:t>
            </w:r>
          </w:p>
        </w:tc>
        <w:tc>
          <w:tcPr>
            <w:tcW w:w="429" w:type="dxa"/>
            <w:tcBorders>
              <w:right w:val="single" w:sz="18" w:space="0" w:color="auto"/>
            </w:tcBorders>
            <w:textDirection w:val="btLr"/>
            <w:vAlign w:val="cente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EA e EA Sub</w:t>
            </w:r>
          </w:p>
        </w:tc>
        <w:tc>
          <w:tcPr>
            <w:tcW w:w="429" w:type="dxa"/>
            <w:tcBorders>
              <w:left w:val="single" w:sz="18" w:space="0" w:color="auto"/>
              <w:right w:val="single" w:sz="18" w:space="0" w:color="auto"/>
            </w:tcBorders>
            <w:textDirection w:val="btLr"/>
            <w:vAlign w:val="cente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OV / OVS</w:t>
            </w:r>
          </w:p>
        </w:tc>
        <w:tc>
          <w:tcPr>
            <w:tcW w:w="514" w:type="dxa"/>
            <w:textDirection w:val="btLr"/>
          </w:tcPr>
          <w:p w:rsidR="008B1196" w:rsidRPr="00EB4D74" w:rsidRDefault="008B1196" w:rsidP="00EA30FC">
            <w:pPr>
              <w:pStyle w:val="TableVerticalText"/>
              <w:widowControl w:val="0"/>
              <w:spacing w:before="120"/>
              <w:rPr>
                <w:rFonts w:ascii="Tahoma" w:hAnsi="Tahoma" w:cs="Tahoma"/>
              </w:rPr>
            </w:pPr>
            <w:r w:rsidRPr="00EB4D74">
              <w:rPr>
                <w:rFonts w:ascii="Tahoma" w:hAnsi="Tahoma" w:cs="Tahoma"/>
                <w:lang w:val="pt-BR"/>
              </w:rPr>
              <w:t>EES / OVS -ES</w:t>
            </w:r>
          </w:p>
        </w:tc>
        <w:tc>
          <w:tcPr>
            <w:tcW w:w="514" w:type="dxa"/>
            <w:textDirection w:val="btLr"/>
            <w:vAlign w:val="center"/>
          </w:tcPr>
          <w:p w:rsidR="008B1196" w:rsidRPr="00EB4D74" w:rsidRDefault="008B1196" w:rsidP="00EA30FC">
            <w:pPr>
              <w:pStyle w:val="TableVerticalText"/>
              <w:widowControl w:val="0"/>
              <w:rPr>
                <w:rFonts w:ascii="Tahoma" w:hAnsi="Tahoma" w:cs="Tahoma"/>
              </w:rPr>
            </w:pPr>
            <w:r w:rsidRPr="00EB4D74">
              <w:rPr>
                <w:rFonts w:ascii="Tahoma" w:hAnsi="Tahoma" w:cs="Tahoma"/>
                <w:lang w:val="pt-BR"/>
              </w:rPr>
              <w:t>Mínimo de Licenças Open</w:t>
            </w:r>
          </w:p>
        </w:tc>
      </w:tr>
      <w:tr w:rsidR="008B1196" w:rsidRPr="00EB4D74" w:rsidTr="00EA30FC">
        <w:trPr>
          <w:cantSplit/>
          <w:trHeight w:val="271"/>
          <w:tblHeader/>
        </w:trPr>
        <w:tc>
          <w:tcPr>
            <w:tcW w:w="2638" w:type="dxa"/>
            <w:vMerge w:val="restart"/>
            <w:tcBorders>
              <w:top w:val="nil"/>
              <w:left w:val="nil"/>
            </w:tcBorders>
          </w:tcPr>
          <w:p w:rsidR="008B1196" w:rsidRPr="00EB4D74" w:rsidRDefault="008B1196" w:rsidP="00EA30FC">
            <w:pPr>
              <w:widowControl w:val="0"/>
              <w:rPr>
                <w:rFonts w:cs="Tahoma"/>
                <w:b/>
              </w:rPr>
            </w:pPr>
          </w:p>
        </w:tc>
        <w:tc>
          <w:tcPr>
            <w:tcW w:w="429" w:type="dxa"/>
            <w:vMerge w:val="restart"/>
          </w:tcPr>
          <w:p w:rsidR="008B1196" w:rsidRPr="00EB4D74" w:rsidRDefault="008B1196" w:rsidP="00EA30FC">
            <w:pPr>
              <w:keepNext/>
              <w:widowControl w:val="0"/>
              <w:spacing w:before="200" w:after="120"/>
              <w:jc w:val="center"/>
              <w:outlineLvl w:val="0"/>
              <w:rPr>
                <w:rFonts w:cs="Tahoma"/>
                <w:b/>
                <w:color w:val="0000FF"/>
                <w:sz w:val="10"/>
              </w:rPr>
            </w:pPr>
            <w:r w:rsidRPr="00EB4D74">
              <w:rPr>
                <w:rFonts w:cs="Tahoma"/>
                <w:b/>
                <w:color w:val="0000FF"/>
                <w:sz w:val="10"/>
                <w:lang w:val="pt-BR"/>
              </w:rPr>
              <w:t>(Ctrl + clique)</w:t>
            </w:r>
          </w:p>
        </w:tc>
        <w:tc>
          <w:tcPr>
            <w:tcW w:w="429" w:type="dxa"/>
            <w:vMerge w:val="restart"/>
          </w:tcPr>
          <w:p w:rsidR="008B1196" w:rsidRPr="00EB4D74" w:rsidRDefault="008B1196" w:rsidP="00EA30FC">
            <w:pPr>
              <w:widowControl w:val="0"/>
              <w:rPr>
                <w:rFonts w:cs="Tahoma"/>
              </w:rPr>
            </w:pPr>
          </w:p>
        </w:tc>
        <w:tc>
          <w:tcPr>
            <w:tcW w:w="429" w:type="dxa"/>
            <w:vMerge w:val="restart"/>
            <w:tcBorders>
              <w:right w:val="single" w:sz="18" w:space="0" w:color="auto"/>
            </w:tcBorders>
          </w:tcPr>
          <w:p w:rsidR="008B1196" w:rsidRPr="00EB4D74" w:rsidRDefault="008B1196" w:rsidP="00EA30FC">
            <w:pPr>
              <w:widowControl w:val="0"/>
              <w:rPr>
                <w:rFonts w:cs="Tahoma"/>
              </w:rPr>
            </w:pPr>
          </w:p>
        </w:tc>
        <w:tc>
          <w:tcPr>
            <w:tcW w:w="429" w:type="dxa"/>
            <w:vMerge w:val="restart"/>
            <w:tcBorders>
              <w:left w:val="single" w:sz="18" w:space="0" w:color="auto"/>
            </w:tcBorders>
            <w:vAlign w:val="center"/>
          </w:tcPr>
          <w:p w:rsidR="008B1196" w:rsidRPr="00EB4D74" w:rsidRDefault="008B1196" w:rsidP="00EA30FC">
            <w:pPr>
              <w:pStyle w:val="TableHeadingsRed"/>
              <w:widowControl w:val="0"/>
              <w:rPr>
                <w:rFonts w:ascii="Tahoma" w:hAnsi="Tahoma" w:cs="Tahoma"/>
              </w:rPr>
            </w:pPr>
            <w:r w:rsidRPr="00EB4D74">
              <w:rPr>
                <w:rFonts w:ascii="Tahoma" w:hAnsi="Tahoma" w:cs="Tahoma"/>
                <w:lang w:val="pt-BR"/>
              </w:rPr>
              <w:t>L</w:t>
            </w:r>
          </w:p>
        </w:tc>
        <w:tc>
          <w:tcPr>
            <w:tcW w:w="1287" w:type="dxa"/>
            <w:gridSpan w:val="3"/>
            <w:vAlign w:val="center"/>
          </w:tcPr>
          <w:p w:rsidR="008B1196" w:rsidRPr="00EB4D74" w:rsidRDefault="008B1196" w:rsidP="00EA30FC">
            <w:pPr>
              <w:pStyle w:val="TableHeadingsGreen"/>
              <w:widowControl w:val="0"/>
              <w:rPr>
                <w:rFonts w:ascii="Tahoma" w:hAnsi="Tahoma" w:cs="Tahoma"/>
              </w:rPr>
            </w:pPr>
            <w:r w:rsidRPr="00EB4D74">
              <w:rPr>
                <w:rFonts w:ascii="Tahoma" w:hAnsi="Tahoma" w:cs="Tahoma"/>
                <w:lang w:val="pt-BR"/>
              </w:rPr>
              <w:t>L&amp;SA</w:t>
            </w:r>
          </w:p>
        </w:tc>
        <w:tc>
          <w:tcPr>
            <w:tcW w:w="1287" w:type="dxa"/>
            <w:gridSpan w:val="3"/>
            <w:tcBorders>
              <w:right w:val="single" w:sz="18" w:space="0" w:color="auto"/>
            </w:tcBorders>
            <w:vAlign w:val="center"/>
          </w:tcPr>
          <w:p w:rsidR="008B1196" w:rsidRPr="00EB4D74" w:rsidRDefault="008B1196" w:rsidP="00EA30FC">
            <w:pPr>
              <w:pStyle w:val="TableHeadingsBlue"/>
              <w:widowControl w:val="0"/>
              <w:rPr>
                <w:rFonts w:ascii="Tahoma" w:hAnsi="Tahoma" w:cs="Tahoma"/>
              </w:rPr>
            </w:pPr>
            <w:r w:rsidRPr="00EB4D74">
              <w:rPr>
                <w:rFonts w:ascii="Tahoma" w:hAnsi="Tahoma" w:cs="Tahoma"/>
                <w:lang w:val="pt-BR"/>
              </w:rPr>
              <w:t>SA</w:t>
            </w:r>
          </w:p>
        </w:tc>
        <w:tc>
          <w:tcPr>
            <w:tcW w:w="429" w:type="dxa"/>
            <w:vMerge w:val="restart"/>
            <w:tcBorders>
              <w:left w:val="single" w:sz="18" w:space="0" w:color="auto"/>
            </w:tcBorders>
            <w:vAlign w:val="center"/>
          </w:tcPr>
          <w:p w:rsidR="008B1196" w:rsidRPr="00EB4D74" w:rsidRDefault="008B1196" w:rsidP="00EA30FC">
            <w:pPr>
              <w:pStyle w:val="TableHeadingsRed"/>
              <w:widowControl w:val="0"/>
              <w:rPr>
                <w:rFonts w:ascii="Tahoma" w:hAnsi="Tahoma" w:cs="Tahoma"/>
              </w:rPr>
            </w:pPr>
            <w:r w:rsidRPr="00EB4D74">
              <w:rPr>
                <w:rFonts w:ascii="Tahoma" w:hAnsi="Tahoma" w:cs="Tahoma"/>
                <w:lang w:val="pt-BR"/>
              </w:rPr>
              <w:t>L</w:t>
            </w:r>
          </w:p>
        </w:tc>
        <w:tc>
          <w:tcPr>
            <w:tcW w:w="429" w:type="dxa"/>
            <w:vAlign w:val="center"/>
          </w:tcPr>
          <w:p w:rsidR="008B1196" w:rsidRPr="00EB4D74" w:rsidRDefault="008B1196" w:rsidP="00EA30FC">
            <w:pPr>
              <w:pStyle w:val="TableHeadingsGreen"/>
              <w:widowControl w:val="0"/>
              <w:rPr>
                <w:rFonts w:ascii="Tahoma" w:hAnsi="Tahoma" w:cs="Tahoma"/>
              </w:rPr>
            </w:pPr>
            <w:r w:rsidRPr="00EB4D74">
              <w:rPr>
                <w:rFonts w:ascii="Tahoma" w:hAnsi="Tahoma" w:cs="Tahoma"/>
                <w:lang w:val="pt-BR"/>
              </w:rPr>
              <w:t>L&amp;SA</w:t>
            </w:r>
          </w:p>
        </w:tc>
        <w:tc>
          <w:tcPr>
            <w:tcW w:w="429" w:type="dxa"/>
            <w:vMerge w:val="restart"/>
            <w:tcBorders>
              <w:right w:val="single" w:sz="18" w:space="0" w:color="auto"/>
            </w:tcBorders>
            <w:vAlign w:val="center"/>
          </w:tcPr>
          <w:p w:rsidR="008B1196" w:rsidRPr="00EB4D74" w:rsidRDefault="008B1196" w:rsidP="00EA30FC">
            <w:pPr>
              <w:pStyle w:val="TableHeadingsBlue"/>
              <w:widowControl w:val="0"/>
              <w:rPr>
                <w:rFonts w:ascii="Tahoma" w:hAnsi="Tahoma" w:cs="Tahoma"/>
              </w:rPr>
            </w:pPr>
            <w:r w:rsidRPr="00EB4D74">
              <w:rPr>
                <w:rFonts w:ascii="Tahoma" w:hAnsi="Tahoma" w:cs="Tahoma"/>
                <w:lang w:val="pt-BR"/>
              </w:rPr>
              <w:t>SA</w:t>
            </w:r>
          </w:p>
        </w:tc>
        <w:tc>
          <w:tcPr>
            <w:tcW w:w="429" w:type="dxa"/>
            <w:vMerge w:val="restart"/>
            <w:tcBorders>
              <w:left w:val="single" w:sz="18" w:space="0" w:color="auto"/>
            </w:tcBorders>
          </w:tcPr>
          <w:p w:rsidR="008B1196" w:rsidRPr="00EB4D74" w:rsidRDefault="008B1196" w:rsidP="00EA30FC">
            <w:pPr>
              <w:widowControl w:val="0"/>
              <w:rPr>
                <w:rFonts w:cs="Tahoma"/>
              </w:rPr>
            </w:pPr>
          </w:p>
        </w:tc>
        <w:tc>
          <w:tcPr>
            <w:tcW w:w="429" w:type="dxa"/>
            <w:vMerge w:val="restart"/>
            <w:tcBorders>
              <w:right w:val="single" w:sz="18" w:space="0" w:color="auto"/>
            </w:tcBorders>
          </w:tcPr>
          <w:p w:rsidR="008B1196" w:rsidRPr="00EB4D74" w:rsidRDefault="008B1196" w:rsidP="00EA30FC">
            <w:pPr>
              <w:widowControl w:val="0"/>
              <w:rPr>
                <w:rFonts w:cs="Tahoma"/>
              </w:rPr>
            </w:pPr>
          </w:p>
        </w:tc>
        <w:tc>
          <w:tcPr>
            <w:tcW w:w="429" w:type="dxa"/>
            <w:vMerge w:val="restart"/>
            <w:tcBorders>
              <w:left w:val="single" w:sz="18" w:space="0" w:color="auto"/>
              <w:right w:val="single" w:sz="18" w:space="0" w:color="auto"/>
            </w:tcBorders>
          </w:tcPr>
          <w:p w:rsidR="008B1196" w:rsidRPr="00EB4D74" w:rsidRDefault="008B1196" w:rsidP="00EA30FC">
            <w:pPr>
              <w:widowControl w:val="0"/>
              <w:rPr>
                <w:rFonts w:cs="Tahoma"/>
              </w:rPr>
            </w:pPr>
          </w:p>
        </w:tc>
        <w:tc>
          <w:tcPr>
            <w:tcW w:w="514" w:type="dxa"/>
            <w:vMerge w:val="restart"/>
          </w:tcPr>
          <w:p w:rsidR="008B1196" w:rsidRPr="00EB4D74" w:rsidRDefault="008B1196" w:rsidP="00EA30FC">
            <w:pPr>
              <w:widowControl w:val="0"/>
              <w:rPr>
                <w:rFonts w:cs="Tahoma"/>
              </w:rPr>
            </w:pPr>
          </w:p>
        </w:tc>
        <w:tc>
          <w:tcPr>
            <w:tcW w:w="514" w:type="dxa"/>
            <w:vMerge w:val="restart"/>
          </w:tcPr>
          <w:p w:rsidR="008B1196" w:rsidRPr="00EB4D74" w:rsidRDefault="008B1196" w:rsidP="00EA30FC">
            <w:pPr>
              <w:widowControl w:val="0"/>
              <w:rPr>
                <w:rFonts w:cs="Tahoma"/>
              </w:rPr>
            </w:pPr>
          </w:p>
        </w:tc>
      </w:tr>
      <w:tr w:rsidR="008B1196" w:rsidRPr="00EB4D74" w:rsidTr="00EA30FC">
        <w:trPr>
          <w:cantSplit/>
          <w:trHeight w:val="262"/>
          <w:tblHeader/>
        </w:trPr>
        <w:tc>
          <w:tcPr>
            <w:tcW w:w="2638" w:type="dxa"/>
            <w:vMerge/>
            <w:tcBorders>
              <w:left w:val="nil"/>
            </w:tcBorders>
          </w:tcPr>
          <w:p w:rsidR="008B1196" w:rsidRPr="00EB4D74" w:rsidRDefault="008B1196" w:rsidP="00EA30FC">
            <w:pPr>
              <w:widowControl w:val="0"/>
              <w:rPr>
                <w:rFonts w:cs="Tahoma"/>
              </w:rPr>
            </w:pPr>
          </w:p>
        </w:tc>
        <w:tc>
          <w:tcPr>
            <w:tcW w:w="429" w:type="dxa"/>
            <w:vMerge/>
          </w:tcPr>
          <w:p w:rsidR="008B1196" w:rsidRPr="00EB4D74" w:rsidRDefault="008B1196" w:rsidP="00EA30FC">
            <w:pPr>
              <w:keepNext/>
              <w:widowControl w:val="0"/>
              <w:spacing w:before="200" w:after="120"/>
              <w:outlineLvl w:val="0"/>
              <w:rPr>
                <w:rFonts w:cs="Tahoma"/>
                <w:b/>
              </w:rPr>
            </w:pPr>
          </w:p>
        </w:tc>
        <w:tc>
          <w:tcPr>
            <w:tcW w:w="429" w:type="dxa"/>
            <w:vMerge/>
          </w:tcPr>
          <w:p w:rsidR="008B1196" w:rsidRPr="00EB4D74" w:rsidRDefault="008B1196" w:rsidP="00EA30FC">
            <w:pPr>
              <w:widowControl w:val="0"/>
              <w:rPr>
                <w:rFonts w:cs="Tahoma"/>
              </w:rPr>
            </w:pPr>
          </w:p>
        </w:tc>
        <w:tc>
          <w:tcPr>
            <w:tcW w:w="429" w:type="dxa"/>
            <w:vMerge/>
            <w:tcBorders>
              <w:right w:val="single" w:sz="18" w:space="0" w:color="auto"/>
            </w:tcBorders>
          </w:tcPr>
          <w:p w:rsidR="008B1196" w:rsidRPr="00EB4D74" w:rsidRDefault="008B1196" w:rsidP="00EA30FC">
            <w:pPr>
              <w:widowControl w:val="0"/>
              <w:rPr>
                <w:rFonts w:cs="Tahoma"/>
              </w:rPr>
            </w:pPr>
          </w:p>
        </w:tc>
        <w:tc>
          <w:tcPr>
            <w:tcW w:w="429" w:type="dxa"/>
            <w:vMerge/>
            <w:tcBorders>
              <w:left w:val="single" w:sz="18" w:space="0" w:color="auto"/>
            </w:tcBorders>
            <w:vAlign w:val="center"/>
          </w:tcPr>
          <w:p w:rsidR="008B1196" w:rsidRPr="00EB4D74" w:rsidRDefault="008B1196" w:rsidP="00EA30FC">
            <w:pPr>
              <w:widowControl w:val="0"/>
              <w:jc w:val="center"/>
              <w:rPr>
                <w:rFonts w:cs="Tahoma"/>
              </w:rPr>
            </w:pPr>
          </w:p>
        </w:tc>
        <w:tc>
          <w:tcPr>
            <w:tcW w:w="429" w:type="dxa"/>
            <w:vAlign w:val="center"/>
          </w:tcPr>
          <w:p w:rsidR="008B1196" w:rsidRPr="00EB4D74" w:rsidRDefault="008B1196" w:rsidP="00EA30FC">
            <w:pPr>
              <w:pStyle w:val="TableHeadingsGreen"/>
              <w:widowControl w:val="0"/>
              <w:rPr>
                <w:rFonts w:ascii="Tahoma" w:hAnsi="Tahoma" w:cs="Tahoma"/>
              </w:rPr>
            </w:pPr>
            <w:r w:rsidRPr="00EB4D74">
              <w:rPr>
                <w:rFonts w:ascii="Tahoma" w:hAnsi="Tahoma" w:cs="Tahoma"/>
                <w:lang w:val="pt-BR"/>
              </w:rPr>
              <w:t>3An</w:t>
            </w:r>
          </w:p>
        </w:tc>
        <w:tc>
          <w:tcPr>
            <w:tcW w:w="429" w:type="dxa"/>
            <w:vAlign w:val="center"/>
          </w:tcPr>
          <w:p w:rsidR="008B1196" w:rsidRPr="00EB4D74" w:rsidRDefault="008B1196" w:rsidP="00EA30FC">
            <w:pPr>
              <w:pStyle w:val="TableHeadingsGreen"/>
              <w:widowControl w:val="0"/>
              <w:rPr>
                <w:rFonts w:ascii="Tahoma" w:hAnsi="Tahoma" w:cs="Tahoma"/>
              </w:rPr>
            </w:pPr>
            <w:r w:rsidRPr="00EB4D74">
              <w:rPr>
                <w:rFonts w:ascii="Tahoma" w:hAnsi="Tahoma" w:cs="Tahoma"/>
                <w:lang w:val="pt-BR"/>
              </w:rPr>
              <w:t>2An</w:t>
            </w:r>
          </w:p>
        </w:tc>
        <w:tc>
          <w:tcPr>
            <w:tcW w:w="429" w:type="dxa"/>
            <w:vAlign w:val="center"/>
          </w:tcPr>
          <w:p w:rsidR="008B1196" w:rsidRPr="00EB4D74" w:rsidRDefault="008B1196" w:rsidP="00EA30FC">
            <w:pPr>
              <w:pStyle w:val="TableHeadingsGreen"/>
              <w:widowControl w:val="0"/>
              <w:rPr>
                <w:rFonts w:ascii="Tahoma" w:hAnsi="Tahoma" w:cs="Tahoma"/>
              </w:rPr>
            </w:pPr>
            <w:r w:rsidRPr="00EB4D74">
              <w:rPr>
                <w:rFonts w:ascii="Tahoma" w:hAnsi="Tahoma" w:cs="Tahoma"/>
                <w:lang w:val="pt-BR"/>
              </w:rPr>
              <w:t>1An</w:t>
            </w:r>
          </w:p>
        </w:tc>
        <w:tc>
          <w:tcPr>
            <w:tcW w:w="429" w:type="dxa"/>
            <w:vAlign w:val="center"/>
          </w:tcPr>
          <w:p w:rsidR="008B1196" w:rsidRPr="00EB4D74" w:rsidRDefault="008B1196" w:rsidP="00EA30FC">
            <w:pPr>
              <w:pStyle w:val="TableHeadingsBlue"/>
              <w:widowControl w:val="0"/>
              <w:rPr>
                <w:rFonts w:ascii="Tahoma" w:hAnsi="Tahoma" w:cs="Tahoma"/>
              </w:rPr>
            </w:pPr>
            <w:r w:rsidRPr="00EB4D74">
              <w:rPr>
                <w:rFonts w:ascii="Tahoma" w:hAnsi="Tahoma" w:cs="Tahoma"/>
                <w:lang w:val="pt-BR"/>
              </w:rPr>
              <w:t>3An</w:t>
            </w:r>
          </w:p>
        </w:tc>
        <w:tc>
          <w:tcPr>
            <w:tcW w:w="429" w:type="dxa"/>
            <w:vAlign w:val="center"/>
          </w:tcPr>
          <w:p w:rsidR="008B1196" w:rsidRPr="00EB4D74" w:rsidRDefault="008B1196" w:rsidP="00EA30FC">
            <w:pPr>
              <w:pStyle w:val="TableHeadingsBlue"/>
              <w:widowControl w:val="0"/>
              <w:rPr>
                <w:rFonts w:ascii="Tahoma" w:hAnsi="Tahoma" w:cs="Tahoma"/>
              </w:rPr>
            </w:pPr>
            <w:r w:rsidRPr="00EB4D74">
              <w:rPr>
                <w:rFonts w:ascii="Tahoma" w:hAnsi="Tahoma" w:cs="Tahoma"/>
                <w:lang w:val="pt-BR"/>
              </w:rPr>
              <w:t>2An</w:t>
            </w:r>
          </w:p>
        </w:tc>
        <w:tc>
          <w:tcPr>
            <w:tcW w:w="429" w:type="dxa"/>
            <w:tcBorders>
              <w:right w:val="single" w:sz="18" w:space="0" w:color="auto"/>
            </w:tcBorders>
            <w:vAlign w:val="center"/>
          </w:tcPr>
          <w:p w:rsidR="008B1196" w:rsidRPr="00EB4D74" w:rsidRDefault="008B1196" w:rsidP="00EA30FC">
            <w:pPr>
              <w:pStyle w:val="TableHeadingsBlue"/>
              <w:widowControl w:val="0"/>
              <w:rPr>
                <w:rFonts w:ascii="Tahoma" w:hAnsi="Tahoma" w:cs="Tahoma"/>
              </w:rPr>
            </w:pPr>
            <w:r w:rsidRPr="00EB4D74">
              <w:rPr>
                <w:rFonts w:ascii="Tahoma" w:hAnsi="Tahoma" w:cs="Tahoma"/>
                <w:lang w:val="pt-BR"/>
              </w:rPr>
              <w:t>1An</w:t>
            </w:r>
          </w:p>
        </w:tc>
        <w:tc>
          <w:tcPr>
            <w:tcW w:w="429" w:type="dxa"/>
            <w:vMerge/>
            <w:tcBorders>
              <w:left w:val="single" w:sz="18" w:space="0" w:color="auto"/>
            </w:tcBorders>
            <w:vAlign w:val="center"/>
          </w:tcPr>
          <w:p w:rsidR="008B1196" w:rsidRPr="00EB4D74" w:rsidRDefault="008B1196" w:rsidP="00EA30FC">
            <w:pPr>
              <w:widowControl w:val="0"/>
              <w:jc w:val="center"/>
              <w:rPr>
                <w:rFonts w:cs="Tahoma"/>
              </w:rPr>
            </w:pPr>
          </w:p>
        </w:tc>
        <w:tc>
          <w:tcPr>
            <w:tcW w:w="429" w:type="dxa"/>
            <w:vAlign w:val="center"/>
          </w:tcPr>
          <w:p w:rsidR="008B1196" w:rsidRPr="00EB4D74" w:rsidRDefault="008B1196" w:rsidP="00EA30FC">
            <w:pPr>
              <w:pStyle w:val="TableHeadingsGreen"/>
              <w:widowControl w:val="0"/>
              <w:rPr>
                <w:rFonts w:ascii="Tahoma" w:hAnsi="Tahoma" w:cs="Tahoma"/>
              </w:rPr>
            </w:pPr>
            <w:r w:rsidRPr="00EB4D74">
              <w:rPr>
                <w:rFonts w:ascii="Tahoma" w:hAnsi="Tahoma" w:cs="Tahoma"/>
                <w:lang w:val="pt-BR"/>
              </w:rPr>
              <w:t>P</w:t>
            </w:r>
          </w:p>
        </w:tc>
        <w:tc>
          <w:tcPr>
            <w:tcW w:w="429" w:type="dxa"/>
            <w:vMerge/>
            <w:tcBorders>
              <w:right w:val="single" w:sz="18" w:space="0" w:color="auto"/>
            </w:tcBorders>
          </w:tcPr>
          <w:p w:rsidR="008B1196" w:rsidRPr="00EB4D74" w:rsidRDefault="008B1196" w:rsidP="00EA30FC">
            <w:pPr>
              <w:widowControl w:val="0"/>
              <w:rPr>
                <w:rFonts w:cs="Tahoma"/>
              </w:rPr>
            </w:pPr>
          </w:p>
        </w:tc>
        <w:tc>
          <w:tcPr>
            <w:tcW w:w="429" w:type="dxa"/>
            <w:vMerge/>
            <w:tcBorders>
              <w:left w:val="single" w:sz="18" w:space="0" w:color="auto"/>
            </w:tcBorders>
          </w:tcPr>
          <w:p w:rsidR="008B1196" w:rsidRPr="00EB4D74" w:rsidRDefault="008B1196" w:rsidP="00EA30FC">
            <w:pPr>
              <w:widowControl w:val="0"/>
              <w:rPr>
                <w:rFonts w:cs="Tahoma"/>
              </w:rPr>
            </w:pPr>
          </w:p>
        </w:tc>
        <w:tc>
          <w:tcPr>
            <w:tcW w:w="429" w:type="dxa"/>
            <w:vMerge/>
            <w:tcBorders>
              <w:right w:val="single" w:sz="18" w:space="0" w:color="auto"/>
            </w:tcBorders>
          </w:tcPr>
          <w:p w:rsidR="008B1196" w:rsidRPr="00EB4D74" w:rsidRDefault="008B1196" w:rsidP="00EA30FC">
            <w:pPr>
              <w:widowControl w:val="0"/>
              <w:rPr>
                <w:rFonts w:cs="Tahoma"/>
              </w:rPr>
            </w:pPr>
          </w:p>
        </w:tc>
        <w:tc>
          <w:tcPr>
            <w:tcW w:w="429" w:type="dxa"/>
            <w:vMerge/>
            <w:tcBorders>
              <w:left w:val="single" w:sz="18" w:space="0" w:color="auto"/>
              <w:right w:val="single" w:sz="18" w:space="0" w:color="auto"/>
            </w:tcBorders>
          </w:tcPr>
          <w:p w:rsidR="008B1196" w:rsidRPr="00EB4D74" w:rsidRDefault="008B1196" w:rsidP="00EA30FC">
            <w:pPr>
              <w:widowControl w:val="0"/>
              <w:rPr>
                <w:rFonts w:cs="Tahoma"/>
              </w:rPr>
            </w:pPr>
          </w:p>
        </w:tc>
        <w:tc>
          <w:tcPr>
            <w:tcW w:w="514" w:type="dxa"/>
            <w:vMerge/>
          </w:tcPr>
          <w:p w:rsidR="008B1196" w:rsidRPr="00EB4D74" w:rsidRDefault="008B1196" w:rsidP="00EA30FC">
            <w:pPr>
              <w:widowControl w:val="0"/>
              <w:rPr>
                <w:rFonts w:cs="Tahoma"/>
              </w:rPr>
            </w:pPr>
          </w:p>
        </w:tc>
        <w:tc>
          <w:tcPr>
            <w:tcW w:w="514" w:type="dxa"/>
            <w:vMerge/>
          </w:tcPr>
          <w:p w:rsidR="008B1196" w:rsidRPr="00EB4D74" w:rsidRDefault="008B1196" w:rsidP="00EA30FC">
            <w:pPr>
              <w:widowControl w:val="0"/>
              <w:rPr>
                <w:rFonts w:cs="Tahoma"/>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ProductNames"/>
              <w:spacing w:beforeLines="20" w:before="48" w:afterLines="20" w:after="48"/>
              <w:rPr>
                <w:rFonts w:ascii="Tahoma" w:hAnsi="Tahoma" w:cs="Tahoma"/>
                <w:sz w:val="14"/>
              </w:rPr>
            </w:pPr>
            <w:bookmarkStart w:id="16" w:name="_Toc336337843"/>
            <w:bookmarkStart w:id="17" w:name="_Toc342914500"/>
            <w:bookmarkEnd w:id="16"/>
            <w:r w:rsidRPr="00EB4D74">
              <w:rPr>
                <w:rFonts w:ascii="Tahoma" w:hAnsi="Tahoma" w:cs="Tahoma"/>
                <w:sz w:val="14"/>
                <w:lang w:val="pt-BR"/>
              </w:rPr>
              <w:t>Access 2013</w:t>
            </w:r>
            <w:bookmarkEnd w:id="17"/>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color w:val="000000"/>
                <w:sz w:val="13"/>
              </w:rPr>
            </w:pPr>
            <w:r w:rsidRPr="00EB4D74">
              <w:rPr>
                <w:rFonts w:ascii="Tahoma" w:hAnsi="Tahoma" w:cs="Tahoma"/>
                <w:color w:val="000000"/>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color w:val="000000"/>
                <w:sz w:val="13"/>
              </w:rPr>
            </w:pPr>
            <w:r w:rsidRPr="00EB4D74">
              <w:rPr>
                <w:rFonts w:ascii="Tahoma" w:hAnsi="Tahoma" w:cs="Tahoma"/>
                <w:color w:val="000000"/>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ProductNames"/>
              <w:spacing w:beforeLines="20" w:before="48" w:afterLines="20" w:after="48"/>
              <w:rPr>
                <w:rFonts w:ascii="Tahoma" w:hAnsi="Tahoma" w:cs="Tahoma"/>
                <w:sz w:val="14"/>
              </w:rPr>
            </w:pPr>
            <w:bookmarkStart w:id="18" w:name="_Toc336337844"/>
            <w:bookmarkStart w:id="19" w:name="_Toc342914501"/>
            <w:bookmarkEnd w:id="18"/>
            <w:r w:rsidRPr="00EB4D74">
              <w:rPr>
                <w:rFonts w:ascii="Tahoma" w:hAnsi="Tahoma" w:cs="Tahoma"/>
                <w:sz w:val="14"/>
                <w:lang w:val="pt-BR"/>
              </w:rPr>
              <w:t>AutoRoute 2013</w:t>
            </w:r>
            <w:bookmarkEnd w:id="19"/>
          </w:p>
        </w:tc>
        <w:tc>
          <w:tcPr>
            <w:tcW w:w="429" w:type="dxa"/>
            <w:shd w:val="clear" w:color="auto" w:fill="FFFFFF"/>
            <w:vAlign w:val="center"/>
          </w:tcPr>
          <w:p w:rsidR="008B1196" w:rsidRPr="00EB4D74" w:rsidRDefault="008B1196" w:rsidP="00EA30FC">
            <w:pPr>
              <w:pStyle w:val="TableText"/>
              <w:widowControl w:val="0"/>
              <w:rPr>
                <w:rFonts w:cs="Tahoma"/>
                <w:b/>
                <w:color w:val="0000FF"/>
                <w:sz w:val="13"/>
                <w:szCs w:val="13"/>
                <w:u w:val="single"/>
              </w:rPr>
            </w:pPr>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1</w:t>
            </w:r>
            <w:r>
              <w:rPr>
                <w:rFonts w:ascii="Tahoma" w:hAnsi="Tahoma" w:cs="Tahoma"/>
                <w:sz w:val="13"/>
              </w:rPr>
              <w:t>0</w:t>
            </w:r>
            <w:r w:rsidRPr="00EB4D74">
              <w:rPr>
                <w:rFonts w:ascii="Tahoma" w:hAnsi="Tahoma" w:cs="Tahoma"/>
                <w:sz w:val="13"/>
              </w:rPr>
              <w:t>/12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368"/>
        </w:trPr>
        <w:tc>
          <w:tcPr>
            <w:tcW w:w="2638" w:type="dxa"/>
            <w:shd w:val="clear" w:color="auto" w:fill="FABF8F"/>
          </w:tcPr>
          <w:p w:rsidR="008B1196" w:rsidRPr="00EB4D74" w:rsidRDefault="008B1196" w:rsidP="00EA30FC">
            <w:pPr>
              <w:pStyle w:val="Heading2"/>
              <w:spacing w:beforeLines="20" w:before="48" w:afterLines="20" w:after="48"/>
              <w:ind w:left="0"/>
              <w:rPr>
                <w:rFonts w:ascii="Tahoma" w:hAnsi="Tahoma" w:cs="Tahoma"/>
                <w:b w:val="0"/>
                <w:sz w:val="14"/>
              </w:rPr>
            </w:pPr>
            <w:bookmarkStart w:id="20" w:name="_Toc336337845"/>
            <w:bookmarkStart w:id="21" w:name="_Toc342914502"/>
            <w:bookmarkEnd w:id="20"/>
            <w:r w:rsidRPr="00EB4D74">
              <w:rPr>
                <w:rFonts w:ascii="Tahoma" w:hAnsi="Tahoma" w:cs="Tahoma"/>
                <w:b w:val="0"/>
                <w:sz w:val="14"/>
                <w:lang w:val="pt-BR"/>
              </w:rPr>
              <w:t>Bing Maps Desktop com Pacote de Conteúdo Aprimorado</w:t>
            </w:r>
            <w:bookmarkEnd w:id="21"/>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1_Bing_Maps" w:history="1">
              <w:r w:rsidRPr="00EB4D74">
                <w:rPr>
                  <w:rStyle w:val="Hyperlink"/>
                  <w:rFonts w:cs="Tahoma"/>
                  <w:b/>
                  <w:sz w:val="13"/>
                  <w:szCs w:val="13"/>
                </w:rPr>
                <w:t>1</w:t>
              </w:r>
            </w:hyperlink>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08/09</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3003"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1 ponto</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ProductNames"/>
              <w:spacing w:beforeLines="20" w:before="48" w:afterLines="20" w:after="48"/>
              <w:rPr>
                <w:rFonts w:ascii="Tahoma" w:hAnsi="Tahoma" w:cs="Tahoma"/>
                <w:sz w:val="14"/>
              </w:rPr>
            </w:pPr>
            <w:bookmarkStart w:id="22" w:name="_Toc336337846"/>
            <w:bookmarkStart w:id="23" w:name="_Toc342914503"/>
            <w:bookmarkEnd w:id="22"/>
            <w:r w:rsidRPr="00EB4D74">
              <w:rPr>
                <w:rFonts w:ascii="Tahoma" w:hAnsi="Tahoma" w:cs="Tahoma"/>
                <w:sz w:val="14"/>
                <w:lang w:val="pt-BR"/>
              </w:rPr>
              <w:t>Excel 2013</w:t>
            </w:r>
            <w:bookmarkEnd w:id="23"/>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color w:val="000000"/>
                <w:sz w:val="13"/>
              </w:rPr>
            </w:pPr>
            <w:r w:rsidRPr="00EB4D74">
              <w:rPr>
                <w:rFonts w:ascii="Tahoma" w:hAnsi="Tahoma" w:cs="Tahoma"/>
                <w:color w:val="000000"/>
                <w:sz w:val="13"/>
              </w:rPr>
              <w:t>10/12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color w:val="000000"/>
                <w:sz w:val="13"/>
              </w:rPr>
            </w:pPr>
            <w:r w:rsidRPr="00EB4D74">
              <w:rPr>
                <w:rFonts w:ascii="Tahoma" w:hAnsi="Tahoma" w:cs="Tahoma"/>
                <w:color w:val="000000"/>
                <w:sz w:val="13"/>
                <w:lang w:val="pt-BR"/>
              </w:rPr>
              <w:t>DT</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widowControl w:val="0"/>
              <w:rPr>
                <w:rFonts w:ascii="Tahoma" w:hAnsi="Tahoma" w:cs="Tahoma"/>
                <w:sz w:val="13"/>
              </w:rPr>
            </w:pP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78"/>
        </w:trPr>
        <w:tc>
          <w:tcPr>
            <w:tcW w:w="2638" w:type="dxa"/>
            <w:shd w:val="clear" w:color="auto" w:fill="FABF8F"/>
            <w:vAlign w:val="center"/>
          </w:tcPr>
          <w:p w:rsidR="008B1196" w:rsidRPr="00EB4D74" w:rsidRDefault="008B1196" w:rsidP="00EA30FC">
            <w:pPr>
              <w:pStyle w:val="ProductNames"/>
              <w:spacing w:beforeLines="20" w:before="48" w:afterLines="20" w:after="48"/>
              <w:rPr>
                <w:rFonts w:ascii="Tahoma" w:hAnsi="Tahoma" w:cs="Tahoma"/>
                <w:sz w:val="14"/>
              </w:rPr>
            </w:pPr>
            <w:bookmarkStart w:id="24" w:name="_Toc336337847"/>
            <w:bookmarkStart w:id="25" w:name="_Toc342914504"/>
            <w:bookmarkEnd w:id="24"/>
            <w:r w:rsidRPr="00EB4D74">
              <w:rPr>
                <w:rFonts w:ascii="Tahoma" w:hAnsi="Tahoma" w:cs="Tahoma"/>
                <w:sz w:val="14"/>
                <w:lang w:val="pt-BR"/>
              </w:rPr>
              <w:t>Excel para Mac 2011</w:t>
            </w:r>
            <w:bookmarkEnd w:id="25"/>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color w:val="000000"/>
                <w:sz w:val="13"/>
              </w:rPr>
            </w:pPr>
            <w:r w:rsidRPr="00EB4D74">
              <w:rPr>
                <w:rFonts w:ascii="Tahoma" w:hAnsi="Tahoma" w:cs="Tahoma"/>
                <w:color w:val="000000"/>
                <w:sz w:val="13"/>
              </w:rPr>
              <w:t>09/10</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color w:val="000000"/>
                <w:sz w:val="13"/>
              </w:rPr>
            </w:pPr>
            <w:r w:rsidRPr="00EB4D74">
              <w:rPr>
                <w:rFonts w:ascii="Tahoma" w:hAnsi="Tahoma" w:cs="Tahoma"/>
                <w:color w:val="000000"/>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26" w:name="_Toc336337848"/>
            <w:bookmarkStart w:id="27" w:name="_Toc342914505"/>
            <w:bookmarkEnd w:id="26"/>
            <w:r w:rsidRPr="00EB4D74">
              <w:rPr>
                <w:rFonts w:ascii="Tahoma" w:hAnsi="Tahoma" w:cs="Tahoma"/>
                <w:b w:val="0"/>
                <w:sz w:val="14"/>
                <w:lang w:val="pt-BR"/>
              </w:rPr>
              <w:t>Expression Studio Professional 4</w:t>
            </w:r>
            <w:bookmarkEnd w:id="27"/>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2_Expression_Studio" w:history="1">
              <w:r w:rsidRPr="00EB4D74">
                <w:rPr>
                  <w:rStyle w:val="Hyperlink"/>
                  <w:rFonts w:cs="Tahoma"/>
                  <w:b/>
                  <w:sz w:val="13"/>
                  <w:szCs w:val="13"/>
                </w:rPr>
                <w:t>2</w:t>
              </w:r>
            </w:hyperlink>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7/10</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28" w:name="_Toc336337849"/>
            <w:bookmarkStart w:id="29" w:name="_Toc342914506"/>
            <w:bookmarkEnd w:id="28"/>
            <w:r w:rsidRPr="00EB4D74">
              <w:rPr>
                <w:rFonts w:ascii="Tahoma" w:hAnsi="Tahoma" w:cs="Tahoma"/>
                <w:b w:val="0"/>
                <w:sz w:val="14"/>
                <w:lang w:val="pt-BR"/>
              </w:rPr>
              <w:t>Expression Studio Ultimate 4</w:t>
            </w:r>
            <w:bookmarkEnd w:id="29"/>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2_Expression_Studio" w:history="1">
              <w:r w:rsidRPr="00EB4D74">
                <w:rPr>
                  <w:rStyle w:val="Hyperlink"/>
                  <w:rFonts w:cs="Tahoma"/>
                  <w:b/>
                  <w:sz w:val="13"/>
                  <w:szCs w:val="13"/>
                </w:rPr>
                <w:t>2</w:t>
              </w:r>
            </w:hyperlink>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7/10</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5</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 AO, ST</w:t>
            </w: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30" w:name="_Toc336337850"/>
            <w:bookmarkStart w:id="31" w:name="_Toc342914507"/>
            <w:bookmarkEnd w:id="30"/>
            <w:r w:rsidRPr="00EB4D74">
              <w:rPr>
                <w:rFonts w:ascii="Tahoma" w:hAnsi="Tahoma" w:cs="Tahoma"/>
                <w:b w:val="0"/>
                <w:sz w:val="14"/>
                <w:lang w:val="pt-BR"/>
              </w:rPr>
              <w:t>Expression Encoder Pro 4</w:t>
            </w:r>
            <w:bookmarkEnd w:id="31"/>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2_Expression_Studio" w:history="1">
              <w:r w:rsidRPr="00EB4D74">
                <w:rPr>
                  <w:rStyle w:val="Hyperlink"/>
                  <w:rFonts w:cs="Tahoma"/>
                  <w:b/>
                  <w:sz w:val="13"/>
                  <w:szCs w:val="13"/>
                </w:rPr>
                <w:t>2</w:t>
              </w:r>
            </w:hyperlink>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7/10</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widowControl w:val="0"/>
              <w:rPr>
                <w:rFonts w:ascii="Tahoma" w:hAnsi="Tahoma" w:cs="Tahoma"/>
                <w:sz w:val="13"/>
              </w:rPr>
            </w:pP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32" w:name="_Toc336337851"/>
            <w:bookmarkStart w:id="33" w:name="_Toc342914508"/>
            <w:bookmarkEnd w:id="32"/>
            <w:r w:rsidRPr="00EB4D74">
              <w:rPr>
                <w:rFonts w:ascii="Tahoma" w:hAnsi="Tahoma" w:cs="Tahoma"/>
                <w:b w:val="0"/>
                <w:sz w:val="14"/>
                <w:lang w:val="pt-BR"/>
              </w:rPr>
              <w:t>GeoSynther 3.0</w:t>
            </w:r>
            <w:bookmarkEnd w:id="33"/>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05/10</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ABF8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34" w:name="_Toc336337852"/>
            <w:bookmarkStart w:id="35" w:name="_Toc342914509"/>
            <w:bookmarkEnd w:id="34"/>
            <w:r w:rsidRPr="00EB4D74">
              <w:rPr>
                <w:rFonts w:ascii="Tahoma" w:hAnsi="Tahoma" w:cs="Tahoma"/>
                <w:b w:val="0"/>
                <w:sz w:val="14"/>
                <w:lang w:val="pt-BR"/>
              </w:rPr>
              <w:t>GeoSynth Viewer 3.0</w:t>
            </w:r>
            <w:bookmarkEnd w:id="35"/>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05/10</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FFFF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36" w:name="_Toc336337853"/>
            <w:bookmarkStart w:id="37" w:name="_Toc342914510"/>
            <w:bookmarkEnd w:id="36"/>
            <w:r w:rsidRPr="00EB4D74">
              <w:rPr>
                <w:rFonts w:ascii="Tahoma" w:hAnsi="Tahoma" w:cs="Tahoma"/>
                <w:b w:val="0"/>
                <w:sz w:val="14"/>
                <w:lang w:val="pt-BR"/>
              </w:rPr>
              <w:t>InfoPath</w:t>
            </w:r>
            <w:r w:rsidRPr="00EB4D74">
              <w:rPr>
                <w:rFonts w:ascii="Tahoma" w:hAnsi="Tahoma" w:cs="Tahoma"/>
                <w:b w:val="0"/>
                <w:sz w:val="14"/>
                <w:vertAlign w:val="superscript"/>
                <w:lang w:val="pt-BR"/>
              </w:rPr>
              <w:t>®</w:t>
            </w:r>
            <w:r w:rsidRPr="00EB4D74">
              <w:rPr>
                <w:rFonts w:ascii="Tahoma" w:hAnsi="Tahoma" w:cs="Tahoma"/>
                <w:b w:val="0"/>
                <w:sz w:val="14"/>
                <w:lang w:val="pt-BR"/>
              </w:rPr>
              <w:t xml:space="preserve"> 2013</w:t>
            </w:r>
            <w:bookmarkEnd w:id="37"/>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38" w:name="_Toc336337854"/>
            <w:bookmarkStart w:id="39" w:name="_Toc342914511"/>
            <w:bookmarkEnd w:id="38"/>
            <w:r w:rsidRPr="00EB4D74">
              <w:rPr>
                <w:rFonts w:ascii="Tahoma" w:hAnsi="Tahoma" w:cs="Tahoma"/>
                <w:b w:val="0"/>
                <w:sz w:val="14"/>
                <w:lang w:val="pt-BR"/>
              </w:rPr>
              <w:t>Lync 2013</w:t>
            </w:r>
            <w:bookmarkEnd w:id="39"/>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bookmarkStart w:id="40" w:name="_Hlt301882262"/>
            <w:bookmarkStart w:id="41" w:name="_Hlt336250688"/>
          </w:p>
        </w:tc>
        <w:bookmarkEnd w:id="40"/>
        <w:bookmarkEnd w:id="41"/>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A,ST</w:t>
            </w: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42" w:name="_Toc336337855"/>
            <w:bookmarkStart w:id="43" w:name="_Toc342914512"/>
            <w:bookmarkEnd w:id="42"/>
            <w:r w:rsidRPr="00EB4D74">
              <w:rPr>
                <w:rFonts w:ascii="Tahoma" w:hAnsi="Tahoma" w:cs="Tahoma"/>
                <w:b w:val="0"/>
                <w:sz w:val="14"/>
                <w:lang w:val="pt-BR"/>
              </w:rPr>
              <w:t>Lync para Mac 2011</w:t>
            </w:r>
            <w:bookmarkEnd w:id="43"/>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Aps_4LyncforMac2011" w:history="1">
              <w:r w:rsidRPr="00EB4D74">
                <w:rPr>
                  <w:rStyle w:val="Hyperlink"/>
                  <w:rFonts w:cs="Tahoma"/>
                  <w:b/>
                  <w:sz w:val="13"/>
                  <w:szCs w:val="13"/>
                </w:rPr>
                <w:t>3</w:t>
              </w:r>
            </w:hyperlink>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10/11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44" w:name="_Toc235859737"/>
            <w:bookmarkStart w:id="45" w:name="_Toc336337856"/>
            <w:bookmarkStart w:id="46" w:name="_Toc342914513"/>
            <w:bookmarkEnd w:id="44"/>
            <w:bookmarkEnd w:id="45"/>
            <w:r w:rsidRPr="00EB4D74">
              <w:rPr>
                <w:rFonts w:ascii="Tahoma" w:hAnsi="Tahoma" w:cs="Tahoma"/>
                <w:b w:val="0"/>
                <w:sz w:val="14"/>
                <w:lang w:val="pt-BR"/>
              </w:rPr>
              <w:t>MapPoint</w:t>
            </w:r>
            <w:r w:rsidRPr="00EB4D74">
              <w:rPr>
                <w:rFonts w:ascii="Tahoma" w:hAnsi="Tahoma" w:cs="Tahoma"/>
                <w:b w:val="0"/>
                <w:sz w:val="14"/>
                <w:vertAlign w:val="superscript"/>
                <w:lang w:val="pt-BR"/>
              </w:rPr>
              <w:t>®</w:t>
            </w:r>
            <w:r w:rsidRPr="00EB4D74">
              <w:rPr>
                <w:rFonts w:ascii="Tahoma" w:hAnsi="Tahoma" w:cs="Tahoma"/>
                <w:b w:val="0"/>
                <w:sz w:val="14"/>
                <w:lang w:val="pt-BR"/>
              </w:rPr>
              <w:t xml:space="preserve"> Fleet Edition 2013</w:t>
            </w:r>
            <w:bookmarkEnd w:id="46"/>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03/11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10</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8</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6</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6</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8</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widowControl w:val="0"/>
              <w:rPr>
                <w:rFonts w:ascii="Tahoma" w:hAnsi="Tahoma" w:cs="Tahoma"/>
                <w:sz w:val="13"/>
              </w:rPr>
            </w:pP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323"/>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47" w:name="_Toc235859738"/>
            <w:bookmarkStart w:id="48" w:name="_Toc336337857"/>
            <w:bookmarkStart w:id="49" w:name="_Toc342914514"/>
            <w:bookmarkEnd w:id="47"/>
            <w:bookmarkEnd w:id="48"/>
            <w:r w:rsidRPr="00EB4D74">
              <w:rPr>
                <w:rFonts w:ascii="Tahoma" w:hAnsi="Tahoma" w:cs="Tahoma"/>
                <w:b w:val="0"/>
                <w:sz w:val="14"/>
                <w:lang w:val="pt-BR"/>
              </w:rPr>
              <w:t>MapPoint</w:t>
            </w:r>
            <w:r w:rsidRPr="00EB4D74">
              <w:rPr>
                <w:rFonts w:ascii="Tahoma" w:hAnsi="Tahoma" w:cs="Tahoma"/>
                <w:b w:val="0"/>
                <w:sz w:val="14"/>
                <w:vertAlign w:val="superscript"/>
                <w:lang w:val="pt-BR"/>
              </w:rPr>
              <w:t>®</w:t>
            </w:r>
            <w:r w:rsidRPr="00EB4D74">
              <w:rPr>
                <w:rFonts w:ascii="Tahoma" w:hAnsi="Tahoma" w:cs="Tahoma"/>
                <w:b w:val="0"/>
                <w:sz w:val="14"/>
                <w:lang w:val="pt-BR"/>
              </w:rPr>
              <w:t xml:space="preserve"> 2013 para Windows</w:t>
            </w:r>
            <w:bookmarkEnd w:id="49"/>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color w:val="000000"/>
                <w:sz w:val="13"/>
              </w:rPr>
            </w:pPr>
            <w:r w:rsidRPr="00EB4D74">
              <w:rPr>
                <w:rFonts w:ascii="Tahoma" w:hAnsi="Tahoma" w:cs="Tahoma"/>
                <w:color w:val="000000"/>
                <w:sz w:val="13"/>
              </w:rPr>
              <w:t>03/11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color w:val="000000"/>
                <w:sz w:val="13"/>
              </w:rPr>
            </w:pPr>
            <w:r w:rsidRPr="00EB4D74">
              <w:rPr>
                <w:rFonts w:ascii="Tahoma" w:hAnsi="Tahoma" w:cs="Tahoma"/>
                <w:color w:val="000000"/>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 AO, ST</w:t>
            </w: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145"/>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50" w:name="_Toc336337858"/>
            <w:bookmarkStart w:id="51" w:name="_Toc342914515"/>
            <w:bookmarkEnd w:id="50"/>
            <w:r w:rsidRPr="00EB4D74">
              <w:rPr>
                <w:rFonts w:ascii="Tahoma" w:hAnsi="Tahoma" w:cs="Tahoma"/>
                <w:b w:val="0"/>
                <w:sz w:val="14"/>
                <w:lang w:val="pt-BR"/>
              </w:rPr>
              <w:t>MSDN Operating Systems</w:t>
            </w:r>
            <w:bookmarkEnd w:id="51"/>
          </w:p>
        </w:tc>
        <w:tc>
          <w:tcPr>
            <w:tcW w:w="429" w:type="dxa"/>
            <w:shd w:val="clear" w:color="auto" w:fill="FFFFF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4_Sistemas_Operacionais" w:history="1">
              <w:r w:rsidRPr="00EB4D74">
                <w:rPr>
                  <w:rStyle w:val="Hyperlink"/>
                  <w:rFonts w:cs="Tahoma"/>
                  <w:b/>
                  <w:sz w:val="13"/>
                  <w:szCs w:val="13"/>
                </w:rPr>
                <w:t>4</w:t>
              </w:r>
            </w:hyperlink>
          </w:p>
        </w:tc>
        <w:tc>
          <w:tcPr>
            <w:tcW w:w="429" w:type="dxa"/>
            <w:shd w:val="clear" w:color="auto" w:fill="FFFFF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01/06</w:t>
            </w:r>
          </w:p>
        </w:tc>
        <w:tc>
          <w:tcPr>
            <w:tcW w:w="429" w:type="dxa"/>
            <w:tcBorders>
              <w:righ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p>
        </w:tc>
        <w:tc>
          <w:tcPr>
            <w:tcW w:w="429" w:type="dxa"/>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5</w:t>
            </w:r>
          </w:p>
        </w:tc>
        <w:tc>
          <w:tcPr>
            <w:tcW w:w="429" w:type="dxa"/>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p>
        </w:tc>
        <w:tc>
          <w:tcPr>
            <w:tcW w:w="429" w:type="dxa"/>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tcBorders>
              <w:righ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lef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FFFF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FFFFFF"/>
            <w:vAlign w:val="center"/>
          </w:tcPr>
          <w:p w:rsidR="008B1196" w:rsidRPr="00EB4D74" w:rsidRDefault="008B1196" w:rsidP="00EA30FC">
            <w:pPr>
              <w:pStyle w:val="TableText"/>
              <w:rPr>
                <w:rFonts w:ascii="Tahoma" w:hAnsi="Tahoma" w:cs="Tahoma"/>
              </w:rPr>
            </w:pPr>
            <w:r w:rsidRPr="00EB4D74">
              <w:rPr>
                <w:rFonts w:ascii="Tahoma" w:hAnsi="Tahoma" w:cs="Tahoma"/>
                <w:sz w:val="13"/>
                <w:lang w:val="pt-BR"/>
              </w:rPr>
              <w:t>LO/SA/</w:t>
            </w:r>
          </w:p>
          <w:p w:rsidR="008B1196" w:rsidRPr="00EB4D74" w:rsidRDefault="008B1196" w:rsidP="00EA30FC">
            <w:pPr>
              <w:pStyle w:val="TableText"/>
              <w:rPr>
                <w:rFonts w:ascii="Tahoma" w:hAnsi="Tahoma" w:cs="Tahoma"/>
                <w:sz w:val="13"/>
              </w:rPr>
            </w:pPr>
            <w:r w:rsidRPr="00EB4D74">
              <w:rPr>
                <w:rFonts w:ascii="Tahoma" w:hAnsi="Tahoma" w:cs="Tahoma"/>
                <w:sz w:val="13"/>
                <w:lang w:val="pt-BR"/>
              </w:rPr>
              <w:t>OV</w:t>
            </w: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52" w:name="_Toc336337859"/>
            <w:bookmarkStart w:id="53" w:name="_Toc342914516"/>
            <w:bookmarkEnd w:id="52"/>
            <w:r w:rsidRPr="00EB4D74">
              <w:rPr>
                <w:rFonts w:ascii="Tahoma" w:hAnsi="Tahoma" w:cs="Tahoma"/>
                <w:b w:val="0"/>
                <w:sz w:val="14"/>
                <w:lang w:val="pt-BR"/>
              </w:rPr>
              <w:t>Office 365 A2 (SL de Usuário)</w:t>
            </w:r>
            <w:bookmarkEnd w:id="53"/>
          </w:p>
        </w:tc>
        <w:tc>
          <w:tcPr>
            <w:tcW w:w="429"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hyperlink w:anchor="_6_Office_365" w:history="1">
              <w:r w:rsidRPr="00EB4D74">
                <w:rPr>
                  <w:rStyle w:val="Hyperlink"/>
                  <w:rFonts w:cs="Tahoma"/>
                  <w:b/>
                  <w:sz w:val="13"/>
                  <w:szCs w:val="13"/>
                </w:rPr>
                <w:t>5</w:t>
              </w:r>
            </w:hyperlink>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06/12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OSB</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Del="000365B0"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EOLS</w:t>
            </w: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54" w:name="_Toc336337860"/>
            <w:bookmarkStart w:id="55" w:name="_Toc342914517"/>
            <w:bookmarkEnd w:id="54"/>
            <w:r w:rsidRPr="00EB4D74">
              <w:rPr>
                <w:rFonts w:ascii="Tahoma" w:hAnsi="Tahoma" w:cs="Tahoma"/>
                <w:b w:val="0"/>
                <w:sz w:val="14"/>
                <w:lang w:val="pt-BR"/>
              </w:rPr>
              <w:t>Office 365 A3 (SL de Usuário)</w:t>
            </w:r>
            <w:bookmarkEnd w:id="55"/>
          </w:p>
        </w:tc>
        <w:tc>
          <w:tcPr>
            <w:tcW w:w="429" w:type="dxa"/>
            <w:shd w:val="clear" w:color="auto" w:fill="FFFFFF"/>
            <w:vAlign w:val="center"/>
          </w:tcPr>
          <w:p w:rsidR="008B1196" w:rsidRPr="00EB4D74" w:rsidRDefault="008B1196" w:rsidP="00EA30FC">
            <w:pPr>
              <w:pStyle w:val="TableText"/>
              <w:widowControl w:val="0"/>
              <w:rPr>
                <w:rFonts w:cs="Tahoma"/>
                <w:b/>
                <w:color w:val="0000FF"/>
                <w:sz w:val="13"/>
                <w:szCs w:val="13"/>
                <w:u w:val="single"/>
              </w:rPr>
            </w:pPr>
            <w:hyperlink w:anchor="_6_Office_365" w:history="1">
              <w:r w:rsidRPr="00EB4D74">
                <w:rPr>
                  <w:rStyle w:val="Hyperlink"/>
                  <w:rFonts w:cs="Tahoma"/>
                  <w:b/>
                  <w:sz w:val="13"/>
                  <w:szCs w:val="13"/>
                </w:rPr>
                <w:t>5</w:t>
              </w:r>
            </w:hyperlink>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06/12</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OSB</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FFFFF"/>
            <w:vAlign w:val="center"/>
          </w:tcPr>
          <w:p w:rsidR="008B1196" w:rsidRPr="00EB4D74" w:rsidDel="000365B0"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EOLS</w:t>
            </w: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56" w:name="_Toc336337861"/>
            <w:bookmarkStart w:id="57" w:name="_Toc342914518"/>
            <w:bookmarkEnd w:id="56"/>
            <w:r w:rsidRPr="00EB4D74">
              <w:rPr>
                <w:rFonts w:ascii="Tahoma" w:hAnsi="Tahoma" w:cs="Tahoma"/>
                <w:b w:val="0"/>
                <w:sz w:val="14"/>
                <w:lang w:val="pt-BR"/>
              </w:rPr>
              <w:t>Office 365 A4 (SL de Usuário)</w:t>
            </w:r>
            <w:bookmarkEnd w:id="57"/>
          </w:p>
        </w:tc>
        <w:tc>
          <w:tcPr>
            <w:tcW w:w="429"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hyperlink w:anchor="_6_Office_365" w:history="1">
              <w:r w:rsidRPr="00EB4D74">
                <w:rPr>
                  <w:rStyle w:val="Hyperlink"/>
                  <w:rFonts w:cs="Tahoma"/>
                  <w:b/>
                  <w:sz w:val="13"/>
                  <w:szCs w:val="13"/>
                </w:rPr>
                <w:t>5</w:t>
              </w:r>
            </w:hyperlink>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06/12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OSB</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Del="000365B0"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EOLS</w:t>
            </w: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lang w:val="it-IT"/>
              </w:rPr>
            </w:pPr>
            <w:bookmarkStart w:id="58" w:name="_Toc291024473"/>
            <w:bookmarkStart w:id="59" w:name="_Toc336337862"/>
            <w:bookmarkStart w:id="60" w:name="_Toc342914519"/>
            <w:bookmarkEnd w:id="58"/>
            <w:bookmarkEnd w:id="59"/>
            <w:r w:rsidRPr="00EB4D74">
              <w:rPr>
                <w:rFonts w:ascii="Tahoma" w:hAnsi="Tahoma" w:cs="Tahoma"/>
                <w:b w:val="0"/>
                <w:sz w:val="14"/>
                <w:lang w:val="pt-BR"/>
              </w:rPr>
              <w:t>Office 365 Plano E2 (SL de Usuário)</w:t>
            </w:r>
            <w:bookmarkEnd w:id="60"/>
          </w:p>
        </w:tc>
        <w:tc>
          <w:tcPr>
            <w:tcW w:w="429" w:type="dxa"/>
            <w:shd w:val="clear" w:color="auto" w:fill="FFFFFF"/>
            <w:vAlign w:val="center"/>
          </w:tcPr>
          <w:p w:rsidR="008B1196" w:rsidRPr="00EB4D74" w:rsidRDefault="008B1196" w:rsidP="00EA30FC">
            <w:pPr>
              <w:pStyle w:val="TableText"/>
              <w:widowControl w:val="0"/>
              <w:rPr>
                <w:rFonts w:cs="Tahoma"/>
                <w:b/>
                <w:color w:val="0000FF"/>
                <w:sz w:val="13"/>
                <w:szCs w:val="13"/>
                <w:u w:val="single"/>
              </w:rPr>
            </w:pPr>
            <w:hyperlink w:anchor="_7_Office_365" w:history="1">
              <w:r w:rsidRPr="00EB4D74">
                <w:rPr>
                  <w:rStyle w:val="Hyperlink"/>
                  <w:rFonts w:cs="Tahoma"/>
                  <w:b/>
                  <w:sz w:val="13"/>
                  <w:szCs w:val="13"/>
                </w:rPr>
                <w:t>6</w:t>
              </w:r>
            </w:hyperlink>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06/11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OSB</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EOLS</w:t>
            </w: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FFFFF"/>
          </w:tcPr>
          <w:p w:rsidR="008B1196" w:rsidRPr="00EB4D74" w:rsidRDefault="008B1196" w:rsidP="00EA30FC">
            <w:pPr>
              <w:pStyle w:val="TableText"/>
              <w:widowControl w:val="0"/>
              <w:rPr>
                <w:rFonts w:ascii="Tahoma" w:hAnsi="Tahoma" w:cs="Tahoma"/>
                <w:sz w:val="13"/>
              </w:rPr>
            </w:pP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lang w:val="it-IT"/>
              </w:rPr>
            </w:pPr>
            <w:bookmarkStart w:id="61" w:name="_Toc291024474"/>
            <w:bookmarkStart w:id="62" w:name="_Toc336337863"/>
            <w:bookmarkStart w:id="63" w:name="_Toc342914520"/>
            <w:bookmarkEnd w:id="61"/>
            <w:bookmarkEnd w:id="62"/>
            <w:r w:rsidRPr="00EB4D74">
              <w:rPr>
                <w:rFonts w:ascii="Tahoma" w:hAnsi="Tahoma" w:cs="Tahoma"/>
                <w:b w:val="0"/>
                <w:sz w:val="14"/>
                <w:lang w:val="pt-BR"/>
              </w:rPr>
              <w:t>Office 365 Plano E3 (SL de Usuário)</w:t>
            </w:r>
            <w:bookmarkEnd w:id="63"/>
          </w:p>
        </w:tc>
        <w:tc>
          <w:tcPr>
            <w:tcW w:w="429"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hyperlink w:anchor="_7_Office_365" w:history="1">
              <w:r w:rsidRPr="00EB4D74">
                <w:rPr>
                  <w:rStyle w:val="Hyperlink"/>
                  <w:rFonts w:cs="Tahoma"/>
                  <w:b/>
                  <w:sz w:val="13"/>
                  <w:szCs w:val="13"/>
                </w:rPr>
                <w:t>6</w:t>
              </w:r>
            </w:hyperlink>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06/11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OSB</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EOLS</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FFFFF"/>
            <w:vAlign w:val="center"/>
          </w:tcPr>
          <w:p w:rsidR="008B1196" w:rsidRPr="00EB4D74" w:rsidRDefault="008B1196" w:rsidP="00EA30FC">
            <w:pPr>
              <w:pStyle w:val="Heading2"/>
              <w:spacing w:beforeLines="20" w:before="48" w:afterLines="20" w:after="48"/>
              <w:ind w:left="0"/>
              <w:rPr>
                <w:rFonts w:ascii="Tahoma" w:hAnsi="Tahoma" w:cs="Tahoma"/>
                <w:b w:val="0"/>
                <w:sz w:val="14"/>
                <w:lang w:val="it-IT"/>
              </w:rPr>
            </w:pPr>
            <w:bookmarkStart w:id="64" w:name="_Toc291024475"/>
            <w:bookmarkStart w:id="65" w:name="_Toc336337864"/>
            <w:bookmarkStart w:id="66" w:name="_Toc342914521"/>
            <w:bookmarkEnd w:id="64"/>
            <w:bookmarkEnd w:id="65"/>
            <w:r w:rsidRPr="00EB4D74">
              <w:rPr>
                <w:rFonts w:ascii="Tahoma" w:hAnsi="Tahoma" w:cs="Tahoma"/>
                <w:b w:val="0"/>
                <w:sz w:val="14"/>
                <w:lang w:val="pt-BR"/>
              </w:rPr>
              <w:t>Office 365 Plano E4 (SL de Usuário)</w:t>
            </w:r>
            <w:bookmarkEnd w:id="66"/>
          </w:p>
        </w:tc>
        <w:tc>
          <w:tcPr>
            <w:tcW w:w="429" w:type="dxa"/>
            <w:shd w:val="clear" w:color="auto" w:fill="FFFFFF"/>
            <w:vAlign w:val="center"/>
          </w:tcPr>
          <w:p w:rsidR="008B1196" w:rsidRPr="00EB4D74" w:rsidRDefault="008B1196" w:rsidP="00EA30FC">
            <w:pPr>
              <w:pStyle w:val="TableText"/>
              <w:widowControl w:val="0"/>
              <w:rPr>
                <w:rFonts w:cs="Tahoma"/>
                <w:b/>
                <w:color w:val="0000FF"/>
                <w:sz w:val="13"/>
                <w:szCs w:val="13"/>
                <w:u w:val="single"/>
              </w:rPr>
            </w:pPr>
            <w:hyperlink w:anchor="_7_Office_365" w:history="1">
              <w:r w:rsidRPr="00EB4D74">
                <w:rPr>
                  <w:rStyle w:val="Hyperlink"/>
                  <w:rFonts w:cs="Tahoma"/>
                  <w:b/>
                  <w:sz w:val="13"/>
                  <w:szCs w:val="13"/>
                </w:rPr>
                <w:t>6</w:t>
              </w:r>
            </w:hyperlink>
          </w:p>
        </w:tc>
        <w:tc>
          <w:tcPr>
            <w:tcW w:w="429" w:type="dxa"/>
            <w:shd w:val="clear" w:color="auto" w:fill="FFFFF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0611</w:t>
            </w: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OSB</w:t>
            </w: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EOLS</w:t>
            </w:r>
          </w:p>
        </w:tc>
        <w:tc>
          <w:tcPr>
            <w:tcW w:w="429"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FFFFF"/>
          </w:tcPr>
          <w:p w:rsidR="008B1196" w:rsidRPr="00EB4D74" w:rsidRDefault="008B1196" w:rsidP="00EA30FC">
            <w:pPr>
              <w:pStyle w:val="TableText"/>
              <w:widowControl w:val="0"/>
              <w:rPr>
                <w:rFonts w:ascii="Tahoma" w:hAnsi="Tahoma" w:cs="Tahoma"/>
                <w:sz w:val="13"/>
              </w:rPr>
            </w:pPr>
          </w:p>
        </w:tc>
        <w:tc>
          <w:tcPr>
            <w:tcW w:w="514" w:type="dxa"/>
            <w:shd w:val="clear" w:color="auto" w:fill="FFFFF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67" w:name="_Toc342914522"/>
            <w:r w:rsidRPr="00EB4D74">
              <w:rPr>
                <w:rFonts w:ascii="Tahoma" w:hAnsi="Tahoma" w:cs="Tahoma"/>
                <w:b w:val="0"/>
                <w:sz w:val="14"/>
                <w:lang w:val="pt-BR"/>
              </w:rPr>
              <w:t>Office Home e Student RT 2013</w:t>
            </w:r>
            <w:bookmarkEnd w:id="67"/>
          </w:p>
        </w:tc>
        <w:tc>
          <w:tcPr>
            <w:tcW w:w="429"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p>
        </w:tc>
        <w:tc>
          <w:tcPr>
            <w:tcW w:w="429" w:type="dxa"/>
            <w:shd w:val="clear" w:color="auto" w:fill="FABF8F"/>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68" w:name="_Toc336337865"/>
            <w:bookmarkStart w:id="69" w:name="_Toc342914523"/>
            <w:bookmarkEnd w:id="68"/>
            <w:r w:rsidRPr="00EB4D74">
              <w:rPr>
                <w:rFonts w:ascii="Tahoma" w:hAnsi="Tahoma" w:cs="Tahoma"/>
                <w:b w:val="0"/>
                <w:sz w:val="14"/>
                <w:lang w:val="pt-BR"/>
              </w:rPr>
              <w:t>Office para Mac Standard 2011</w:t>
            </w:r>
            <w:bookmarkEnd w:id="69"/>
          </w:p>
        </w:tc>
        <w:tc>
          <w:tcPr>
            <w:tcW w:w="429" w:type="dxa"/>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Srv_4OfficeMacStandard2011" w:history="1">
              <w:r w:rsidRPr="00EB4D74">
                <w:rPr>
                  <w:rStyle w:val="Hyperlink"/>
                  <w:rFonts w:cs="Tahoma"/>
                  <w:b/>
                  <w:sz w:val="13"/>
                  <w:szCs w:val="13"/>
                </w:rPr>
                <w:t>7</w:t>
              </w:r>
            </w:hyperlink>
          </w:p>
        </w:tc>
        <w:tc>
          <w:tcPr>
            <w:tcW w:w="429" w:type="dxa"/>
            <w:vAlign w:val="center"/>
          </w:tcPr>
          <w:p w:rsidR="008B1196" w:rsidRPr="00EB4D74" w:rsidRDefault="008B1196" w:rsidP="00EA30FC">
            <w:pPr>
              <w:pStyle w:val="TableText"/>
              <w:widowControl w:val="0"/>
              <w:spacing w:beforeLines="60" w:before="144"/>
              <w:rPr>
                <w:rFonts w:ascii="Tahoma" w:hAnsi="Tahoma" w:cs="Tahoma"/>
                <w:sz w:val="13"/>
              </w:rPr>
            </w:pPr>
            <w:r w:rsidRPr="00EB4D74">
              <w:rPr>
                <w:rFonts w:ascii="Tahoma" w:hAnsi="Tahoma" w:cs="Tahoma"/>
                <w:sz w:val="13"/>
              </w:rPr>
              <w:t>09/10</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5</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lef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w:t>
            </w:r>
          </w:p>
        </w:tc>
        <w:tc>
          <w:tcPr>
            <w:tcW w:w="514" w:type="dxa"/>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87"/>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70" w:name="_Office_Multi-Language_Pack"/>
            <w:bookmarkStart w:id="71" w:name="_Toc336337866"/>
            <w:bookmarkStart w:id="72" w:name="_Toc342914524"/>
            <w:bookmarkEnd w:id="70"/>
            <w:bookmarkEnd w:id="71"/>
            <w:r w:rsidRPr="00EB4D74">
              <w:rPr>
                <w:rFonts w:ascii="Tahoma" w:hAnsi="Tahoma" w:cs="Tahoma"/>
                <w:b w:val="0"/>
                <w:sz w:val="14"/>
                <w:lang w:val="pt-BR"/>
              </w:rPr>
              <w:t>Office Multi-Language Pack 2013</w:t>
            </w:r>
            <w:bookmarkEnd w:id="72"/>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7_Office_Multi-Language" w:history="1">
              <w:r w:rsidRPr="00EB4D74">
                <w:rPr>
                  <w:rStyle w:val="Hyperlink"/>
                  <w:rFonts w:cs="Tahoma"/>
                  <w:b/>
                  <w:sz w:val="13"/>
                  <w:szCs w:val="13"/>
                </w:rPr>
                <w:t>8</w:t>
              </w:r>
            </w:hyperlink>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514" w:type="dxa"/>
            <w:shd w:val="clear" w:color="auto" w:fill="FABF8F"/>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A</w:t>
            </w: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332"/>
        </w:trPr>
        <w:tc>
          <w:tcPr>
            <w:tcW w:w="2638" w:type="dxa"/>
            <w:vAlign w:val="center"/>
          </w:tcPr>
          <w:p w:rsidR="008B1196" w:rsidRPr="00EB4D74" w:rsidRDefault="008B1196" w:rsidP="00EA30FC">
            <w:pPr>
              <w:pStyle w:val="ProductNames"/>
              <w:spacing w:beforeLines="20" w:before="48" w:afterLines="20" w:after="48"/>
              <w:rPr>
                <w:rFonts w:ascii="Tahoma" w:hAnsi="Tahoma" w:cs="Tahoma"/>
                <w:sz w:val="14"/>
              </w:rPr>
            </w:pPr>
            <w:bookmarkStart w:id="73" w:name="_Toc336337867"/>
            <w:bookmarkStart w:id="74" w:name="_Toc342914525"/>
            <w:bookmarkEnd w:id="73"/>
            <w:r w:rsidRPr="00EB4D74">
              <w:rPr>
                <w:rFonts w:ascii="Tahoma" w:hAnsi="Tahoma" w:cs="Tahoma"/>
                <w:sz w:val="14"/>
                <w:lang w:val="pt-BR"/>
              </w:rPr>
              <w:t>Office Professional Plus 2013</w:t>
            </w:r>
            <w:bookmarkEnd w:id="74"/>
          </w:p>
        </w:tc>
        <w:tc>
          <w:tcPr>
            <w:tcW w:w="429" w:type="dxa"/>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9_Office_Professional" w:history="1">
              <w:r w:rsidRPr="00EB4D74">
                <w:rPr>
                  <w:rStyle w:val="Hyperlink"/>
                  <w:rFonts w:cs="Tahoma"/>
                  <w:b/>
                  <w:sz w:val="13"/>
                  <w:szCs w:val="13"/>
                </w:rPr>
                <w:t>9</w:t>
              </w:r>
            </w:hyperlink>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10/12</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u w:val="single"/>
              </w:rPr>
            </w:pPr>
            <w:r w:rsidRPr="00EB4D74">
              <w:rPr>
                <w:rFonts w:ascii="Tahoma" w:hAnsi="Tahoma" w:cs="Tahoma"/>
                <w:sz w:val="13"/>
                <w:u w:val="single"/>
                <w:lang w:val="pt-BR"/>
              </w:rPr>
              <w:t>DT</w:t>
            </w:r>
          </w:p>
        </w:tc>
        <w:tc>
          <w:tcPr>
            <w:tcW w:w="429" w:type="dxa"/>
            <w:tcBorders>
              <w:lef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5</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lef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w:t>
            </w:r>
          </w:p>
        </w:tc>
        <w:tc>
          <w:tcPr>
            <w:tcW w:w="429" w:type="dxa"/>
            <w:tcBorders>
              <w:left w:val="single" w:sz="18" w:space="0" w:color="auto"/>
              <w:right w:val="single" w:sz="18" w:space="0" w:color="auto"/>
            </w:tcBorders>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 P</w:t>
            </w:r>
          </w:p>
        </w:tc>
        <w:tc>
          <w:tcPr>
            <w:tcW w:w="514" w:type="dxa"/>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E,ST</w:t>
            </w:r>
          </w:p>
        </w:tc>
        <w:tc>
          <w:tcPr>
            <w:tcW w:w="514" w:type="dxa"/>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278"/>
        </w:trPr>
        <w:tc>
          <w:tcPr>
            <w:tcW w:w="2638" w:type="dxa"/>
            <w:shd w:val="clear" w:color="auto" w:fill="FABF8F"/>
            <w:vAlign w:val="center"/>
          </w:tcPr>
          <w:p w:rsidR="008B1196" w:rsidRPr="00EB4D74" w:rsidRDefault="008B1196" w:rsidP="00EA30FC">
            <w:pPr>
              <w:pStyle w:val="Heading3"/>
              <w:spacing w:beforeLines="20" w:before="48" w:afterLines="20" w:after="48"/>
              <w:rPr>
                <w:rFonts w:ascii="Tahoma" w:hAnsi="Tahoma" w:cs="Tahoma"/>
                <w:b w:val="0"/>
                <w:sz w:val="14"/>
              </w:rPr>
            </w:pPr>
            <w:bookmarkStart w:id="75" w:name="_Toc336337868"/>
            <w:bookmarkStart w:id="76" w:name="_Toc342914526"/>
            <w:bookmarkEnd w:id="75"/>
            <w:r w:rsidRPr="00EB4D74">
              <w:rPr>
                <w:rFonts w:ascii="Tahoma" w:hAnsi="Tahoma" w:cs="Tahoma"/>
                <w:b w:val="0"/>
                <w:sz w:val="14"/>
                <w:lang w:val="pt-BR"/>
              </w:rPr>
              <w:t>Office Standard 2013</w:t>
            </w:r>
            <w:bookmarkEnd w:id="76"/>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Aps_OfficeStandard2010" w:history="1">
              <w:r w:rsidRPr="00EB4D74">
                <w:rPr>
                  <w:rStyle w:val="Hyperlink"/>
                  <w:rFonts w:cs="Tahoma"/>
                  <w:b/>
                  <w:sz w:val="13"/>
                  <w:szCs w:val="13"/>
                </w:rPr>
                <w:t>10</w:t>
              </w:r>
            </w:hyperlink>
          </w:p>
        </w:tc>
        <w:tc>
          <w:tcPr>
            <w:tcW w:w="429" w:type="dxa"/>
            <w:shd w:val="clear" w:color="auto" w:fill="FABF8F"/>
            <w:vAlign w:val="center"/>
          </w:tcPr>
          <w:p w:rsidR="008B1196" w:rsidRPr="00EB4D74" w:rsidRDefault="008B1196" w:rsidP="00EA30FC">
            <w:pPr>
              <w:pStyle w:val="TableText"/>
              <w:widowControl w:val="0"/>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b/>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5</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4</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305"/>
        </w:trPr>
        <w:tc>
          <w:tcPr>
            <w:tcW w:w="2638" w:type="dxa"/>
          </w:tcPr>
          <w:p w:rsidR="008B1196" w:rsidRPr="00EB4D74" w:rsidRDefault="008B1196" w:rsidP="00EA30FC">
            <w:pPr>
              <w:pStyle w:val="Heading2"/>
              <w:spacing w:beforeLines="20" w:before="48" w:afterLines="20" w:after="48"/>
              <w:ind w:left="0"/>
              <w:rPr>
                <w:rFonts w:ascii="Tahoma" w:hAnsi="Tahoma" w:cs="Tahoma"/>
                <w:b w:val="0"/>
                <w:sz w:val="14"/>
              </w:rPr>
            </w:pPr>
            <w:bookmarkStart w:id="77" w:name="_Toc336337869"/>
            <w:bookmarkStart w:id="78" w:name="_Toc342914527"/>
            <w:bookmarkEnd w:id="77"/>
            <w:r w:rsidRPr="00EB4D74">
              <w:rPr>
                <w:rFonts w:ascii="Tahoma" w:hAnsi="Tahoma" w:cs="Tahoma"/>
                <w:b w:val="0"/>
                <w:sz w:val="14"/>
                <w:lang w:val="pt-BR"/>
              </w:rPr>
              <w:t>Assinatura do Office Professional Plus (SL de Usuário)</w:t>
            </w:r>
            <w:bookmarkEnd w:id="78"/>
          </w:p>
        </w:tc>
        <w:tc>
          <w:tcPr>
            <w:tcW w:w="429" w:type="dxa"/>
          </w:tcPr>
          <w:p w:rsidR="008B1196" w:rsidRPr="00EB4D74" w:rsidRDefault="008B1196" w:rsidP="00EA30FC">
            <w:pPr>
              <w:pStyle w:val="TableText"/>
              <w:widowControl w:val="0"/>
              <w:spacing w:before="120"/>
              <w:rPr>
                <w:rFonts w:cs="Tahoma"/>
                <w:b/>
                <w:color w:val="0000FF"/>
                <w:sz w:val="13"/>
                <w:szCs w:val="13"/>
                <w:u w:val="single"/>
              </w:rPr>
            </w:pPr>
            <w:hyperlink w:anchor="Aps_9OfficeProPlusSubUserSL" w:history="1">
              <w:r w:rsidRPr="00EB4D74">
                <w:rPr>
                  <w:rStyle w:val="Hyperlink"/>
                  <w:rFonts w:cs="Tahoma"/>
                  <w:b/>
                  <w:sz w:val="13"/>
                  <w:szCs w:val="13"/>
                </w:rPr>
                <w:t>11</w:t>
              </w:r>
            </w:hyperlink>
          </w:p>
        </w:tc>
        <w:tc>
          <w:tcPr>
            <w:tcW w:w="429" w:type="dxa"/>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06/11</w:t>
            </w:r>
          </w:p>
        </w:tc>
        <w:tc>
          <w:tcPr>
            <w:tcW w:w="429" w:type="dxa"/>
            <w:tcBorders>
              <w:right w:val="single" w:sz="18" w:space="0" w:color="auto"/>
            </w:tcBorders>
          </w:tcPr>
          <w:p w:rsidR="008B1196" w:rsidRPr="00EB4D74" w:rsidRDefault="008B1196" w:rsidP="00EA30FC">
            <w:pPr>
              <w:pStyle w:val="TableText"/>
              <w:rPr>
                <w:rFonts w:ascii="Tahoma" w:hAnsi="Tahoma" w:cs="Tahoma"/>
                <w:sz w:val="13"/>
              </w:rPr>
            </w:pPr>
          </w:p>
        </w:tc>
        <w:tc>
          <w:tcPr>
            <w:tcW w:w="429" w:type="dxa"/>
            <w:tcBorders>
              <w:left w:val="single" w:sz="18" w:space="0" w:color="auto"/>
            </w:tcBorders>
          </w:tcPr>
          <w:p w:rsidR="008B1196" w:rsidRPr="00EB4D74" w:rsidRDefault="008B1196" w:rsidP="00EA30FC">
            <w:pPr>
              <w:pStyle w:val="TableText"/>
              <w:rPr>
                <w:rFonts w:ascii="Tahoma" w:hAnsi="Tahoma" w:cs="Tahoma"/>
                <w:sz w:val="13"/>
              </w:rPr>
            </w:pPr>
          </w:p>
        </w:tc>
        <w:tc>
          <w:tcPr>
            <w:tcW w:w="429" w:type="dxa"/>
          </w:tcPr>
          <w:p w:rsidR="008B1196" w:rsidRPr="00EB4D74" w:rsidRDefault="008B1196" w:rsidP="00EA30FC">
            <w:pPr>
              <w:pStyle w:val="TableText"/>
              <w:rPr>
                <w:rFonts w:ascii="Tahoma" w:hAnsi="Tahoma" w:cs="Tahoma"/>
                <w:sz w:val="13"/>
              </w:rPr>
            </w:pPr>
          </w:p>
        </w:tc>
        <w:tc>
          <w:tcPr>
            <w:tcW w:w="429" w:type="dxa"/>
          </w:tcPr>
          <w:p w:rsidR="008B1196" w:rsidRPr="00EB4D74" w:rsidRDefault="008B1196" w:rsidP="00EA30FC">
            <w:pPr>
              <w:pStyle w:val="TableText"/>
              <w:rPr>
                <w:rFonts w:ascii="Tahoma" w:hAnsi="Tahoma" w:cs="Tahoma"/>
                <w:sz w:val="13"/>
              </w:rPr>
            </w:pPr>
          </w:p>
        </w:tc>
        <w:tc>
          <w:tcPr>
            <w:tcW w:w="429" w:type="dxa"/>
          </w:tcPr>
          <w:p w:rsidR="008B1196" w:rsidRPr="00EB4D74" w:rsidRDefault="008B1196" w:rsidP="00EA30FC">
            <w:pPr>
              <w:pStyle w:val="TableText"/>
              <w:rPr>
                <w:rFonts w:ascii="Tahoma" w:hAnsi="Tahoma" w:cs="Tahoma"/>
                <w:sz w:val="13"/>
              </w:rPr>
            </w:pPr>
          </w:p>
        </w:tc>
        <w:tc>
          <w:tcPr>
            <w:tcW w:w="429" w:type="dxa"/>
          </w:tcPr>
          <w:p w:rsidR="008B1196" w:rsidRPr="00EB4D74" w:rsidRDefault="008B1196" w:rsidP="00EA30FC">
            <w:pPr>
              <w:pStyle w:val="TableText"/>
              <w:rPr>
                <w:rFonts w:ascii="Tahoma" w:hAnsi="Tahoma" w:cs="Tahoma"/>
                <w:sz w:val="13"/>
              </w:rPr>
            </w:pPr>
          </w:p>
        </w:tc>
        <w:tc>
          <w:tcPr>
            <w:tcW w:w="429" w:type="dxa"/>
          </w:tcPr>
          <w:p w:rsidR="008B1196" w:rsidRPr="00EB4D74" w:rsidRDefault="008B1196" w:rsidP="00EA30FC">
            <w:pPr>
              <w:pStyle w:val="TableText"/>
              <w:rPr>
                <w:rFonts w:ascii="Tahoma" w:hAnsi="Tahoma" w:cs="Tahoma"/>
                <w:sz w:val="13"/>
              </w:rPr>
            </w:pPr>
          </w:p>
        </w:tc>
        <w:tc>
          <w:tcPr>
            <w:tcW w:w="429" w:type="dxa"/>
            <w:tcBorders>
              <w:right w:val="single" w:sz="18" w:space="0" w:color="auto"/>
            </w:tcBorders>
          </w:tcPr>
          <w:p w:rsidR="008B1196" w:rsidRPr="00EB4D74" w:rsidRDefault="008B1196" w:rsidP="00EA30FC">
            <w:pPr>
              <w:pStyle w:val="TableText"/>
              <w:rPr>
                <w:rFonts w:ascii="Tahoma" w:hAnsi="Tahoma" w:cs="Tahoma"/>
                <w:sz w:val="13"/>
              </w:rPr>
            </w:pPr>
          </w:p>
        </w:tc>
        <w:tc>
          <w:tcPr>
            <w:tcW w:w="429" w:type="dxa"/>
            <w:tcBorders>
              <w:left w:val="single" w:sz="18" w:space="0" w:color="auto"/>
            </w:tcBorders>
          </w:tcPr>
          <w:p w:rsidR="008B1196" w:rsidRPr="00EB4D74" w:rsidRDefault="008B1196" w:rsidP="00EA30FC">
            <w:pPr>
              <w:pStyle w:val="TableText"/>
              <w:rPr>
                <w:rFonts w:ascii="Tahoma" w:hAnsi="Tahoma" w:cs="Tahoma"/>
                <w:sz w:val="13"/>
              </w:rPr>
            </w:pPr>
          </w:p>
        </w:tc>
        <w:tc>
          <w:tcPr>
            <w:tcW w:w="429" w:type="dxa"/>
          </w:tcPr>
          <w:p w:rsidR="008B1196" w:rsidRPr="00EB4D74" w:rsidRDefault="008B1196" w:rsidP="00EA30FC">
            <w:pPr>
              <w:pStyle w:val="TableText"/>
              <w:rPr>
                <w:rFonts w:ascii="Tahoma" w:hAnsi="Tahoma" w:cs="Tahoma"/>
                <w:sz w:val="13"/>
              </w:rPr>
            </w:pPr>
          </w:p>
        </w:tc>
        <w:tc>
          <w:tcPr>
            <w:tcW w:w="429" w:type="dxa"/>
            <w:tcBorders>
              <w:right w:val="single" w:sz="18" w:space="0" w:color="auto"/>
            </w:tcBorders>
          </w:tcPr>
          <w:p w:rsidR="008B1196" w:rsidRPr="00EB4D74" w:rsidRDefault="008B1196" w:rsidP="00EA30FC">
            <w:pPr>
              <w:pStyle w:val="TableText"/>
              <w:rPr>
                <w:rFonts w:ascii="Tahoma" w:hAnsi="Tahoma" w:cs="Tahoma"/>
                <w:sz w:val="13"/>
              </w:rPr>
            </w:pPr>
          </w:p>
        </w:tc>
        <w:tc>
          <w:tcPr>
            <w:tcW w:w="429" w:type="dxa"/>
            <w:tcBorders>
              <w:left w:val="single" w:sz="18" w:space="0" w:color="auto"/>
            </w:tcBorders>
          </w:tcPr>
          <w:p w:rsidR="008B1196" w:rsidRPr="00EB4D74" w:rsidRDefault="008B1196" w:rsidP="00EA30FC">
            <w:pPr>
              <w:pStyle w:val="TableText"/>
              <w:rPr>
                <w:rFonts w:ascii="Tahoma" w:hAnsi="Tahoma" w:cs="Tahoma"/>
                <w:sz w:val="13"/>
              </w:rPr>
            </w:pPr>
          </w:p>
        </w:tc>
        <w:tc>
          <w:tcPr>
            <w:tcW w:w="429" w:type="dxa"/>
            <w:tcBorders>
              <w:right w:val="single" w:sz="18" w:space="0" w:color="auto"/>
            </w:tcBorders>
          </w:tcPr>
          <w:p w:rsidR="008B1196" w:rsidRPr="00EB4D74" w:rsidRDefault="008B1196" w:rsidP="00EA30FC">
            <w:pPr>
              <w:pStyle w:val="TableText"/>
              <w:rPr>
                <w:rFonts w:ascii="Tahoma" w:hAnsi="Tahoma" w:cs="Tahoma"/>
                <w:sz w:val="13"/>
              </w:rPr>
            </w:pPr>
            <w:r w:rsidRPr="00EB4D74">
              <w:rPr>
                <w:rFonts w:ascii="Tahoma" w:hAnsi="Tahoma" w:cs="Tahoma"/>
                <w:sz w:val="13"/>
                <w:lang w:val="pt-BR"/>
              </w:rPr>
              <w:t>E, S</w:t>
            </w:r>
          </w:p>
        </w:tc>
        <w:tc>
          <w:tcPr>
            <w:tcW w:w="429" w:type="dxa"/>
            <w:tcBorders>
              <w:left w:val="single" w:sz="18" w:space="0" w:color="auto"/>
              <w:right w:val="single" w:sz="18" w:space="0" w:color="auto"/>
            </w:tcBorders>
          </w:tcPr>
          <w:p w:rsidR="008B1196" w:rsidRPr="00EB4D74" w:rsidRDefault="008B1196" w:rsidP="00EA30FC">
            <w:pPr>
              <w:pStyle w:val="TableText"/>
              <w:rPr>
                <w:rFonts w:ascii="Tahoma" w:hAnsi="Tahoma" w:cs="Tahoma"/>
                <w:sz w:val="13"/>
              </w:rPr>
            </w:pPr>
          </w:p>
        </w:tc>
        <w:tc>
          <w:tcPr>
            <w:tcW w:w="514" w:type="dxa"/>
          </w:tcPr>
          <w:p w:rsidR="008B1196" w:rsidRPr="00EB4D74" w:rsidRDefault="008B1196" w:rsidP="00EA30FC">
            <w:pPr>
              <w:pStyle w:val="TableText"/>
              <w:rPr>
                <w:rFonts w:ascii="Tahoma" w:hAnsi="Tahoma" w:cs="Tahoma"/>
                <w:sz w:val="13"/>
              </w:rPr>
            </w:pPr>
          </w:p>
        </w:tc>
        <w:tc>
          <w:tcPr>
            <w:tcW w:w="514" w:type="dxa"/>
          </w:tcPr>
          <w:p w:rsidR="008B1196" w:rsidRPr="00EB4D74" w:rsidRDefault="008B1196" w:rsidP="00EA30FC">
            <w:pPr>
              <w:pStyle w:val="TableText"/>
              <w:rPr>
                <w:rFonts w:ascii="Tahoma" w:hAnsi="Tahoma" w:cs="Tahoma"/>
                <w:sz w:val="13"/>
              </w:rPr>
            </w:pPr>
          </w:p>
        </w:tc>
      </w:tr>
      <w:tr w:rsidR="008B1196" w:rsidRPr="00EB4D74" w:rsidTr="00EA30FC">
        <w:trPr>
          <w:cantSplit/>
          <w:trHeight w:val="305"/>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79" w:name="_Toc336337870"/>
            <w:bookmarkStart w:id="80" w:name="_Toc342914528"/>
            <w:bookmarkEnd w:id="79"/>
            <w:r w:rsidRPr="00EB4D74">
              <w:rPr>
                <w:rFonts w:ascii="Tahoma" w:hAnsi="Tahoma" w:cs="Tahoma"/>
                <w:b w:val="0"/>
                <w:sz w:val="14"/>
                <w:lang w:val="pt-BR"/>
              </w:rPr>
              <w:t>Assinatura A do Office Professional Plus (SL de Usuário)</w:t>
            </w:r>
            <w:bookmarkEnd w:id="80"/>
          </w:p>
        </w:tc>
        <w:tc>
          <w:tcPr>
            <w:tcW w:w="429"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06/12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E</w:t>
            </w: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305"/>
        </w:trPr>
        <w:tc>
          <w:tcPr>
            <w:tcW w:w="2638" w:type="dxa"/>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81" w:name="_Toc336337872"/>
            <w:bookmarkStart w:id="82" w:name="_Toc342914529"/>
            <w:bookmarkEnd w:id="81"/>
            <w:r w:rsidRPr="00EB4D74">
              <w:rPr>
                <w:rFonts w:ascii="Tahoma" w:hAnsi="Tahoma" w:cs="Tahoma"/>
                <w:b w:val="0"/>
                <w:sz w:val="14"/>
                <w:lang w:val="pt-BR"/>
              </w:rPr>
              <w:t>Aplicativos da Web do Office A (SL do Usuário)</w:t>
            </w:r>
            <w:bookmarkEnd w:id="82"/>
          </w:p>
        </w:tc>
        <w:tc>
          <w:tcPr>
            <w:tcW w:w="429" w:type="dxa"/>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6/12</w:t>
            </w: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vAlign w:val="center"/>
          </w:tcPr>
          <w:p w:rsidR="008B1196" w:rsidRPr="00EB4D74" w:rsidRDefault="008B1196" w:rsidP="00EA30FC">
            <w:pPr>
              <w:pStyle w:val="TableText"/>
              <w:rPr>
                <w:rFonts w:ascii="Tahoma" w:hAnsi="Tahoma" w:cs="Tahoma"/>
                <w:sz w:val="13"/>
              </w:rPr>
            </w:pPr>
          </w:p>
        </w:tc>
        <w:tc>
          <w:tcPr>
            <w:tcW w:w="429" w:type="dxa"/>
            <w:vAlign w:val="center"/>
          </w:tcPr>
          <w:p w:rsidR="008B1196" w:rsidRPr="00EB4D74" w:rsidRDefault="008B1196" w:rsidP="00EA30FC">
            <w:pPr>
              <w:pStyle w:val="TableText"/>
              <w:rPr>
                <w:rFonts w:ascii="Tahoma" w:hAnsi="Tahoma" w:cs="Tahoma"/>
                <w:sz w:val="13"/>
              </w:rPr>
            </w:pPr>
          </w:p>
        </w:tc>
        <w:tc>
          <w:tcPr>
            <w:tcW w:w="429" w:type="dxa"/>
            <w:vAlign w:val="center"/>
          </w:tcPr>
          <w:p w:rsidR="008B1196" w:rsidRPr="00EB4D74" w:rsidRDefault="008B1196" w:rsidP="00EA30FC">
            <w:pPr>
              <w:pStyle w:val="TableText"/>
              <w:rPr>
                <w:rFonts w:ascii="Tahoma" w:hAnsi="Tahoma" w:cs="Tahoma"/>
                <w:sz w:val="13"/>
              </w:rPr>
            </w:pPr>
          </w:p>
        </w:tc>
        <w:tc>
          <w:tcPr>
            <w:tcW w:w="429" w:type="dxa"/>
            <w:vAlign w:val="center"/>
          </w:tcPr>
          <w:p w:rsidR="008B1196" w:rsidRPr="00EB4D74" w:rsidRDefault="008B1196" w:rsidP="00EA30FC">
            <w:pPr>
              <w:pStyle w:val="TableText"/>
              <w:rPr>
                <w:rFonts w:ascii="Tahoma" w:hAnsi="Tahoma" w:cs="Tahoma"/>
                <w:sz w:val="13"/>
              </w:rPr>
            </w:pPr>
          </w:p>
        </w:tc>
        <w:tc>
          <w:tcPr>
            <w:tcW w:w="429" w:type="dxa"/>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p>
        </w:tc>
        <w:tc>
          <w:tcPr>
            <w:tcW w:w="514" w:type="dxa"/>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305"/>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83" w:name="_Toc336337873"/>
            <w:bookmarkStart w:id="84" w:name="_Toc342914530"/>
            <w:bookmarkEnd w:id="83"/>
            <w:r w:rsidRPr="00EB4D74">
              <w:rPr>
                <w:rFonts w:ascii="Tahoma" w:hAnsi="Tahoma" w:cs="Tahoma"/>
                <w:b w:val="0"/>
                <w:sz w:val="14"/>
                <w:lang w:val="pt-BR"/>
              </w:rPr>
              <w:lastRenderedPageBreak/>
              <w:t>OneNote</w:t>
            </w:r>
            <w:r w:rsidRPr="00EB4D74">
              <w:rPr>
                <w:rFonts w:ascii="Tahoma" w:hAnsi="Tahoma" w:cs="Tahoma"/>
                <w:b w:val="0"/>
                <w:sz w:val="14"/>
                <w:vertAlign w:val="superscript"/>
                <w:lang w:val="pt-BR"/>
              </w:rPr>
              <w:t>®</w:t>
            </w:r>
            <w:r w:rsidRPr="00EB4D74">
              <w:rPr>
                <w:rFonts w:ascii="Tahoma" w:hAnsi="Tahoma" w:cs="Tahoma"/>
                <w:b w:val="0"/>
                <w:sz w:val="14"/>
                <w:lang w:val="pt-BR"/>
              </w:rPr>
              <w:t xml:space="preserve"> 2013</w:t>
            </w:r>
            <w:bookmarkEnd w:id="84"/>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350"/>
        </w:trPr>
        <w:tc>
          <w:tcPr>
            <w:tcW w:w="2638" w:type="dxa"/>
            <w:vAlign w:val="center"/>
          </w:tcPr>
          <w:p w:rsidR="008B1196" w:rsidRPr="00EB4D74" w:rsidRDefault="008B1196" w:rsidP="00EA30FC">
            <w:pPr>
              <w:pStyle w:val="Heading2"/>
              <w:spacing w:beforeLines="20" w:before="48" w:afterLines="20" w:after="48"/>
              <w:ind w:left="0"/>
              <w:rPr>
                <w:rFonts w:ascii="Tahoma" w:hAnsi="Tahoma" w:cs="Tahoma"/>
                <w:b w:val="0"/>
                <w:sz w:val="14"/>
              </w:rPr>
            </w:pPr>
            <w:bookmarkStart w:id="85" w:name="_Toc336337874"/>
            <w:bookmarkStart w:id="86" w:name="_Toc342914531"/>
            <w:bookmarkEnd w:id="85"/>
            <w:r w:rsidRPr="00EB4D74">
              <w:rPr>
                <w:rFonts w:ascii="Tahoma" w:hAnsi="Tahoma" w:cs="Tahoma"/>
                <w:b w:val="0"/>
                <w:sz w:val="14"/>
                <w:lang w:val="pt-BR"/>
              </w:rPr>
              <w:t>Outlook</w:t>
            </w:r>
            <w:r w:rsidRPr="00EB4D74">
              <w:rPr>
                <w:rFonts w:ascii="Tahoma" w:hAnsi="Tahoma" w:cs="Tahoma"/>
                <w:b w:val="0"/>
                <w:sz w:val="14"/>
                <w:vertAlign w:val="superscript"/>
                <w:lang w:val="pt-BR"/>
              </w:rPr>
              <w:t>®</w:t>
            </w:r>
            <w:r w:rsidRPr="00EB4D74">
              <w:rPr>
                <w:rFonts w:ascii="Tahoma" w:hAnsi="Tahoma" w:cs="Tahoma"/>
                <w:b w:val="0"/>
                <w:sz w:val="14"/>
                <w:lang w:val="pt-BR"/>
              </w:rPr>
              <w:t xml:space="preserve"> 2013</w:t>
            </w:r>
            <w:bookmarkEnd w:id="86"/>
          </w:p>
        </w:tc>
        <w:tc>
          <w:tcPr>
            <w:tcW w:w="429" w:type="dxa"/>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tcPr>
          <w:p w:rsidR="008B1196" w:rsidRPr="00EB4D74" w:rsidRDefault="008B1196" w:rsidP="00EA30FC">
            <w:pPr>
              <w:pStyle w:val="TableText"/>
              <w:rPr>
                <w:rFonts w:ascii="Tahoma" w:hAnsi="Tahoma" w:cs="Tahoma"/>
                <w:sz w:val="13"/>
              </w:rPr>
            </w:pPr>
          </w:p>
        </w:tc>
        <w:tc>
          <w:tcPr>
            <w:tcW w:w="514" w:type="dxa"/>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305"/>
        </w:trPr>
        <w:tc>
          <w:tcPr>
            <w:tcW w:w="2638" w:type="dxa"/>
            <w:shd w:val="clear" w:color="auto" w:fill="FABF8F"/>
            <w:vAlign w:val="center"/>
          </w:tcPr>
          <w:p w:rsidR="008B1196" w:rsidRPr="00EB4D74" w:rsidRDefault="008B1196" w:rsidP="00EA30FC">
            <w:pPr>
              <w:pStyle w:val="Heading2"/>
              <w:spacing w:beforeLines="20" w:before="48" w:afterLines="20" w:after="48"/>
              <w:ind w:left="0"/>
              <w:rPr>
                <w:rFonts w:ascii="Tahoma" w:hAnsi="Tahoma" w:cs="Tahoma"/>
                <w:b w:val="0"/>
                <w:sz w:val="16"/>
                <w:szCs w:val="16"/>
              </w:rPr>
            </w:pPr>
            <w:bookmarkStart w:id="87" w:name="_Toc336337875"/>
            <w:bookmarkStart w:id="88" w:name="_Toc342914532"/>
            <w:bookmarkEnd w:id="87"/>
            <w:r w:rsidRPr="00EB4D74">
              <w:rPr>
                <w:rFonts w:ascii="Tahoma" w:hAnsi="Tahoma" w:cs="Tahoma"/>
                <w:b w:val="0"/>
                <w:sz w:val="14"/>
                <w:lang w:val="pt-BR"/>
              </w:rPr>
              <w:t>Outlook para Mac 2011</w:t>
            </w:r>
            <w:bookmarkEnd w:id="88"/>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12_Outlook_para" w:history="1">
              <w:r w:rsidRPr="00EB4D74">
                <w:rPr>
                  <w:rStyle w:val="Hyperlink"/>
                  <w:rFonts w:cs="Tahoma"/>
                  <w:b/>
                  <w:sz w:val="13"/>
                  <w:szCs w:val="13"/>
                </w:rPr>
                <w:t>12</w:t>
              </w:r>
            </w:hyperlink>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09/10</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widowControl w:val="0"/>
              <w:rPr>
                <w:rFonts w:ascii="Tahoma" w:hAnsi="Tahoma" w:cs="Tahoma"/>
                <w:sz w:val="13"/>
              </w:rPr>
            </w:pPr>
          </w:p>
        </w:tc>
        <w:tc>
          <w:tcPr>
            <w:tcW w:w="514" w:type="dxa"/>
            <w:shd w:val="clear" w:color="auto" w:fill="FABF8F"/>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305"/>
        </w:trPr>
        <w:tc>
          <w:tcPr>
            <w:tcW w:w="2638" w:type="dxa"/>
            <w:shd w:val="clear" w:color="auto" w:fill="auto"/>
            <w:vAlign w:val="center"/>
          </w:tcPr>
          <w:p w:rsidR="008B1196" w:rsidRPr="00EB4D74" w:rsidRDefault="008B1196" w:rsidP="00EA30FC">
            <w:pPr>
              <w:pStyle w:val="Heading3"/>
              <w:spacing w:beforeLines="20" w:before="48" w:afterLines="20" w:after="48"/>
              <w:rPr>
                <w:rFonts w:ascii="Tahoma" w:hAnsi="Tahoma" w:cs="Tahoma"/>
                <w:b w:val="0"/>
                <w:sz w:val="14"/>
              </w:rPr>
            </w:pPr>
            <w:bookmarkStart w:id="89" w:name="_Toc342914533"/>
            <w:r w:rsidRPr="00EB4D74">
              <w:rPr>
                <w:rFonts w:ascii="Tahoma" w:hAnsi="Tahoma" w:cs="Tahoma"/>
                <w:b w:val="0"/>
                <w:sz w:val="14"/>
                <w:lang w:val="pt-BR"/>
              </w:rPr>
              <w:t>PowerPoint 2013</w:t>
            </w:r>
            <w:bookmarkEnd w:id="89"/>
          </w:p>
        </w:tc>
        <w:tc>
          <w:tcPr>
            <w:tcW w:w="429" w:type="dxa"/>
            <w:shd w:val="clear" w:color="auto" w:fill="auto"/>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widowControl w:val="0"/>
              <w:rPr>
                <w:rFonts w:ascii="Tahoma" w:hAnsi="Tahoma" w:cs="Tahoma"/>
                <w:sz w:val="13"/>
              </w:rPr>
            </w:pPr>
          </w:p>
        </w:tc>
        <w:tc>
          <w:tcPr>
            <w:tcW w:w="514" w:type="dxa"/>
            <w:shd w:val="clear" w:color="auto" w:fill="auto"/>
            <w:vAlign w:val="center"/>
          </w:tcPr>
          <w:p w:rsidR="008B1196" w:rsidRPr="00EB4D74" w:rsidRDefault="008B1196" w:rsidP="00EA30FC">
            <w:pPr>
              <w:pStyle w:val="TableText"/>
              <w:widowControl w:val="0"/>
              <w:rPr>
                <w:rFonts w:ascii="Tahoma" w:hAnsi="Tahoma" w:cs="Tahoma"/>
                <w:sz w:val="13"/>
              </w:rPr>
            </w:pPr>
          </w:p>
        </w:tc>
      </w:tr>
      <w:tr w:rsidR="008B1196" w:rsidRPr="00EB4D74" w:rsidTr="00EA30FC">
        <w:trPr>
          <w:cantSplit/>
          <w:trHeight w:val="145"/>
        </w:trPr>
        <w:tc>
          <w:tcPr>
            <w:tcW w:w="2638" w:type="dxa"/>
            <w:shd w:val="clear" w:color="auto" w:fill="FABF8F"/>
          </w:tcPr>
          <w:p w:rsidR="008B1196" w:rsidRPr="00EB4D74" w:rsidRDefault="008B1196" w:rsidP="00EA30FC">
            <w:pPr>
              <w:pStyle w:val="Heading3"/>
              <w:spacing w:beforeLines="20" w:before="48" w:afterLines="20" w:after="48"/>
              <w:rPr>
                <w:rFonts w:ascii="Tahoma" w:hAnsi="Tahoma" w:cs="Tahoma"/>
                <w:b w:val="0"/>
                <w:sz w:val="14"/>
              </w:rPr>
            </w:pPr>
            <w:bookmarkStart w:id="90" w:name="_Toc336337878"/>
            <w:bookmarkStart w:id="91" w:name="_Toc342914534"/>
            <w:bookmarkEnd w:id="90"/>
            <w:r w:rsidRPr="00EB4D74">
              <w:rPr>
                <w:rFonts w:ascii="Tahoma" w:hAnsi="Tahoma" w:cs="Tahoma"/>
                <w:b w:val="0"/>
                <w:sz w:val="14"/>
                <w:lang w:val="pt-BR"/>
              </w:rPr>
              <w:t>PowerPoint para Mac 2011</w:t>
            </w:r>
            <w:bookmarkEnd w:id="91"/>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09/10</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auto"/>
          </w:tcPr>
          <w:p w:rsidR="008B1196" w:rsidRPr="00EB4D74" w:rsidRDefault="008B1196" w:rsidP="00EA30FC">
            <w:pPr>
              <w:pStyle w:val="Heading3"/>
              <w:spacing w:beforeLines="20" w:before="48" w:afterLines="20" w:after="48"/>
              <w:rPr>
                <w:rFonts w:ascii="Tahoma" w:hAnsi="Tahoma" w:cs="Tahoma"/>
                <w:b w:val="0"/>
                <w:sz w:val="14"/>
              </w:rPr>
            </w:pPr>
            <w:bookmarkStart w:id="92" w:name="_Toc336337879"/>
            <w:bookmarkStart w:id="93" w:name="_Toc342914535"/>
            <w:bookmarkEnd w:id="92"/>
            <w:r w:rsidRPr="00EB4D74">
              <w:rPr>
                <w:rFonts w:ascii="Tahoma" w:hAnsi="Tahoma" w:cs="Tahoma"/>
                <w:b w:val="0"/>
                <w:sz w:val="14"/>
                <w:lang w:val="pt-BR"/>
              </w:rPr>
              <w:t>Project 2013 Standard</w:t>
            </w:r>
            <w:bookmarkEnd w:id="93"/>
          </w:p>
        </w:tc>
        <w:tc>
          <w:tcPr>
            <w:tcW w:w="429" w:type="dxa"/>
            <w:shd w:val="clear" w:color="auto" w:fill="auto"/>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5</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p>
        </w:tc>
        <w:tc>
          <w:tcPr>
            <w:tcW w:w="514"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FABF8F"/>
          </w:tcPr>
          <w:p w:rsidR="008B1196" w:rsidRPr="00EB4D74" w:rsidRDefault="008B1196" w:rsidP="00EA30FC">
            <w:pPr>
              <w:pStyle w:val="Heading3"/>
              <w:spacing w:beforeLines="20" w:before="48" w:afterLines="20" w:after="48"/>
              <w:rPr>
                <w:rFonts w:ascii="Tahoma" w:hAnsi="Tahoma" w:cs="Tahoma"/>
                <w:b w:val="0"/>
                <w:sz w:val="14"/>
              </w:rPr>
            </w:pPr>
            <w:bookmarkStart w:id="94" w:name="_Toc336337880"/>
            <w:bookmarkStart w:id="95" w:name="_Toc342914536"/>
            <w:bookmarkEnd w:id="94"/>
            <w:r w:rsidRPr="00EB4D74">
              <w:rPr>
                <w:rFonts w:ascii="Tahoma" w:hAnsi="Tahoma" w:cs="Tahoma"/>
                <w:b w:val="0"/>
                <w:sz w:val="14"/>
                <w:lang w:val="pt-BR"/>
              </w:rPr>
              <w:t>Project 2013 Professional</w:t>
            </w:r>
            <w:bookmarkEnd w:id="95"/>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Aps_8Project2010Pro" w:history="1">
              <w:r w:rsidRPr="00EB4D74">
                <w:rPr>
                  <w:rStyle w:val="Hyperlink"/>
                  <w:rFonts w:cs="Tahoma"/>
                  <w:b/>
                  <w:sz w:val="13"/>
                  <w:szCs w:val="13"/>
                </w:rPr>
                <w:t>13</w:t>
              </w:r>
            </w:hyperlink>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4</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10</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8</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6</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6</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4</w:t>
            </w: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2</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4</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8</w:t>
            </w: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4</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AO, ST</w:t>
            </w: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auto"/>
          </w:tcPr>
          <w:p w:rsidR="008B1196" w:rsidRPr="00EB4D74" w:rsidRDefault="008B1196" w:rsidP="00EA30FC">
            <w:pPr>
              <w:pStyle w:val="Heading3"/>
              <w:spacing w:beforeLines="20" w:before="48" w:afterLines="20" w:after="48"/>
              <w:rPr>
                <w:rFonts w:ascii="Tahoma" w:hAnsi="Tahoma" w:cs="Tahoma"/>
                <w:b w:val="0"/>
                <w:sz w:val="14"/>
              </w:rPr>
            </w:pPr>
            <w:bookmarkStart w:id="96" w:name="_Toc342914537"/>
            <w:r w:rsidRPr="00EB4D74">
              <w:rPr>
                <w:rFonts w:ascii="Tahoma" w:hAnsi="Tahoma" w:cs="Tahoma"/>
                <w:b w:val="0"/>
                <w:sz w:val="14"/>
                <w:lang w:val="pt-BR"/>
              </w:rPr>
              <w:t>Publisher 2013</w:t>
            </w:r>
            <w:bookmarkEnd w:id="96"/>
          </w:p>
        </w:tc>
        <w:tc>
          <w:tcPr>
            <w:tcW w:w="429" w:type="dxa"/>
            <w:shd w:val="clear" w:color="auto" w:fill="auto"/>
            <w:vAlign w:val="center"/>
          </w:tcPr>
          <w:p w:rsidR="008B1196" w:rsidRPr="00EB4D74" w:rsidRDefault="008B1196" w:rsidP="00EA30FC">
            <w:pPr>
              <w:pStyle w:val="TableText"/>
              <w:widowControl w:val="0"/>
              <w:rPr>
                <w:rFonts w:cs="Tahoma"/>
                <w:b/>
                <w:color w:val="0000FF"/>
                <w:sz w:val="13"/>
                <w:szCs w:val="13"/>
                <w:u w:val="single"/>
              </w:rPr>
            </w:pPr>
            <w:bookmarkStart w:id="97" w:name="_Hlt335908485"/>
          </w:p>
        </w:tc>
        <w:bookmarkEnd w:id="97"/>
        <w:tc>
          <w:tcPr>
            <w:tcW w:w="429" w:type="dxa"/>
            <w:shd w:val="clear" w:color="auto" w:fill="auto"/>
            <w:vAlign w:val="center"/>
          </w:tcPr>
          <w:p w:rsidR="008B1196" w:rsidRPr="00EB4D74" w:rsidDel="00527D48"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1</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3</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2</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2</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2</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1</w:t>
            </w:r>
          </w:p>
        </w:tc>
        <w:tc>
          <w:tcPr>
            <w:tcW w:w="429" w:type="dxa"/>
            <w:tcBorders>
              <w:righ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1</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szCs w:val="13"/>
              </w:rPr>
            </w:pPr>
            <w:r w:rsidRPr="00EB4D74">
              <w:rPr>
                <w:rFonts w:ascii="Tahoma" w:hAnsi="Tahoma" w:cs="Tahoma"/>
                <w:sz w:val="13"/>
                <w:szCs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szCs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p>
        </w:tc>
        <w:tc>
          <w:tcPr>
            <w:tcW w:w="514"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FABF8F"/>
          </w:tcPr>
          <w:p w:rsidR="008B1196" w:rsidRPr="00EB4D74" w:rsidRDefault="008B1196" w:rsidP="00EA30FC">
            <w:pPr>
              <w:pStyle w:val="Heading3"/>
              <w:spacing w:beforeLines="20" w:before="48" w:afterLines="20" w:after="48"/>
              <w:rPr>
                <w:rFonts w:ascii="Tahoma" w:hAnsi="Tahoma" w:cs="Tahoma"/>
                <w:b w:val="0"/>
                <w:sz w:val="14"/>
              </w:rPr>
            </w:pPr>
            <w:bookmarkStart w:id="98" w:name="_Toc336337882"/>
            <w:bookmarkStart w:id="99" w:name="_Toc342914538"/>
            <w:bookmarkEnd w:id="98"/>
            <w:r w:rsidRPr="00EB4D74">
              <w:rPr>
                <w:rFonts w:ascii="Tahoma" w:hAnsi="Tahoma" w:cs="Tahoma"/>
                <w:b w:val="0"/>
                <w:sz w:val="14"/>
                <w:lang w:val="pt-BR"/>
              </w:rPr>
              <w:t>Direitos de Locação para Office Standard</w:t>
            </w:r>
            <w:bookmarkEnd w:id="99"/>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hyperlink w:anchor="_14_Direitos_De" w:history="1">
              <w:r w:rsidRPr="00EB4D74">
                <w:rPr>
                  <w:rStyle w:val="Hyperlink"/>
                  <w:rFonts w:cs="Tahoma"/>
                  <w:b/>
                  <w:sz w:val="13"/>
                  <w:szCs w:val="13"/>
                </w:rPr>
                <w:t>14</w:t>
              </w:r>
            </w:hyperlink>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4/09</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514" w:type="dxa"/>
            <w:shd w:val="clear" w:color="auto" w:fill="FABF8F"/>
          </w:tcPr>
          <w:p w:rsidR="008B1196" w:rsidRPr="00EB4D74" w:rsidRDefault="008B1196" w:rsidP="00EA30FC">
            <w:pPr>
              <w:pStyle w:val="TableText"/>
              <w:rPr>
                <w:rFonts w:ascii="Tahoma" w:hAnsi="Tahoma" w:cs="Tahoma"/>
                <w:sz w:val="13"/>
              </w:rPr>
            </w:pP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auto"/>
          </w:tcPr>
          <w:p w:rsidR="008B1196" w:rsidRPr="00EB4D74" w:rsidRDefault="008B1196" w:rsidP="00EA30FC">
            <w:pPr>
              <w:pStyle w:val="Heading3"/>
              <w:spacing w:beforeLines="20" w:before="48" w:afterLines="20" w:after="48"/>
              <w:rPr>
                <w:rFonts w:ascii="Tahoma" w:hAnsi="Tahoma" w:cs="Tahoma"/>
                <w:b w:val="0"/>
                <w:sz w:val="14"/>
              </w:rPr>
            </w:pPr>
            <w:bookmarkStart w:id="100" w:name="_Toc342914539"/>
            <w:r w:rsidRPr="00EB4D74">
              <w:rPr>
                <w:rFonts w:ascii="Tahoma" w:hAnsi="Tahoma" w:cs="Tahoma"/>
                <w:b w:val="0"/>
                <w:sz w:val="14"/>
                <w:lang w:val="pt-BR"/>
              </w:rPr>
              <w:t>Direitos de Locação para Office Professional Plus</w:t>
            </w:r>
            <w:bookmarkEnd w:id="100"/>
          </w:p>
        </w:tc>
        <w:bookmarkStart w:id="101" w:name="_Hlt335908495"/>
        <w:bookmarkEnd w:id="101"/>
        <w:tc>
          <w:tcPr>
            <w:tcW w:w="429" w:type="dxa"/>
            <w:shd w:val="clear" w:color="auto" w:fill="auto"/>
            <w:vAlign w:val="center"/>
          </w:tcPr>
          <w:p w:rsidR="008B1196" w:rsidRPr="00EB4D74" w:rsidRDefault="008B1196" w:rsidP="00EA30FC">
            <w:pPr>
              <w:pStyle w:val="TableText"/>
              <w:widowControl w:val="0"/>
              <w:rPr>
                <w:rStyle w:val="EndnoteReference"/>
                <w:rFonts w:cs="Tahoma"/>
                <w:color w:val="0000FF"/>
                <w:sz w:val="13"/>
                <w:szCs w:val="13"/>
                <w:u w:val="single"/>
              </w:rPr>
            </w:pPr>
            <w:r w:rsidRPr="00EB4D74">
              <w:fldChar w:fldCharType="begin"/>
            </w:r>
            <w:r w:rsidRPr="00EB4D74">
              <w:rPr>
                <w:sz w:val="13"/>
                <w:szCs w:val="13"/>
              </w:rPr>
              <w:instrText>HYPERLINK  \l "_14_Direitos_De"</w:instrText>
            </w:r>
            <w:r w:rsidRPr="00EB4D74">
              <w:fldChar w:fldCharType="separate"/>
            </w:r>
            <w:r w:rsidRPr="00EB4D74">
              <w:rPr>
                <w:rStyle w:val="Hyperlink"/>
                <w:rFonts w:cs="Tahoma"/>
                <w:b/>
                <w:sz w:val="13"/>
                <w:szCs w:val="13"/>
              </w:rPr>
              <w:t>14</w:t>
            </w:r>
            <w:r w:rsidRPr="00EB4D74">
              <w:rPr>
                <w:rStyle w:val="Hyperlink"/>
                <w:rFonts w:cs="Tahoma"/>
                <w:b/>
                <w:sz w:val="13"/>
                <w:szCs w:val="13"/>
              </w:rPr>
              <w:fldChar w:fldCharType="end"/>
            </w:r>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4/09</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auto"/>
            <w:vAlign w:val="center"/>
          </w:tcPr>
          <w:p w:rsidR="008B1196" w:rsidRPr="00EB4D74" w:rsidRDefault="008B1196" w:rsidP="00EA30FC">
            <w:pPr>
              <w:pStyle w:val="TableText"/>
              <w:rPr>
                <w:rFonts w:ascii="Tahoma" w:hAnsi="Tahoma" w:cs="Tahoma"/>
                <w:sz w:val="13"/>
              </w:rPr>
            </w:pPr>
          </w:p>
        </w:tc>
        <w:tc>
          <w:tcPr>
            <w:tcW w:w="429" w:type="dxa"/>
            <w:shd w:val="clear" w:color="auto" w:fill="auto"/>
            <w:vAlign w:val="center"/>
          </w:tcPr>
          <w:p w:rsidR="008B1196" w:rsidRPr="00EB4D74" w:rsidRDefault="008B1196" w:rsidP="00EA30FC">
            <w:pPr>
              <w:pStyle w:val="TableText"/>
              <w:rPr>
                <w:rFonts w:ascii="Tahoma" w:hAnsi="Tahoma" w:cs="Tahoma"/>
                <w:sz w:val="13"/>
              </w:rPr>
            </w:pPr>
          </w:p>
        </w:tc>
        <w:tc>
          <w:tcPr>
            <w:tcW w:w="429" w:type="dxa"/>
            <w:shd w:val="clear" w:color="auto" w:fill="auto"/>
            <w:vAlign w:val="center"/>
          </w:tcPr>
          <w:p w:rsidR="008B1196" w:rsidRPr="00EB4D74" w:rsidRDefault="008B1196" w:rsidP="00EA30FC">
            <w:pPr>
              <w:pStyle w:val="TableText"/>
              <w:rPr>
                <w:rFonts w:ascii="Tahoma" w:hAnsi="Tahoma" w:cs="Tahoma"/>
                <w:sz w:val="13"/>
              </w:rPr>
            </w:pPr>
          </w:p>
        </w:tc>
        <w:tc>
          <w:tcPr>
            <w:tcW w:w="429" w:type="dxa"/>
            <w:shd w:val="clear" w:color="auto" w:fill="auto"/>
            <w:vAlign w:val="center"/>
          </w:tcPr>
          <w:p w:rsidR="008B1196" w:rsidRPr="00EB4D74" w:rsidRDefault="008B1196" w:rsidP="00EA30FC">
            <w:pPr>
              <w:pStyle w:val="TableText"/>
              <w:rPr>
                <w:rFonts w:ascii="Tahoma" w:hAnsi="Tahoma" w:cs="Tahoma"/>
                <w:sz w:val="13"/>
              </w:rPr>
            </w:pPr>
          </w:p>
        </w:tc>
        <w:tc>
          <w:tcPr>
            <w:tcW w:w="429" w:type="dxa"/>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514" w:type="dxa"/>
            <w:shd w:val="clear" w:color="auto" w:fill="auto"/>
          </w:tcPr>
          <w:p w:rsidR="008B1196" w:rsidRPr="00EB4D74" w:rsidRDefault="008B1196" w:rsidP="00EA30FC">
            <w:pPr>
              <w:pStyle w:val="TableText"/>
              <w:rPr>
                <w:rFonts w:ascii="Tahoma" w:hAnsi="Tahoma" w:cs="Tahoma"/>
                <w:sz w:val="13"/>
              </w:rPr>
            </w:pPr>
          </w:p>
        </w:tc>
        <w:tc>
          <w:tcPr>
            <w:tcW w:w="514"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FABF8F"/>
          </w:tcPr>
          <w:p w:rsidR="008B1196" w:rsidRPr="00EB4D74" w:rsidRDefault="008B1196" w:rsidP="00EA30FC">
            <w:pPr>
              <w:pStyle w:val="Heading3"/>
              <w:spacing w:beforeLines="20" w:before="48" w:afterLines="20" w:after="48"/>
              <w:rPr>
                <w:rFonts w:ascii="Tahoma" w:hAnsi="Tahoma" w:cs="Tahoma"/>
                <w:b w:val="0"/>
                <w:sz w:val="14"/>
              </w:rPr>
            </w:pPr>
            <w:bookmarkStart w:id="102" w:name="_Toc336337884"/>
            <w:bookmarkStart w:id="103" w:name="_Toc342914540"/>
            <w:bookmarkEnd w:id="102"/>
            <w:r w:rsidRPr="00EB4D74">
              <w:rPr>
                <w:rFonts w:ascii="Tahoma" w:hAnsi="Tahoma" w:cs="Tahoma"/>
                <w:b w:val="0"/>
                <w:sz w:val="14"/>
                <w:lang w:val="pt-BR"/>
              </w:rPr>
              <w:t>Streets and Trips 2013</w:t>
            </w:r>
            <w:bookmarkEnd w:id="103"/>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03/11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A,ST</w:t>
            </w: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auto"/>
          </w:tcPr>
          <w:p w:rsidR="008B1196" w:rsidRPr="00EB4D74" w:rsidRDefault="008B1196" w:rsidP="00EA30FC">
            <w:pPr>
              <w:pStyle w:val="Heading3"/>
              <w:spacing w:beforeLines="20" w:before="48" w:afterLines="20" w:after="48"/>
              <w:rPr>
                <w:rFonts w:ascii="Tahoma" w:hAnsi="Tahoma" w:cs="Tahoma"/>
                <w:b w:val="0"/>
                <w:sz w:val="14"/>
              </w:rPr>
            </w:pPr>
            <w:bookmarkStart w:id="104" w:name="_Toc336337886"/>
            <w:bookmarkStart w:id="105" w:name="_Toc342914541"/>
            <w:bookmarkEnd w:id="104"/>
            <w:r w:rsidRPr="00EB4D74">
              <w:rPr>
                <w:rFonts w:ascii="Tahoma" w:hAnsi="Tahoma" w:cs="Tahoma"/>
                <w:b w:val="0"/>
                <w:sz w:val="14"/>
                <w:lang w:val="pt-BR"/>
              </w:rPr>
              <w:t>Visio</w:t>
            </w:r>
            <w:r w:rsidRPr="00EB4D74">
              <w:rPr>
                <w:rFonts w:ascii="Tahoma" w:hAnsi="Tahoma" w:cs="Tahoma"/>
                <w:b w:val="0"/>
                <w:sz w:val="14"/>
                <w:vertAlign w:val="superscript"/>
                <w:lang w:val="pt-BR"/>
              </w:rPr>
              <w:t>®</w:t>
            </w:r>
            <w:r w:rsidRPr="00EB4D74">
              <w:rPr>
                <w:rFonts w:ascii="Tahoma" w:hAnsi="Tahoma" w:cs="Tahoma"/>
                <w:b w:val="0"/>
                <w:sz w:val="14"/>
                <w:lang w:val="pt-BR"/>
              </w:rPr>
              <w:t xml:space="preserve"> 2013 Professional</w:t>
            </w:r>
            <w:bookmarkEnd w:id="105"/>
          </w:p>
        </w:tc>
        <w:tc>
          <w:tcPr>
            <w:tcW w:w="429" w:type="dxa"/>
            <w:shd w:val="clear" w:color="auto" w:fill="auto"/>
            <w:vAlign w:val="center"/>
          </w:tcPr>
          <w:p w:rsidR="008B1196" w:rsidRPr="00EB4D74" w:rsidRDefault="008B1196" w:rsidP="00EA30FC">
            <w:pPr>
              <w:pStyle w:val="TableText"/>
              <w:widowControl w:val="0"/>
              <w:rPr>
                <w:rStyle w:val="EndnoteReference"/>
                <w:rFonts w:cs="Tahoma"/>
                <w:b w:val="0"/>
                <w:color w:val="0000FF"/>
                <w:sz w:val="13"/>
                <w:szCs w:val="13"/>
                <w:u w:val="single"/>
              </w:rPr>
            </w:pPr>
            <w:hyperlink w:anchor="_15_Visio_Professional" w:history="1">
              <w:r w:rsidRPr="00EB4D74">
                <w:rPr>
                  <w:rStyle w:val="Hyperlink"/>
                  <w:rFonts w:cs="Tahoma"/>
                  <w:b/>
                  <w:sz w:val="13"/>
                  <w:szCs w:val="13"/>
                </w:rPr>
                <w:t>15</w:t>
              </w:r>
            </w:hyperlink>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5</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p>
        </w:tc>
        <w:tc>
          <w:tcPr>
            <w:tcW w:w="514"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FABF8F"/>
          </w:tcPr>
          <w:p w:rsidR="008B1196" w:rsidRPr="00EB4D74" w:rsidRDefault="008B1196" w:rsidP="00EA30FC">
            <w:pPr>
              <w:pStyle w:val="Heading3"/>
              <w:spacing w:beforeLines="20" w:before="48" w:afterLines="20" w:after="48"/>
              <w:rPr>
                <w:rFonts w:ascii="Tahoma" w:hAnsi="Tahoma" w:cs="Tahoma"/>
                <w:b w:val="0"/>
                <w:sz w:val="14"/>
              </w:rPr>
            </w:pPr>
            <w:bookmarkStart w:id="106" w:name="_Toc336337887"/>
            <w:bookmarkStart w:id="107" w:name="_Toc342914542"/>
            <w:bookmarkEnd w:id="106"/>
            <w:r w:rsidRPr="00EB4D74">
              <w:rPr>
                <w:rFonts w:ascii="Tahoma" w:hAnsi="Tahoma" w:cs="Tahoma"/>
                <w:b w:val="0"/>
                <w:sz w:val="14"/>
                <w:lang w:val="pt-BR"/>
              </w:rPr>
              <w:t>Visio</w:t>
            </w:r>
            <w:r w:rsidRPr="00EB4D74">
              <w:rPr>
                <w:rFonts w:ascii="Tahoma" w:hAnsi="Tahoma" w:cs="Tahoma"/>
                <w:b w:val="0"/>
                <w:sz w:val="14"/>
                <w:vertAlign w:val="superscript"/>
                <w:lang w:val="pt-BR"/>
              </w:rPr>
              <w:t>®</w:t>
            </w:r>
            <w:r w:rsidRPr="00EB4D74">
              <w:rPr>
                <w:rFonts w:ascii="Tahoma" w:hAnsi="Tahoma" w:cs="Tahoma"/>
                <w:b w:val="0"/>
                <w:sz w:val="14"/>
                <w:lang w:val="pt-BR"/>
              </w:rPr>
              <w:t xml:space="preserve"> 2013 Standard</w:t>
            </w:r>
            <w:bookmarkEnd w:id="107"/>
          </w:p>
        </w:tc>
        <w:tc>
          <w:tcPr>
            <w:tcW w:w="429"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auto"/>
          </w:tcPr>
          <w:p w:rsidR="008B1196" w:rsidRPr="00EB4D74" w:rsidRDefault="008B1196" w:rsidP="00EA30FC">
            <w:pPr>
              <w:pStyle w:val="ProductNames"/>
              <w:spacing w:beforeLines="20" w:before="48" w:afterLines="20" w:after="48"/>
              <w:rPr>
                <w:rFonts w:ascii="Tahoma" w:hAnsi="Tahoma" w:cs="Tahoma"/>
                <w:sz w:val="14"/>
              </w:rPr>
            </w:pPr>
            <w:bookmarkStart w:id="108" w:name="_Toc336337888"/>
            <w:bookmarkStart w:id="109" w:name="_Toc342914543"/>
            <w:bookmarkEnd w:id="108"/>
            <w:r w:rsidRPr="00EB4D74">
              <w:rPr>
                <w:rFonts w:ascii="Tahoma" w:hAnsi="Tahoma" w:cs="Tahoma"/>
                <w:sz w:val="14"/>
                <w:lang w:val="pt-BR"/>
              </w:rPr>
              <w:t>TechNet Plus Direct</w:t>
            </w:r>
            <w:bookmarkEnd w:id="109"/>
          </w:p>
        </w:tc>
        <w:tc>
          <w:tcPr>
            <w:tcW w:w="429" w:type="dxa"/>
            <w:shd w:val="clear" w:color="auto" w:fill="auto"/>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08/06</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5</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LO</w:t>
            </w:r>
          </w:p>
        </w:tc>
      </w:tr>
      <w:tr w:rsidR="008B1196" w:rsidRPr="00EB4D74" w:rsidTr="00EA30FC">
        <w:trPr>
          <w:cantSplit/>
          <w:trHeight w:val="145"/>
        </w:trPr>
        <w:tc>
          <w:tcPr>
            <w:tcW w:w="2638" w:type="dxa"/>
            <w:shd w:val="clear" w:color="auto" w:fill="FABF8F"/>
          </w:tcPr>
          <w:p w:rsidR="008B1196" w:rsidRPr="00EB4D74" w:rsidRDefault="008B1196" w:rsidP="00EA30FC">
            <w:pPr>
              <w:pStyle w:val="ProductNames"/>
              <w:spacing w:beforeLines="20" w:before="48" w:afterLines="20" w:after="48"/>
              <w:rPr>
                <w:rFonts w:ascii="Tahoma" w:hAnsi="Tahoma" w:cs="Tahoma"/>
                <w:sz w:val="14"/>
              </w:rPr>
            </w:pPr>
            <w:bookmarkStart w:id="110" w:name="_Toc336337889"/>
            <w:bookmarkStart w:id="111" w:name="_Toc342914544"/>
            <w:bookmarkEnd w:id="110"/>
            <w:r w:rsidRPr="00EB4D74">
              <w:rPr>
                <w:rFonts w:ascii="Tahoma" w:hAnsi="Tahoma" w:cs="Tahoma"/>
                <w:sz w:val="14"/>
                <w:lang w:val="pt-BR"/>
              </w:rPr>
              <w:t>Visual Studio</w:t>
            </w:r>
            <w:r w:rsidRPr="00EB4D74">
              <w:rPr>
                <w:rFonts w:ascii="Tahoma" w:hAnsi="Tahoma" w:cs="Tahoma"/>
                <w:sz w:val="14"/>
                <w:vertAlign w:val="superscript"/>
                <w:lang w:val="pt-BR"/>
              </w:rPr>
              <w:t>®</w:t>
            </w:r>
            <w:r w:rsidRPr="00EB4D74">
              <w:rPr>
                <w:rFonts w:ascii="Tahoma" w:hAnsi="Tahoma" w:cs="Tahoma"/>
                <w:sz w:val="14"/>
                <w:lang w:val="pt-BR"/>
              </w:rPr>
              <w:t xml:space="preserve"> Professional 2012</w:t>
            </w:r>
            <w:bookmarkEnd w:id="111"/>
          </w:p>
        </w:tc>
        <w:bookmarkStart w:id="112" w:name="_Hlt335908514"/>
        <w:bookmarkEnd w:id="112"/>
        <w:tc>
          <w:tcPr>
            <w:tcW w:w="429"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"Aps_12VS2010Professional"</w:instrText>
            </w:r>
            <w:r w:rsidRPr="00EB4D74">
              <w:rPr>
                <w:rFonts w:cs="Tahoma"/>
                <w:sz w:val="13"/>
                <w:szCs w:val="13"/>
              </w:rPr>
              <w:fldChar w:fldCharType="separate"/>
            </w:r>
            <w:r w:rsidRPr="00EB4D74">
              <w:rPr>
                <w:rStyle w:val="Hyperlink"/>
                <w:rFonts w:cs="Tahoma"/>
                <w:b/>
                <w:sz w:val="13"/>
                <w:szCs w:val="13"/>
              </w:rPr>
              <w:t>16</w:t>
            </w:r>
            <w:r w:rsidRPr="00EB4D74">
              <w:rPr>
                <w:rFonts w:cs="Tahoma"/>
                <w:sz w:val="13"/>
                <w:szCs w:val="13"/>
              </w:rPr>
              <w:fldChar w:fldCharType="end"/>
            </w: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08/12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tcBorders>
              <w:left w:val="single" w:sz="18" w:space="0" w:color="auto"/>
            </w:tcBorders>
            <w:shd w:val="clear" w:color="auto" w:fill="FABF8F"/>
            <w:vAlign w:val="center"/>
          </w:tcPr>
          <w:p w:rsidR="008B1196" w:rsidRPr="00EB4D74" w:rsidRDefault="008B1196" w:rsidP="00EA30FC">
            <w:pPr>
              <w:pStyle w:val="TableText"/>
              <w:spacing w:before="120" w:after="120"/>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AO, ST</w:t>
            </w: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145"/>
        </w:trPr>
        <w:tc>
          <w:tcPr>
            <w:tcW w:w="2638" w:type="dxa"/>
            <w:shd w:val="clear" w:color="auto" w:fill="auto"/>
          </w:tcPr>
          <w:p w:rsidR="008B1196" w:rsidRPr="00EB4D74" w:rsidRDefault="008B1196" w:rsidP="00EA30FC">
            <w:pPr>
              <w:pStyle w:val="ProductNames"/>
              <w:spacing w:beforeLines="20" w:before="48" w:afterLines="20" w:after="48"/>
              <w:rPr>
                <w:rFonts w:ascii="Tahoma" w:hAnsi="Tahoma" w:cs="Tahoma"/>
                <w:sz w:val="14"/>
              </w:rPr>
            </w:pPr>
            <w:bookmarkStart w:id="113" w:name="_Toc336337890"/>
            <w:bookmarkStart w:id="114" w:name="_Toc342914545"/>
            <w:bookmarkEnd w:id="113"/>
            <w:r w:rsidRPr="00EB4D74">
              <w:rPr>
                <w:rFonts w:ascii="Tahoma" w:hAnsi="Tahoma" w:cs="Tahoma"/>
                <w:sz w:val="14"/>
                <w:lang w:val="pt-BR"/>
              </w:rPr>
              <w:t>Visual Studio</w:t>
            </w:r>
            <w:r w:rsidRPr="00EB4D74">
              <w:rPr>
                <w:rFonts w:ascii="Tahoma" w:hAnsi="Tahoma" w:cs="Tahoma"/>
                <w:sz w:val="14"/>
                <w:vertAlign w:val="superscript"/>
                <w:lang w:val="pt-BR"/>
              </w:rPr>
              <w:t>®</w:t>
            </w:r>
            <w:r w:rsidRPr="00EB4D74">
              <w:rPr>
                <w:rFonts w:ascii="Tahoma" w:hAnsi="Tahoma" w:cs="Tahoma"/>
                <w:sz w:val="14"/>
                <w:lang w:val="pt-BR"/>
              </w:rPr>
              <w:t xml:space="preserve"> Professional 2012 com MSDN</w:t>
            </w:r>
            <w:bookmarkEnd w:id="114"/>
          </w:p>
        </w:tc>
        <w:tc>
          <w:tcPr>
            <w:tcW w:w="429" w:type="dxa"/>
            <w:shd w:val="clear" w:color="auto" w:fill="auto"/>
            <w:vAlign w:val="center"/>
          </w:tcPr>
          <w:p w:rsidR="008B1196" w:rsidRPr="00EB4D74" w:rsidRDefault="008B1196" w:rsidP="00EA30FC">
            <w:pPr>
              <w:pStyle w:val="TableText"/>
              <w:widowControl w:val="0"/>
              <w:rPr>
                <w:rStyle w:val="EndnoteReference"/>
                <w:rFonts w:cs="Tahoma"/>
                <w:b w:val="0"/>
                <w:color w:val="0000FF"/>
                <w:sz w:val="13"/>
                <w:szCs w:val="13"/>
                <w:u w:val="single"/>
              </w:rPr>
            </w:pPr>
            <w:hyperlink w:anchor="Aps_13VS2010ProfessionalMSDN" w:history="1">
              <w:r w:rsidRPr="00EB4D74">
                <w:rPr>
                  <w:rStyle w:val="Hyperlink"/>
                  <w:rFonts w:cs="Tahoma"/>
                  <w:b/>
                  <w:sz w:val="13"/>
                  <w:szCs w:val="13"/>
                </w:rPr>
                <w:t>17</w:t>
              </w:r>
            </w:hyperlink>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09/12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S</w:t>
            </w: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auto"/>
            <w:vAlign w:val="center"/>
          </w:tcPr>
          <w:p w:rsidR="008B1196" w:rsidRPr="00EB4D74" w:rsidRDefault="008B1196" w:rsidP="00EA30FC">
            <w:pPr>
              <w:pStyle w:val="TableText"/>
              <w:rPr>
                <w:rFonts w:ascii="Tahoma" w:hAnsi="Tahoma" w:cs="Tahoma"/>
              </w:rPr>
            </w:pPr>
            <w:r w:rsidRPr="00EB4D74">
              <w:rPr>
                <w:rFonts w:ascii="Tahoma" w:hAnsi="Tahoma" w:cs="Tahoma"/>
                <w:sz w:val="13"/>
                <w:lang w:val="pt-BR"/>
              </w:rPr>
              <w:t>LO/SA/</w:t>
            </w:r>
          </w:p>
          <w:p w:rsidR="008B1196" w:rsidRPr="00EB4D74" w:rsidRDefault="008B1196" w:rsidP="00EA30FC">
            <w:pPr>
              <w:pStyle w:val="TableText"/>
              <w:rPr>
                <w:rFonts w:ascii="Tahoma" w:hAnsi="Tahoma" w:cs="Tahoma"/>
                <w:sz w:val="13"/>
              </w:rPr>
            </w:pPr>
            <w:r w:rsidRPr="00EB4D74">
              <w:rPr>
                <w:rFonts w:ascii="Tahoma" w:hAnsi="Tahoma" w:cs="Tahoma"/>
                <w:sz w:val="13"/>
                <w:lang w:val="pt-BR"/>
              </w:rPr>
              <w:t>OV</w:t>
            </w:r>
          </w:p>
        </w:tc>
      </w:tr>
      <w:tr w:rsidR="008B1196" w:rsidRPr="00EB4D74" w:rsidTr="00EA30FC">
        <w:trPr>
          <w:cantSplit/>
          <w:trHeight w:val="145"/>
        </w:trPr>
        <w:tc>
          <w:tcPr>
            <w:tcW w:w="2638" w:type="dxa"/>
            <w:shd w:val="clear" w:color="auto" w:fill="FABF8F"/>
          </w:tcPr>
          <w:p w:rsidR="008B1196" w:rsidRPr="00EB4D74" w:rsidRDefault="008B1196" w:rsidP="00EA30FC">
            <w:pPr>
              <w:pStyle w:val="Heading2"/>
              <w:spacing w:beforeLines="20" w:before="48" w:afterLines="20" w:after="48"/>
              <w:ind w:left="0"/>
              <w:rPr>
                <w:rFonts w:ascii="Tahoma" w:hAnsi="Tahoma" w:cs="Tahoma"/>
                <w:b w:val="0"/>
                <w:sz w:val="14"/>
              </w:rPr>
            </w:pPr>
            <w:bookmarkStart w:id="115" w:name="_Toc336337891"/>
            <w:bookmarkStart w:id="116" w:name="_Toc342914546"/>
            <w:bookmarkEnd w:id="115"/>
            <w:r w:rsidRPr="00EB4D74">
              <w:rPr>
                <w:rFonts w:ascii="Tahoma" w:hAnsi="Tahoma" w:cs="Tahoma"/>
                <w:b w:val="0"/>
                <w:sz w:val="14"/>
                <w:lang w:val="pt-BR"/>
              </w:rPr>
              <w:t>Visual Studio</w:t>
            </w:r>
            <w:r w:rsidRPr="00EB4D74">
              <w:rPr>
                <w:rFonts w:ascii="Tahoma" w:hAnsi="Tahoma" w:cs="Tahoma"/>
                <w:b w:val="0"/>
                <w:sz w:val="14"/>
                <w:vertAlign w:val="superscript"/>
                <w:lang w:val="pt-BR"/>
              </w:rPr>
              <w:t>®</w:t>
            </w:r>
            <w:r w:rsidRPr="00EB4D74">
              <w:rPr>
                <w:rFonts w:ascii="Tahoma" w:hAnsi="Tahoma" w:cs="Tahoma"/>
                <w:b w:val="0"/>
                <w:sz w:val="14"/>
                <w:lang w:val="pt-BR"/>
              </w:rPr>
              <w:t xml:space="preserve"> Premium 2012 com MSDN</w:t>
            </w:r>
            <w:bookmarkEnd w:id="116"/>
          </w:p>
        </w:tc>
        <w:tc>
          <w:tcPr>
            <w:tcW w:w="429" w:type="dxa"/>
            <w:shd w:val="clear" w:color="auto" w:fill="FABF8F"/>
            <w:vAlign w:val="center"/>
          </w:tcPr>
          <w:p w:rsidR="008B1196" w:rsidRPr="00EB4D74" w:rsidRDefault="008B1196" w:rsidP="00EA30FC">
            <w:pPr>
              <w:pStyle w:val="TableText"/>
              <w:widowControl w:val="0"/>
              <w:rPr>
                <w:rFonts w:cs="Tahoma"/>
                <w:b/>
                <w:sz w:val="13"/>
                <w:szCs w:val="13"/>
                <w:u w:val="single"/>
              </w:rPr>
            </w:pPr>
            <w:hyperlink w:anchor="Aps_16VS2010PremiumMSDN" w:history="1">
              <w:r w:rsidRPr="00EB4D74">
                <w:rPr>
                  <w:rStyle w:val="Hyperlink"/>
                  <w:rFonts w:cs="Tahoma"/>
                  <w:b/>
                  <w:sz w:val="13"/>
                  <w:szCs w:val="13"/>
                </w:rPr>
                <w:t>18</w:t>
              </w:r>
            </w:hyperlink>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09/12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38</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30</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23</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23</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15</w:t>
            </w: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8</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30</w:t>
            </w: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15</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S</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FABF8F"/>
            <w:vAlign w:val="center"/>
          </w:tcPr>
          <w:p w:rsidR="008B1196" w:rsidRPr="00EB4D74" w:rsidRDefault="008B1196" w:rsidP="00EA30FC">
            <w:pPr>
              <w:pStyle w:val="TableText"/>
              <w:rPr>
                <w:rFonts w:ascii="Tahoma" w:hAnsi="Tahoma" w:cs="Tahoma"/>
              </w:rPr>
            </w:pPr>
            <w:r w:rsidRPr="00EB4D74">
              <w:rPr>
                <w:rFonts w:ascii="Tahoma" w:hAnsi="Tahoma" w:cs="Tahoma"/>
                <w:sz w:val="13"/>
                <w:lang w:val="pt-BR"/>
              </w:rPr>
              <w:t>LO/SA/</w:t>
            </w:r>
          </w:p>
          <w:p w:rsidR="008B1196" w:rsidRPr="00EB4D74" w:rsidRDefault="008B1196" w:rsidP="00EA30FC">
            <w:pPr>
              <w:pStyle w:val="TableText"/>
              <w:rPr>
                <w:rFonts w:ascii="Tahoma" w:hAnsi="Tahoma" w:cs="Tahoma"/>
                <w:sz w:val="13"/>
              </w:rPr>
            </w:pPr>
            <w:r w:rsidRPr="00EB4D74">
              <w:rPr>
                <w:rFonts w:ascii="Tahoma" w:hAnsi="Tahoma" w:cs="Tahoma"/>
                <w:sz w:val="13"/>
                <w:lang w:val="pt-BR"/>
              </w:rPr>
              <w:t>OV</w:t>
            </w:r>
          </w:p>
        </w:tc>
      </w:tr>
      <w:tr w:rsidR="008B1196" w:rsidRPr="00EB4D74" w:rsidTr="00EA30FC">
        <w:trPr>
          <w:cantSplit/>
          <w:trHeight w:val="145"/>
        </w:trPr>
        <w:tc>
          <w:tcPr>
            <w:tcW w:w="2638" w:type="dxa"/>
            <w:shd w:val="clear" w:color="auto" w:fill="auto"/>
          </w:tcPr>
          <w:p w:rsidR="008B1196" w:rsidRPr="00EB4D74" w:rsidRDefault="008B1196" w:rsidP="00EA30FC">
            <w:pPr>
              <w:pStyle w:val="Heading2"/>
              <w:spacing w:beforeLines="20" w:before="48" w:afterLines="20" w:after="48"/>
              <w:ind w:left="0"/>
              <w:rPr>
                <w:rFonts w:ascii="Tahoma" w:hAnsi="Tahoma" w:cs="Tahoma"/>
                <w:b w:val="0"/>
                <w:sz w:val="14"/>
                <w:lang w:val="it-IT"/>
              </w:rPr>
            </w:pPr>
            <w:bookmarkStart w:id="117" w:name="_Toc336337892"/>
            <w:bookmarkStart w:id="118" w:name="_Toc342914547"/>
            <w:bookmarkEnd w:id="117"/>
            <w:r w:rsidRPr="00EB4D74">
              <w:rPr>
                <w:rFonts w:ascii="Tahoma" w:hAnsi="Tahoma" w:cs="Tahoma"/>
                <w:b w:val="0"/>
                <w:sz w:val="14"/>
                <w:lang w:val="pt-BR"/>
              </w:rPr>
              <w:t>Visual Studio</w:t>
            </w:r>
            <w:r w:rsidRPr="00EB4D74">
              <w:rPr>
                <w:rFonts w:ascii="Tahoma" w:hAnsi="Tahoma" w:cs="Tahoma"/>
                <w:b w:val="0"/>
                <w:sz w:val="14"/>
                <w:vertAlign w:val="superscript"/>
                <w:lang w:val="pt-BR"/>
              </w:rPr>
              <w:t>®</w:t>
            </w:r>
            <w:r w:rsidRPr="00EB4D74">
              <w:rPr>
                <w:rFonts w:ascii="Tahoma" w:hAnsi="Tahoma" w:cs="Tahoma"/>
                <w:b w:val="0"/>
                <w:sz w:val="14"/>
                <w:lang w:val="pt-BR"/>
              </w:rPr>
              <w:t xml:space="preserve"> Ultimate 2012 com MSDN</w:t>
            </w:r>
            <w:bookmarkEnd w:id="118"/>
          </w:p>
        </w:tc>
        <w:tc>
          <w:tcPr>
            <w:tcW w:w="429" w:type="dxa"/>
            <w:shd w:val="clear" w:color="auto" w:fill="auto"/>
            <w:vAlign w:val="center"/>
          </w:tcPr>
          <w:p w:rsidR="008B1196" w:rsidRPr="00EB4D74" w:rsidRDefault="008B1196" w:rsidP="00EA30FC">
            <w:pPr>
              <w:pStyle w:val="TableText"/>
              <w:widowControl w:val="0"/>
              <w:rPr>
                <w:rFonts w:cs="Tahoma"/>
                <w:b/>
                <w:sz w:val="13"/>
                <w:szCs w:val="13"/>
                <w:u w:val="single"/>
              </w:rPr>
            </w:pPr>
            <w:hyperlink w:anchor="Aps_18VS2010UltimateMSDN" w:history="1">
              <w:r w:rsidRPr="00EB4D74">
                <w:rPr>
                  <w:rStyle w:val="Hyperlink"/>
                  <w:rFonts w:cs="Tahoma"/>
                  <w:b/>
                  <w:sz w:val="13"/>
                  <w:szCs w:val="13"/>
                </w:rPr>
                <w:t>19</w:t>
              </w:r>
            </w:hyperlink>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09/12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83</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66</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50</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50</w:t>
            </w: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33</w:t>
            </w:r>
          </w:p>
        </w:tc>
        <w:tc>
          <w:tcPr>
            <w:tcW w:w="429" w:type="dxa"/>
            <w:tcBorders>
              <w:righ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17</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66</w:t>
            </w:r>
          </w:p>
        </w:tc>
        <w:tc>
          <w:tcPr>
            <w:tcW w:w="429" w:type="dxa"/>
            <w:tcBorders>
              <w:righ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33</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S</w:t>
            </w: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auto"/>
            <w:vAlign w:val="center"/>
          </w:tcPr>
          <w:p w:rsidR="008B1196" w:rsidRPr="00EB4D74" w:rsidRDefault="008B1196" w:rsidP="00EA30FC">
            <w:pPr>
              <w:pStyle w:val="TableText"/>
              <w:rPr>
                <w:rFonts w:ascii="Tahoma" w:hAnsi="Tahoma" w:cs="Tahoma"/>
              </w:rPr>
            </w:pPr>
            <w:r w:rsidRPr="00EB4D74">
              <w:rPr>
                <w:rFonts w:ascii="Tahoma" w:hAnsi="Tahoma" w:cs="Tahoma"/>
                <w:sz w:val="13"/>
                <w:lang w:val="pt-BR"/>
              </w:rPr>
              <w:t>LO/SA/</w:t>
            </w:r>
          </w:p>
          <w:p w:rsidR="008B1196" w:rsidRPr="00EB4D74" w:rsidRDefault="008B1196" w:rsidP="00EA30FC">
            <w:pPr>
              <w:pStyle w:val="TableText"/>
              <w:rPr>
                <w:rFonts w:ascii="Tahoma" w:hAnsi="Tahoma" w:cs="Tahoma"/>
                <w:sz w:val="13"/>
              </w:rPr>
            </w:pPr>
            <w:r w:rsidRPr="00EB4D74">
              <w:rPr>
                <w:rFonts w:ascii="Tahoma" w:hAnsi="Tahoma" w:cs="Tahoma"/>
                <w:sz w:val="13"/>
                <w:lang w:val="pt-BR"/>
              </w:rPr>
              <w:t>OV</w:t>
            </w:r>
          </w:p>
        </w:tc>
      </w:tr>
      <w:tr w:rsidR="008B1196" w:rsidRPr="00EB4D74" w:rsidTr="00EA30FC">
        <w:trPr>
          <w:cantSplit/>
          <w:trHeight w:val="145"/>
        </w:trPr>
        <w:tc>
          <w:tcPr>
            <w:tcW w:w="2638" w:type="dxa"/>
            <w:shd w:val="clear" w:color="auto" w:fill="FABF8F"/>
          </w:tcPr>
          <w:p w:rsidR="008B1196" w:rsidRPr="00EB4D74" w:rsidRDefault="008B1196" w:rsidP="00EA30FC">
            <w:pPr>
              <w:pStyle w:val="Heading2"/>
              <w:spacing w:beforeLines="20" w:before="48" w:afterLines="20" w:after="48"/>
              <w:ind w:left="0"/>
              <w:rPr>
                <w:rFonts w:ascii="Tahoma" w:hAnsi="Tahoma" w:cs="Tahoma"/>
                <w:b w:val="0"/>
                <w:sz w:val="14"/>
              </w:rPr>
            </w:pPr>
            <w:bookmarkStart w:id="119" w:name="_Toc336337893"/>
            <w:bookmarkStart w:id="120" w:name="_Toc342914548"/>
            <w:bookmarkEnd w:id="119"/>
            <w:r w:rsidRPr="00EB4D74">
              <w:rPr>
                <w:rFonts w:ascii="Tahoma" w:hAnsi="Tahoma" w:cs="Tahoma"/>
                <w:b w:val="0"/>
                <w:sz w:val="14"/>
                <w:lang w:val="pt-BR"/>
              </w:rPr>
              <w:t>Visual Studio</w:t>
            </w:r>
            <w:r w:rsidRPr="00EB4D74">
              <w:rPr>
                <w:rFonts w:ascii="Tahoma" w:hAnsi="Tahoma" w:cs="Tahoma"/>
                <w:sz w:val="14"/>
                <w:vertAlign w:val="superscript"/>
                <w:lang w:val="pt-BR"/>
              </w:rPr>
              <w:t>®</w:t>
            </w:r>
            <w:r w:rsidRPr="00EB4D74">
              <w:rPr>
                <w:rFonts w:ascii="Tahoma" w:hAnsi="Tahoma" w:cs="Tahoma"/>
                <w:b w:val="0"/>
                <w:sz w:val="14"/>
                <w:lang w:val="pt-BR"/>
              </w:rPr>
              <w:t xml:space="preserve"> Test Professional 2012 com MSDN</w:t>
            </w:r>
            <w:bookmarkEnd w:id="120"/>
          </w:p>
        </w:tc>
        <w:bookmarkStart w:id="121" w:name="_Hlt335908536"/>
        <w:bookmarkEnd w:id="121"/>
        <w:tc>
          <w:tcPr>
            <w:tcW w:w="429" w:type="dxa"/>
            <w:shd w:val="clear" w:color="auto" w:fill="FABF8F"/>
            <w:vAlign w:val="center"/>
          </w:tcPr>
          <w:p w:rsidR="008B1196" w:rsidRPr="00EB4D74" w:rsidRDefault="008B1196" w:rsidP="00EA30FC">
            <w:pPr>
              <w:pStyle w:val="TableText"/>
              <w:widowControl w:val="0"/>
              <w:rPr>
                <w:rFonts w:cs="Tahoma"/>
                <w:b/>
                <w:sz w:val="13"/>
                <w:szCs w:val="13"/>
                <w:u w:val="single"/>
              </w:rPr>
            </w:pPr>
            <w:r w:rsidRPr="00EB4D74">
              <w:rPr>
                <w:rFonts w:cs="Tahoma"/>
                <w:sz w:val="13"/>
                <w:szCs w:val="13"/>
              </w:rPr>
              <w:fldChar w:fldCharType="begin"/>
            </w:r>
            <w:r w:rsidRPr="00EB4D74">
              <w:rPr>
                <w:rFonts w:cs="Tahoma"/>
                <w:sz w:val="13"/>
                <w:szCs w:val="13"/>
              </w:rPr>
              <w:instrText>HYPERLINK  \l "_20_Visual_Studio"</w:instrText>
            </w:r>
            <w:r w:rsidRPr="00EB4D74">
              <w:rPr>
                <w:rFonts w:cs="Tahoma"/>
                <w:sz w:val="13"/>
                <w:szCs w:val="13"/>
              </w:rPr>
              <w:fldChar w:fldCharType="separate"/>
            </w:r>
            <w:r w:rsidRPr="00EB4D74">
              <w:rPr>
                <w:rStyle w:val="Hyperlink"/>
                <w:rFonts w:cs="Tahoma"/>
                <w:b/>
                <w:sz w:val="13"/>
                <w:szCs w:val="13"/>
              </w:rPr>
              <w:t>20</w:t>
            </w:r>
            <w:r w:rsidRPr="00EB4D74">
              <w:rPr>
                <w:rFonts w:cs="Tahoma"/>
                <w:sz w:val="13"/>
                <w:szCs w:val="13"/>
              </w:rPr>
              <w:fldChar w:fldCharType="end"/>
            </w: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09/12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15</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12</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9</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9</w:t>
            </w: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6</w:t>
            </w: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3</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p>
        </w:tc>
        <w:tc>
          <w:tcPr>
            <w:tcW w:w="429" w:type="dxa"/>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12</w:t>
            </w:r>
          </w:p>
        </w:tc>
        <w:tc>
          <w:tcPr>
            <w:tcW w:w="429" w:type="dxa"/>
            <w:tcBorders>
              <w:righ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6</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S</w:t>
            </w: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14" w:type="dxa"/>
            <w:shd w:val="clear" w:color="auto" w:fill="FABF8F"/>
            <w:vAlign w:val="center"/>
          </w:tcPr>
          <w:p w:rsidR="008B1196" w:rsidRPr="00EB4D74" w:rsidRDefault="008B1196" w:rsidP="00EA30FC">
            <w:pPr>
              <w:pStyle w:val="TableText"/>
              <w:rPr>
                <w:rFonts w:ascii="Tahoma" w:hAnsi="Tahoma" w:cs="Tahoma"/>
              </w:rPr>
            </w:pPr>
            <w:r w:rsidRPr="00EB4D74">
              <w:rPr>
                <w:rFonts w:ascii="Tahoma" w:hAnsi="Tahoma" w:cs="Tahoma"/>
                <w:sz w:val="13"/>
                <w:lang w:val="pt-BR"/>
              </w:rPr>
              <w:t>LO/SA/</w:t>
            </w:r>
          </w:p>
          <w:p w:rsidR="008B1196" w:rsidRPr="00EB4D74" w:rsidRDefault="008B1196" w:rsidP="00EA30FC">
            <w:pPr>
              <w:pStyle w:val="TableText"/>
              <w:rPr>
                <w:rFonts w:ascii="Tahoma" w:hAnsi="Tahoma" w:cs="Tahoma"/>
                <w:sz w:val="13"/>
              </w:rPr>
            </w:pPr>
            <w:r w:rsidRPr="00EB4D74">
              <w:rPr>
                <w:rFonts w:ascii="Tahoma" w:hAnsi="Tahoma" w:cs="Tahoma"/>
                <w:sz w:val="13"/>
                <w:lang w:val="pt-BR"/>
              </w:rPr>
              <w:t>OV</w:t>
            </w:r>
          </w:p>
        </w:tc>
      </w:tr>
      <w:tr w:rsidR="008B1196" w:rsidRPr="00EB4D74" w:rsidTr="00EA30FC">
        <w:trPr>
          <w:cantSplit/>
          <w:trHeight w:val="70"/>
        </w:trPr>
        <w:tc>
          <w:tcPr>
            <w:tcW w:w="2638" w:type="dxa"/>
            <w:shd w:val="clear" w:color="auto" w:fill="auto"/>
          </w:tcPr>
          <w:p w:rsidR="008B1196" w:rsidRPr="00EB4D74" w:rsidRDefault="008B1196" w:rsidP="00EA30FC">
            <w:pPr>
              <w:pStyle w:val="Heading2"/>
              <w:spacing w:beforeLines="20" w:before="48" w:afterLines="20" w:after="48"/>
              <w:ind w:left="0"/>
              <w:rPr>
                <w:rFonts w:ascii="Tahoma" w:hAnsi="Tahoma" w:cs="Tahoma"/>
                <w:b w:val="0"/>
                <w:sz w:val="14"/>
              </w:rPr>
            </w:pPr>
            <w:bookmarkStart w:id="122" w:name="_Toc336337894"/>
            <w:bookmarkStart w:id="123" w:name="_Toc342914549"/>
            <w:bookmarkEnd w:id="122"/>
            <w:r w:rsidRPr="00EB4D74">
              <w:rPr>
                <w:rFonts w:ascii="Tahoma" w:hAnsi="Tahoma" w:cs="Tahoma"/>
                <w:b w:val="0"/>
                <w:sz w:val="14"/>
                <w:lang w:val="pt-BR"/>
              </w:rPr>
              <w:t>Word 2013</w:t>
            </w:r>
            <w:bookmarkEnd w:id="123"/>
          </w:p>
        </w:tc>
        <w:tc>
          <w:tcPr>
            <w:tcW w:w="429" w:type="dxa"/>
            <w:shd w:val="clear" w:color="auto" w:fill="auto"/>
            <w:vAlign w:val="center"/>
          </w:tcPr>
          <w:p w:rsidR="008B1196" w:rsidRPr="00EB4D74" w:rsidRDefault="008B1196" w:rsidP="00EA30FC">
            <w:pPr>
              <w:pStyle w:val="TableText"/>
              <w:widowControl w:val="0"/>
              <w:rPr>
                <w:rStyle w:val="EndnoteReference"/>
                <w:rFonts w:ascii="Tahoma" w:hAnsi="Tahoma" w:cs="Tahoma"/>
                <w:color w:val="0000FF"/>
                <w:sz w:val="13"/>
                <w:szCs w:val="13"/>
                <w:u w:val="single"/>
              </w:rPr>
            </w:pPr>
          </w:p>
        </w:tc>
        <w:tc>
          <w:tcPr>
            <w:tcW w:w="429" w:type="dxa"/>
            <w:shd w:val="clear" w:color="auto" w:fill="auto"/>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10/12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auto"/>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auto"/>
          </w:tcPr>
          <w:p w:rsidR="008B1196" w:rsidRPr="00EB4D74" w:rsidRDefault="008B1196" w:rsidP="00EA30FC">
            <w:pPr>
              <w:pStyle w:val="TableText"/>
              <w:rPr>
                <w:rFonts w:ascii="Tahoma" w:hAnsi="Tahoma" w:cs="Tahoma"/>
                <w:sz w:val="13"/>
              </w:rPr>
            </w:pPr>
          </w:p>
        </w:tc>
        <w:tc>
          <w:tcPr>
            <w:tcW w:w="514"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cantSplit/>
          <w:trHeight w:val="323"/>
        </w:trPr>
        <w:tc>
          <w:tcPr>
            <w:tcW w:w="2638" w:type="dxa"/>
            <w:shd w:val="clear" w:color="auto" w:fill="FABF8F"/>
          </w:tcPr>
          <w:p w:rsidR="008B1196" w:rsidRPr="00EB4D74" w:rsidRDefault="008B1196" w:rsidP="00EA30FC">
            <w:pPr>
              <w:pStyle w:val="Heading2"/>
              <w:spacing w:beforeLines="20" w:before="48" w:afterLines="20" w:after="48"/>
              <w:ind w:left="0"/>
              <w:rPr>
                <w:rFonts w:ascii="Tahoma" w:hAnsi="Tahoma" w:cs="Tahoma"/>
                <w:b w:val="0"/>
                <w:sz w:val="14"/>
              </w:rPr>
            </w:pPr>
            <w:bookmarkStart w:id="124" w:name="_Toc336337895"/>
            <w:bookmarkStart w:id="125" w:name="_Toc342914550"/>
            <w:bookmarkEnd w:id="124"/>
            <w:r w:rsidRPr="00EB4D74">
              <w:rPr>
                <w:rFonts w:ascii="Tahoma" w:hAnsi="Tahoma" w:cs="Tahoma"/>
                <w:b w:val="0"/>
                <w:sz w:val="14"/>
                <w:lang w:val="pt-BR"/>
              </w:rPr>
              <w:t>Word para Mac 2011</w:t>
            </w:r>
            <w:bookmarkEnd w:id="125"/>
          </w:p>
        </w:tc>
        <w:tc>
          <w:tcPr>
            <w:tcW w:w="429" w:type="dxa"/>
            <w:shd w:val="clear" w:color="auto" w:fill="FABF8F"/>
            <w:vAlign w:val="center"/>
          </w:tcPr>
          <w:p w:rsidR="008B1196" w:rsidRPr="00EB4D74" w:rsidRDefault="008B1196" w:rsidP="00EA30FC">
            <w:pPr>
              <w:pStyle w:val="TableText"/>
              <w:widowControl w:val="0"/>
              <w:rPr>
                <w:rStyle w:val="EndnoteReference"/>
                <w:rFonts w:ascii="Tahoma" w:hAnsi="Tahoma" w:cs="Tahoma"/>
                <w:color w:val="0000FF"/>
                <w:sz w:val="13"/>
                <w:szCs w:val="13"/>
              </w:rPr>
            </w:pPr>
          </w:p>
        </w:tc>
        <w:tc>
          <w:tcPr>
            <w:tcW w:w="429" w:type="dxa"/>
            <w:shd w:val="clear" w:color="auto" w:fill="FABF8F"/>
            <w:vAlign w:val="center"/>
          </w:tcPr>
          <w:p w:rsidR="008B1196" w:rsidRPr="00EB4D74" w:rsidRDefault="008B1196" w:rsidP="00EA30FC">
            <w:pPr>
              <w:pStyle w:val="TableText"/>
              <w:spacing w:before="60" w:after="60"/>
              <w:rPr>
                <w:rFonts w:ascii="Tahoma" w:hAnsi="Tahoma" w:cs="Tahoma"/>
                <w:sz w:val="13"/>
              </w:rPr>
            </w:pPr>
            <w:r w:rsidRPr="00EB4D74">
              <w:rPr>
                <w:rFonts w:ascii="Tahoma" w:hAnsi="Tahoma" w:cs="Tahoma"/>
                <w:sz w:val="13"/>
              </w:rPr>
              <w:t>09/10</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29" w:type="dxa"/>
            <w:tcBorders>
              <w:left w:val="single" w:sz="18" w:space="0" w:color="auto"/>
            </w:tcBorders>
            <w:shd w:val="clear" w:color="auto" w:fill="FABF8F"/>
            <w:vAlign w:val="center"/>
          </w:tcPr>
          <w:p w:rsidR="008B1196" w:rsidRPr="00EB4D74" w:rsidRDefault="008B1196" w:rsidP="00EA30FC">
            <w:pPr>
              <w:pStyle w:val="TableText"/>
              <w:spacing w:after="120"/>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29"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29"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514" w:type="dxa"/>
            <w:shd w:val="clear" w:color="auto" w:fill="FABF8F"/>
          </w:tcPr>
          <w:p w:rsidR="008B1196" w:rsidRPr="00EB4D74" w:rsidRDefault="008B1196" w:rsidP="00EA30FC">
            <w:pPr>
              <w:pStyle w:val="TableText"/>
              <w:rPr>
                <w:rFonts w:ascii="Tahoma" w:hAnsi="Tahoma" w:cs="Tahoma"/>
                <w:sz w:val="13"/>
              </w:rPr>
            </w:pPr>
          </w:p>
        </w:tc>
        <w:tc>
          <w:tcPr>
            <w:tcW w:w="514" w:type="dxa"/>
            <w:shd w:val="clear" w:color="auto" w:fill="FABF8F"/>
            <w:vAlign w:val="center"/>
          </w:tcPr>
          <w:p w:rsidR="008B1196" w:rsidRPr="00EB4D74" w:rsidRDefault="008B1196" w:rsidP="00EA30FC">
            <w:pPr>
              <w:pStyle w:val="TableText"/>
              <w:rPr>
                <w:rFonts w:ascii="Tahoma" w:hAnsi="Tahoma" w:cs="Tahoma"/>
                <w:sz w:val="13"/>
              </w:rPr>
            </w:pPr>
          </w:p>
        </w:tc>
      </w:tr>
    </w:tbl>
    <w:p w:rsidR="008B1196" w:rsidRPr="00EB4D74" w:rsidRDefault="008B1196" w:rsidP="008B1196">
      <w:pPr>
        <w:pStyle w:val="Bodywithspace"/>
        <w:ind w:left="0"/>
        <w:rPr>
          <w:rFonts w:ascii="Tahoma" w:hAnsi="Tahoma" w:cs="Tahoma"/>
        </w:rPr>
      </w:pPr>
      <w:bookmarkStart w:id="126" w:name="_Toc336337837"/>
      <w:bookmarkEnd w:id="126"/>
      <w:r>
        <w:rPr>
          <w:rFonts w:ascii="Tahoma" w:hAnsi="Tahoma" w:cs="Tahoma"/>
          <w:noProof/>
        </w:rPr>
        <mc:AlternateContent>
          <mc:Choice Requires="wps">
            <w:drawing>
              <wp:anchor distT="0" distB="0" distL="114300" distR="114300" simplePos="0" relativeHeight="251659264" behindDoc="0" locked="0" layoutInCell="1" allowOverlap="1" wp14:anchorId="30626265" wp14:editId="49657C0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196" w:rsidRPr="002007C4" w:rsidRDefault="008B1196" w:rsidP="008B1196">
                            <w:pPr>
                              <w:rPr>
                                <w:rFonts w:cs="Tahoma"/>
                                <w:i/>
                                <w:color w:val="000000"/>
                                <w:sz w:val="14"/>
                                <w:szCs w:val="14"/>
                                <w:lang w:val="it-IT"/>
                              </w:rPr>
                            </w:pPr>
                            <w:r>
                              <w:rPr>
                                <w:rFonts w:cs="Tahoma"/>
                                <w:i/>
                                <w:color w:val="000000"/>
                                <w:sz w:val="14"/>
                                <w:szCs w:val="14"/>
                                <w:lang w:val="pt-BR"/>
                              </w:rPr>
                              <w:t>Observação:se a célula correspondente ao produto estiver vazia, significa que no momento ele não é oferecido no programa.</w:t>
                            </w:r>
                          </w:p>
                          <w:p w:rsidR="008B1196" w:rsidRDefault="008B1196" w:rsidP="008B1196">
                            <w:pPr>
                              <w:rPr>
                                <w:rFonts w:cs="Tahoma"/>
                                <w:i/>
                                <w:color w:val="000000"/>
                                <w:sz w:val="14"/>
                                <w:szCs w:val="14"/>
                              </w:rPr>
                            </w:pPr>
                            <w:r>
                              <w:rPr>
                                <w:rFonts w:cs="Tahoma"/>
                                <w:i/>
                                <w:color w:val="000000"/>
                                <w:sz w:val="14"/>
                                <w:szCs w:val="14"/>
                                <w:lang w:val="pt-BR"/>
                              </w:rPr>
                              <w:t>*Para Select Plus, serão usados apenas os valores de ‘L’ e três anos para ‘L&amp;SA’ / ’SA’.</w:t>
                            </w:r>
                          </w:p>
                          <w:p w:rsidR="008B1196" w:rsidRDefault="008B1196" w:rsidP="008B11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8B1196" w:rsidRPr="002007C4" w:rsidRDefault="008B1196" w:rsidP="008B1196">
                      <w:pPr>
                        <w:rPr>
                          <w:rFonts w:cs="Tahoma"/>
                          <w:i/>
                          <w:color w:val="000000"/>
                          <w:sz w:val="14"/>
                          <w:szCs w:val="14"/>
                          <w:lang w:val="it-IT"/>
                        </w:rPr>
                      </w:pPr>
                      <w:r>
                        <w:rPr>
                          <w:rFonts w:cs="Tahoma"/>
                          <w:i/>
                          <w:color w:val="000000"/>
                          <w:sz w:val="14"/>
                          <w:szCs w:val="14"/>
                          <w:lang w:val="pt-BR"/>
                        </w:rPr>
                        <w:t>Observação:se a célula correspondente ao produto estiver vazia, significa que no momento ele não é oferecido no programa.</w:t>
                      </w:r>
                    </w:p>
                    <w:p w:rsidR="008B1196" w:rsidRDefault="008B1196" w:rsidP="008B1196">
                      <w:pPr>
                        <w:rPr>
                          <w:rFonts w:cs="Tahoma"/>
                          <w:i/>
                          <w:color w:val="000000"/>
                          <w:sz w:val="14"/>
                          <w:szCs w:val="14"/>
                        </w:rPr>
                      </w:pPr>
                      <w:r>
                        <w:rPr>
                          <w:rFonts w:cs="Tahoma"/>
                          <w:i/>
                          <w:color w:val="000000"/>
                          <w:sz w:val="14"/>
                          <w:szCs w:val="14"/>
                          <w:lang w:val="pt-BR"/>
                        </w:rPr>
                        <w:t>*Para Select Plus, serão usados apenas os valores de ‘L’ e três anos para ‘L&amp;SA’ / ’SA’.</w:t>
                      </w:r>
                    </w:p>
                    <w:p w:rsidR="008B1196" w:rsidRDefault="008B1196" w:rsidP="008B1196"/>
                  </w:txbxContent>
                </v:textbox>
              </v:shape>
            </w:pict>
          </mc:Fallback>
        </mc:AlternateContent>
      </w:r>
    </w:p>
    <w:p w:rsidR="008B1196" w:rsidRPr="00EB4D74" w:rsidRDefault="008B1196" w:rsidP="008B1196">
      <w:pPr>
        <w:pStyle w:val="ProductPool"/>
        <w:rPr>
          <w:rFonts w:ascii="Tahoma" w:hAnsi="Tahoma" w:cs="Tahoma"/>
        </w:rPr>
      </w:pPr>
    </w:p>
    <w:p w:rsidR="008B1196" w:rsidRPr="00EB4D74" w:rsidRDefault="008B1196" w:rsidP="008B1196">
      <w:pPr>
        <w:pStyle w:val="Heading3"/>
        <w:rPr>
          <w:rFonts w:ascii="Tahoma" w:hAnsi="Tahoma" w:cs="Tahoma"/>
        </w:rPr>
      </w:pPr>
      <w:bookmarkStart w:id="127" w:name="_Toc336337896"/>
      <w:bookmarkStart w:id="128" w:name="_Toc342914551"/>
      <w:bookmarkEnd w:id="127"/>
      <w:r w:rsidRPr="00EB4D74">
        <w:rPr>
          <w:rFonts w:ascii="Tahoma" w:hAnsi="Tahoma" w:cs="Tahoma"/>
          <w:sz w:val="22"/>
          <w:lang w:val="pt-BR"/>
        </w:rPr>
        <w:t>POOL DE SISTEMAS</w:t>
      </w:r>
      <w:bookmarkEnd w:id="128"/>
    </w:p>
    <w:p w:rsidR="008B1196" w:rsidRPr="00EB4D74" w:rsidRDefault="008B1196" w:rsidP="008B1196">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387"/>
        <w:gridCol w:w="333"/>
        <w:gridCol w:w="747"/>
        <w:gridCol w:w="333"/>
        <w:gridCol w:w="450"/>
        <w:gridCol w:w="450"/>
        <w:gridCol w:w="540"/>
      </w:tblGrid>
      <w:tr w:rsidR="008B1196" w:rsidRPr="00EB4D74" w:rsidTr="00EA30FC">
        <w:trPr>
          <w:cantSplit/>
          <w:trHeight w:val="389"/>
          <w:tblHeader/>
        </w:trPr>
        <w:tc>
          <w:tcPr>
            <w:tcW w:w="2610" w:type="dxa"/>
            <w:vMerge w:val="restart"/>
            <w:tcBorders>
              <w:top w:val="single" w:sz="4" w:space="0" w:color="FFFFFF"/>
              <w:left w:val="single" w:sz="4" w:space="0" w:color="FFFFFF"/>
            </w:tcBorders>
          </w:tcPr>
          <w:p w:rsidR="008B1196" w:rsidRPr="00EB4D74" w:rsidRDefault="008B1196" w:rsidP="00EA30FC">
            <w:pPr>
              <w:rPr>
                <w:rFonts w:cs="Tahoma"/>
                <w:sz w:val="20"/>
              </w:rPr>
            </w:pPr>
            <w:r>
              <w:rPr>
                <w:rFonts w:cs="Tahoma"/>
                <w:noProof/>
              </w:rPr>
              <mc:AlternateContent>
                <mc:Choice Requires="wps">
                  <w:drawing>
                    <wp:anchor distT="0" distB="0" distL="114300" distR="114300" simplePos="0" relativeHeight="251661312" behindDoc="0" locked="0" layoutInCell="1" allowOverlap="1" wp14:anchorId="55531EDC" wp14:editId="70D3B85C">
                      <wp:simplePos x="0" y="0"/>
                      <wp:positionH relativeFrom="column">
                        <wp:posOffset>1564005</wp:posOffset>
                      </wp:positionH>
                      <wp:positionV relativeFrom="paragraph">
                        <wp:posOffset>398780</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196" w:rsidRDefault="008B1196" w:rsidP="008B1196">
                                  <w:pPr>
                                    <w:rPr>
                                      <w:color w:val="0000FF"/>
                                      <w:sz w:val="20"/>
                                    </w:rPr>
                                  </w:pPr>
                                  <w:r>
                                    <w:rPr>
                                      <w:b/>
                                      <w:color w:val="0000FF"/>
                                      <w:sz w:val="8"/>
                                      <w:lang w:val="pt-BR"/>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15pt;margin-top:31.4pt;width:28.9pt;height:16.85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" filled="f" stroked="f">
                      <v:textbox style="mso-fit-shape-to-text:t">
                        <w:txbxContent>
                          <w:p w:rsidR="008B1196" w:rsidRDefault="008B1196" w:rsidP="008B1196">
                            <w:pPr>
                              <w:rPr>
                                <w:color w:val="0000FF"/>
                                <w:sz w:val="20"/>
                              </w:rPr>
                            </w:pPr>
                            <w:r>
                              <w:rPr>
                                <w:b/>
                                <w:color w:val="0000FF"/>
                                <w:sz w:val="8"/>
                                <w:lang w:val="pt-BR"/>
                              </w:rPr>
                              <w:t>(Ctrl + clique)</w:t>
                            </w:r>
                          </w:p>
                        </w:txbxContent>
                      </v:textbox>
                    </v:shape>
                  </w:pict>
                </mc:Fallback>
              </mc:AlternateContent>
            </w:r>
          </w:p>
        </w:tc>
        <w:tc>
          <w:tcPr>
            <w:tcW w:w="360" w:type="dxa"/>
            <w:vMerge w:val="restart"/>
            <w:tcBorders>
              <w:top w:val="single" w:sz="12"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 xml:space="preserve">Notas do </w:t>
            </w:r>
            <w:r w:rsidRPr="00EB4D74">
              <w:rPr>
                <w:rFonts w:ascii="Tahoma" w:hAnsi="Tahoma" w:cs="Tahoma"/>
                <w:sz w:val="9"/>
                <w:lang w:val="pt-BR"/>
              </w:rPr>
              <w:br/>
              <w:t>Produto</w:t>
            </w:r>
          </w:p>
        </w:tc>
        <w:tc>
          <w:tcPr>
            <w:tcW w:w="450" w:type="dxa"/>
            <w:vMerge w:val="restart"/>
            <w:tcBorders>
              <w:top w:val="single" w:sz="12" w:space="0" w:color="auto"/>
            </w:tcBorders>
            <w:textDirection w:val="btLr"/>
          </w:tcPr>
          <w:p w:rsidR="008B1196" w:rsidRPr="00EB4D74" w:rsidRDefault="008B1196" w:rsidP="00EA30FC">
            <w:pPr>
              <w:pStyle w:val="TableVerticalText"/>
              <w:spacing w:before="120"/>
              <w:rPr>
                <w:rFonts w:ascii="Tahoma" w:hAnsi="Tahoma" w:cs="Tahoma"/>
                <w:sz w:val="9"/>
              </w:rPr>
            </w:pPr>
            <w:r w:rsidRPr="00EB4D74">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SAB</w:t>
            </w:r>
          </w:p>
        </w:tc>
        <w:tc>
          <w:tcPr>
            <w:tcW w:w="3060" w:type="dxa"/>
            <w:gridSpan w:val="7"/>
            <w:tcBorders>
              <w:top w:val="single" w:sz="12" w:space="0" w:color="auto"/>
              <w:left w:val="single" w:sz="18" w:space="0" w:color="auto"/>
              <w:right w:val="single" w:sz="18" w:space="0" w:color="auto"/>
            </w:tcBorders>
            <w:vAlign w:val="center"/>
          </w:tcPr>
          <w:p w:rsidR="008B1196" w:rsidRPr="00EB4D74" w:rsidRDefault="008B1196" w:rsidP="00EA30FC">
            <w:pPr>
              <w:pStyle w:val="TableHeadingsBlack"/>
              <w:rPr>
                <w:rFonts w:ascii="Tahoma" w:hAnsi="Tahoma" w:cs="Tahoma"/>
                <w:sz w:val="9"/>
              </w:rPr>
            </w:pPr>
            <w:r w:rsidRPr="00EB4D74">
              <w:rPr>
                <w:rFonts w:ascii="Tahoma" w:hAnsi="Tahoma" w:cs="Tahoma"/>
                <w:sz w:val="9"/>
                <w:lang w:val="pt-BR"/>
              </w:rPr>
              <w:t>Select</w:t>
            </w:r>
          </w:p>
        </w:tc>
        <w:tc>
          <w:tcPr>
            <w:tcW w:w="1170" w:type="dxa"/>
            <w:gridSpan w:val="3"/>
            <w:tcBorders>
              <w:top w:val="single" w:sz="12" w:space="0" w:color="auto"/>
              <w:left w:val="single" w:sz="18" w:space="0" w:color="auto"/>
              <w:right w:val="single" w:sz="18" w:space="0" w:color="auto"/>
            </w:tcBorders>
            <w:vAlign w:val="center"/>
          </w:tcPr>
          <w:p w:rsidR="008B1196" w:rsidRPr="00EB4D74" w:rsidRDefault="008B1196" w:rsidP="00EA30FC">
            <w:pPr>
              <w:pStyle w:val="TableHeadingsBlack"/>
              <w:rPr>
                <w:rFonts w:ascii="Tahoma" w:hAnsi="Tahoma" w:cs="Tahoma"/>
                <w:sz w:val="9"/>
              </w:rPr>
            </w:pPr>
            <w:r w:rsidRPr="00EB4D74">
              <w:rPr>
                <w:rFonts w:ascii="Tahoma" w:hAnsi="Tahoma" w:cs="Tahoma"/>
                <w:sz w:val="9"/>
                <w:lang w:val="pt-BR"/>
              </w:rPr>
              <w:t>Licença Open</w:t>
            </w:r>
          </w:p>
        </w:tc>
        <w:tc>
          <w:tcPr>
            <w:tcW w:w="747" w:type="dxa"/>
            <w:vMerge w:val="restart"/>
            <w:tcBorders>
              <w:top w:val="single" w:sz="12" w:space="0" w:color="auto"/>
              <w:lef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Unidades Campus e School</w:t>
            </w:r>
          </w:p>
        </w:tc>
        <w:tc>
          <w:tcPr>
            <w:tcW w:w="333" w:type="dxa"/>
            <w:vMerge w:val="restart"/>
            <w:tcBorders>
              <w:top w:val="single" w:sz="12" w:space="0" w:color="auto"/>
              <w:righ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 xml:space="preserve">EA e </w:t>
            </w:r>
            <w:r w:rsidRPr="00EB4D74">
              <w:rPr>
                <w:rFonts w:ascii="Tahoma" w:hAnsi="Tahoma" w:cs="Tahoma"/>
                <w:sz w:val="9"/>
                <w:lang w:val="pt-BR"/>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OV / OVS</w:t>
            </w:r>
          </w:p>
        </w:tc>
        <w:tc>
          <w:tcPr>
            <w:tcW w:w="450" w:type="dxa"/>
            <w:vMerge w:val="restart"/>
            <w:tcBorders>
              <w:top w:val="single" w:sz="12" w:space="0" w:color="auto"/>
            </w:tcBorders>
            <w:textDirection w:val="btLr"/>
          </w:tcPr>
          <w:p w:rsidR="008B1196" w:rsidRPr="00EB4D74" w:rsidRDefault="008B1196" w:rsidP="00EA30FC">
            <w:pPr>
              <w:pStyle w:val="TableVerticalText"/>
              <w:spacing w:before="120"/>
              <w:jc w:val="left"/>
              <w:rPr>
                <w:rFonts w:ascii="Tahoma" w:hAnsi="Tahoma" w:cs="Tahoma"/>
                <w:sz w:val="9"/>
              </w:rPr>
            </w:pPr>
            <w:r w:rsidRPr="00EB4D74">
              <w:rPr>
                <w:rFonts w:ascii="Tahoma" w:hAnsi="Tahoma" w:cs="Tahoma"/>
                <w:sz w:val="9"/>
                <w:lang w:val="pt-BR"/>
              </w:rPr>
              <w:t>EES / OVS -ES</w:t>
            </w:r>
          </w:p>
        </w:tc>
        <w:tc>
          <w:tcPr>
            <w:tcW w:w="540" w:type="dxa"/>
            <w:vMerge w:val="restart"/>
            <w:tcBorders>
              <w:top w:val="single" w:sz="12"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Mínimo de Licenças Open</w:t>
            </w:r>
          </w:p>
        </w:tc>
      </w:tr>
      <w:tr w:rsidR="008B1196" w:rsidRPr="00EB4D74" w:rsidTr="00EA30FC">
        <w:trPr>
          <w:cantSplit/>
          <w:trHeight w:val="262"/>
          <w:tblHeader/>
        </w:trPr>
        <w:tc>
          <w:tcPr>
            <w:tcW w:w="2610" w:type="dxa"/>
            <w:vMerge/>
            <w:tcBorders>
              <w:left w:val="single" w:sz="4" w:space="0" w:color="FFFFFF"/>
            </w:tcBorders>
          </w:tcPr>
          <w:p w:rsidR="008B1196" w:rsidRPr="00EB4D74" w:rsidRDefault="008B1196" w:rsidP="00EA30FC">
            <w:pPr>
              <w:rPr>
                <w:rFonts w:cs="Tahoma"/>
                <w:sz w:val="20"/>
              </w:rPr>
            </w:pPr>
          </w:p>
        </w:tc>
        <w:tc>
          <w:tcPr>
            <w:tcW w:w="360" w:type="dxa"/>
            <w:vMerge/>
          </w:tcPr>
          <w:p w:rsidR="008B1196" w:rsidRPr="00EB4D74" w:rsidRDefault="008B1196" w:rsidP="00EA30FC">
            <w:pPr>
              <w:rPr>
                <w:rFonts w:cs="Tahoma"/>
                <w:b/>
                <w:sz w:val="20"/>
              </w:rPr>
            </w:pPr>
          </w:p>
        </w:tc>
        <w:tc>
          <w:tcPr>
            <w:tcW w:w="450" w:type="dxa"/>
            <w:vMerge/>
          </w:tcPr>
          <w:p w:rsidR="008B1196" w:rsidRPr="00EB4D74" w:rsidRDefault="008B1196" w:rsidP="00EA30FC">
            <w:pPr>
              <w:rPr>
                <w:rFonts w:cs="Tahoma"/>
                <w:sz w:val="20"/>
              </w:rPr>
            </w:pPr>
          </w:p>
        </w:tc>
        <w:tc>
          <w:tcPr>
            <w:tcW w:w="360" w:type="dxa"/>
            <w:vMerge/>
            <w:tcBorders>
              <w:right w:val="single" w:sz="18" w:space="0" w:color="auto"/>
            </w:tcBorders>
          </w:tcPr>
          <w:p w:rsidR="008B1196" w:rsidRPr="00EB4D74" w:rsidRDefault="008B1196" w:rsidP="00EA30FC">
            <w:pPr>
              <w:rPr>
                <w:rFonts w:cs="Tahoma"/>
                <w:sz w:val="20"/>
              </w:rPr>
            </w:pPr>
          </w:p>
        </w:tc>
        <w:tc>
          <w:tcPr>
            <w:tcW w:w="450" w:type="dxa"/>
            <w:vMerge w:val="restart"/>
            <w:tcBorders>
              <w:left w:val="single" w:sz="18" w:space="0" w:color="auto"/>
            </w:tcBorders>
            <w:vAlign w:val="center"/>
          </w:tcPr>
          <w:p w:rsidR="008B1196" w:rsidRPr="00EB4D74" w:rsidRDefault="008B1196" w:rsidP="00EA30FC">
            <w:pPr>
              <w:pStyle w:val="TableHeadingsRed"/>
              <w:rPr>
                <w:rFonts w:ascii="Tahoma" w:hAnsi="Tahoma" w:cs="Tahoma"/>
                <w:sz w:val="9"/>
              </w:rPr>
            </w:pPr>
            <w:r w:rsidRPr="00EB4D74">
              <w:rPr>
                <w:rFonts w:ascii="Tahoma" w:hAnsi="Tahoma" w:cs="Tahoma"/>
                <w:sz w:val="9"/>
                <w:lang w:val="pt-BR"/>
              </w:rPr>
              <w:t>L</w:t>
            </w:r>
          </w:p>
        </w:tc>
        <w:tc>
          <w:tcPr>
            <w:tcW w:w="1350" w:type="dxa"/>
            <w:gridSpan w:val="3"/>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L&amp;SA</w:t>
            </w:r>
          </w:p>
        </w:tc>
        <w:tc>
          <w:tcPr>
            <w:tcW w:w="1260" w:type="dxa"/>
            <w:gridSpan w:val="3"/>
            <w:tcBorders>
              <w:right w:val="single" w:sz="18" w:space="0" w:color="auto"/>
            </w:tcBorders>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SA</w:t>
            </w:r>
          </w:p>
        </w:tc>
        <w:tc>
          <w:tcPr>
            <w:tcW w:w="450" w:type="dxa"/>
            <w:vMerge w:val="restart"/>
            <w:tcBorders>
              <w:left w:val="single" w:sz="18" w:space="0" w:color="auto"/>
            </w:tcBorders>
            <w:vAlign w:val="center"/>
          </w:tcPr>
          <w:p w:rsidR="008B1196" w:rsidRPr="00EB4D74" w:rsidRDefault="008B1196" w:rsidP="00EA30FC">
            <w:pPr>
              <w:pStyle w:val="TableHeadingsRed"/>
              <w:rPr>
                <w:rFonts w:ascii="Tahoma" w:hAnsi="Tahoma" w:cs="Tahoma"/>
                <w:sz w:val="9"/>
              </w:rPr>
            </w:pPr>
            <w:r w:rsidRPr="00EB4D74">
              <w:rPr>
                <w:rFonts w:ascii="Tahoma" w:hAnsi="Tahoma" w:cs="Tahoma"/>
                <w:sz w:val="9"/>
                <w:lang w:val="pt-BR"/>
              </w:rPr>
              <w:t>L</w:t>
            </w:r>
          </w:p>
        </w:tc>
        <w:tc>
          <w:tcPr>
            <w:tcW w:w="387"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L&amp;SA</w:t>
            </w:r>
          </w:p>
        </w:tc>
        <w:tc>
          <w:tcPr>
            <w:tcW w:w="333" w:type="dxa"/>
            <w:vMerge w:val="restart"/>
            <w:tcBorders>
              <w:right w:val="single" w:sz="18" w:space="0" w:color="auto"/>
            </w:tcBorders>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SA</w:t>
            </w:r>
          </w:p>
        </w:tc>
        <w:tc>
          <w:tcPr>
            <w:tcW w:w="747" w:type="dxa"/>
            <w:vMerge/>
            <w:tcBorders>
              <w:left w:val="single" w:sz="18" w:space="0" w:color="auto"/>
            </w:tcBorders>
          </w:tcPr>
          <w:p w:rsidR="008B1196" w:rsidRPr="00EB4D74" w:rsidRDefault="008B1196" w:rsidP="00EA30FC">
            <w:pPr>
              <w:rPr>
                <w:rFonts w:cs="Tahoma"/>
                <w:sz w:val="20"/>
              </w:rPr>
            </w:pPr>
          </w:p>
        </w:tc>
        <w:tc>
          <w:tcPr>
            <w:tcW w:w="333" w:type="dxa"/>
            <w:vMerge/>
            <w:tcBorders>
              <w:right w:val="single" w:sz="18" w:space="0" w:color="auto"/>
            </w:tcBorders>
          </w:tcPr>
          <w:p w:rsidR="008B1196" w:rsidRPr="00EB4D74" w:rsidRDefault="008B1196" w:rsidP="00EA30FC">
            <w:pPr>
              <w:rPr>
                <w:rFonts w:cs="Tahoma"/>
                <w:sz w:val="20"/>
              </w:rPr>
            </w:pPr>
          </w:p>
        </w:tc>
        <w:tc>
          <w:tcPr>
            <w:tcW w:w="450" w:type="dxa"/>
            <w:vMerge/>
            <w:tcBorders>
              <w:left w:val="single" w:sz="18" w:space="0" w:color="auto"/>
              <w:right w:val="single" w:sz="18" w:space="0" w:color="auto"/>
            </w:tcBorders>
          </w:tcPr>
          <w:p w:rsidR="008B1196" w:rsidRPr="00EB4D74" w:rsidRDefault="008B1196" w:rsidP="00EA30FC">
            <w:pPr>
              <w:rPr>
                <w:rFonts w:cs="Tahoma"/>
                <w:sz w:val="20"/>
              </w:rPr>
            </w:pPr>
          </w:p>
        </w:tc>
        <w:tc>
          <w:tcPr>
            <w:tcW w:w="450" w:type="dxa"/>
            <w:vMerge/>
          </w:tcPr>
          <w:p w:rsidR="008B1196" w:rsidRPr="00EB4D74" w:rsidRDefault="008B1196" w:rsidP="00EA30FC">
            <w:pPr>
              <w:rPr>
                <w:rFonts w:cs="Tahoma"/>
                <w:sz w:val="20"/>
              </w:rPr>
            </w:pPr>
          </w:p>
        </w:tc>
        <w:tc>
          <w:tcPr>
            <w:tcW w:w="540" w:type="dxa"/>
            <w:vMerge/>
          </w:tcPr>
          <w:p w:rsidR="008B1196" w:rsidRPr="00EB4D74" w:rsidRDefault="008B1196" w:rsidP="00EA30FC">
            <w:pPr>
              <w:rPr>
                <w:rFonts w:cs="Tahoma"/>
                <w:sz w:val="20"/>
              </w:rPr>
            </w:pPr>
          </w:p>
        </w:tc>
      </w:tr>
      <w:tr w:rsidR="008B1196" w:rsidRPr="00EB4D74" w:rsidTr="00EA30FC">
        <w:trPr>
          <w:cantSplit/>
          <w:trHeight w:val="287"/>
          <w:tblHeader/>
        </w:trPr>
        <w:tc>
          <w:tcPr>
            <w:tcW w:w="2610" w:type="dxa"/>
            <w:vMerge/>
            <w:tcBorders>
              <w:left w:val="single" w:sz="4" w:space="0" w:color="FFFFFF"/>
            </w:tcBorders>
          </w:tcPr>
          <w:p w:rsidR="008B1196" w:rsidRPr="00EB4D74" w:rsidRDefault="008B1196" w:rsidP="00EA30FC">
            <w:pPr>
              <w:rPr>
                <w:rFonts w:cs="Tahoma"/>
                <w:sz w:val="20"/>
              </w:rPr>
            </w:pPr>
          </w:p>
        </w:tc>
        <w:tc>
          <w:tcPr>
            <w:tcW w:w="360" w:type="dxa"/>
            <w:vMerge/>
          </w:tcPr>
          <w:p w:rsidR="008B1196" w:rsidRPr="00EB4D74" w:rsidRDefault="008B1196" w:rsidP="00EA30FC">
            <w:pPr>
              <w:rPr>
                <w:rFonts w:cs="Tahoma"/>
                <w:b/>
                <w:sz w:val="20"/>
              </w:rPr>
            </w:pPr>
          </w:p>
        </w:tc>
        <w:tc>
          <w:tcPr>
            <w:tcW w:w="450" w:type="dxa"/>
            <w:vMerge/>
          </w:tcPr>
          <w:p w:rsidR="008B1196" w:rsidRPr="00EB4D74" w:rsidRDefault="008B1196" w:rsidP="00EA30FC">
            <w:pPr>
              <w:rPr>
                <w:rFonts w:cs="Tahoma"/>
                <w:sz w:val="20"/>
              </w:rPr>
            </w:pPr>
          </w:p>
        </w:tc>
        <w:tc>
          <w:tcPr>
            <w:tcW w:w="360" w:type="dxa"/>
            <w:vMerge/>
            <w:tcBorders>
              <w:right w:val="single" w:sz="18" w:space="0" w:color="auto"/>
            </w:tcBorders>
          </w:tcPr>
          <w:p w:rsidR="008B1196" w:rsidRPr="00EB4D74" w:rsidRDefault="008B1196" w:rsidP="00EA30FC">
            <w:pPr>
              <w:rPr>
                <w:rFonts w:cs="Tahoma"/>
                <w:sz w:val="20"/>
              </w:rPr>
            </w:pPr>
          </w:p>
        </w:tc>
        <w:tc>
          <w:tcPr>
            <w:tcW w:w="450" w:type="dxa"/>
            <w:vMerge/>
            <w:tcBorders>
              <w:left w:val="single" w:sz="18" w:space="0" w:color="auto"/>
            </w:tcBorders>
            <w:vAlign w:val="center"/>
          </w:tcPr>
          <w:p w:rsidR="008B1196" w:rsidRPr="00EB4D74" w:rsidRDefault="008B1196" w:rsidP="00EA30FC">
            <w:pPr>
              <w:jc w:val="center"/>
              <w:rPr>
                <w:rFonts w:cs="Tahoma"/>
                <w:sz w:val="20"/>
              </w:rPr>
            </w:pP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3An</w:t>
            </w: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2An</w:t>
            </w: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1An</w:t>
            </w:r>
          </w:p>
        </w:tc>
        <w:tc>
          <w:tcPr>
            <w:tcW w:w="450" w:type="dxa"/>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3An</w:t>
            </w:r>
          </w:p>
        </w:tc>
        <w:tc>
          <w:tcPr>
            <w:tcW w:w="450" w:type="dxa"/>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2An</w:t>
            </w:r>
          </w:p>
        </w:tc>
        <w:tc>
          <w:tcPr>
            <w:tcW w:w="360" w:type="dxa"/>
            <w:tcBorders>
              <w:right w:val="single" w:sz="18" w:space="0" w:color="auto"/>
            </w:tcBorders>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1An</w:t>
            </w:r>
          </w:p>
        </w:tc>
        <w:tc>
          <w:tcPr>
            <w:tcW w:w="450" w:type="dxa"/>
            <w:vMerge/>
            <w:tcBorders>
              <w:left w:val="single" w:sz="18" w:space="0" w:color="auto"/>
            </w:tcBorders>
            <w:vAlign w:val="center"/>
          </w:tcPr>
          <w:p w:rsidR="008B1196" w:rsidRPr="00EB4D74" w:rsidRDefault="008B1196" w:rsidP="00EA30FC">
            <w:pPr>
              <w:jc w:val="center"/>
              <w:rPr>
                <w:rFonts w:cs="Tahoma"/>
                <w:sz w:val="20"/>
              </w:rPr>
            </w:pPr>
          </w:p>
        </w:tc>
        <w:tc>
          <w:tcPr>
            <w:tcW w:w="387"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P</w:t>
            </w:r>
          </w:p>
        </w:tc>
        <w:tc>
          <w:tcPr>
            <w:tcW w:w="333" w:type="dxa"/>
            <w:vMerge/>
            <w:tcBorders>
              <w:right w:val="single" w:sz="18" w:space="0" w:color="auto"/>
            </w:tcBorders>
            <w:vAlign w:val="center"/>
          </w:tcPr>
          <w:p w:rsidR="008B1196" w:rsidRPr="00EB4D74" w:rsidRDefault="008B1196" w:rsidP="00EA30FC">
            <w:pPr>
              <w:jc w:val="center"/>
              <w:rPr>
                <w:rFonts w:cs="Tahoma"/>
                <w:sz w:val="20"/>
              </w:rPr>
            </w:pPr>
          </w:p>
        </w:tc>
        <w:tc>
          <w:tcPr>
            <w:tcW w:w="747" w:type="dxa"/>
            <w:vMerge/>
            <w:tcBorders>
              <w:left w:val="single" w:sz="18" w:space="0" w:color="auto"/>
            </w:tcBorders>
          </w:tcPr>
          <w:p w:rsidR="008B1196" w:rsidRPr="00EB4D74" w:rsidRDefault="008B1196" w:rsidP="00EA30FC">
            <w:pPr>
              <w:rPr>
                <w:rFonts w:cs="Tahoma"/>
                <w:sz w:val="20"/>
              </w:rPr>
            </w:pPr>
          </w:p>
        </w:tc>
        <w:tc>
          <w:tcPr>
            <w:tcW w:w="333" w:type="dxa"/>
            <w:vMerge/>
            <w:tcBorders>
              <w:right w:val="single" w:sz="18" w:space="0" w:color="auto"/>
            </w:tcBorders>
          </w:tcPr>
          <w:p w:rsidR="008B1196" w:rsidRPr="00EB4D74" w:rsidRDefault="008B1196" w:rsidP="00EA30FC">
            <w:pPr>
              <w:rPr>
                <w:rFonts w:cs="Tahoma"/>
                <w:sz w:val="20"/>
              </w:rPr>
            </w:pPr>
          </w:p>
        </w:tc>
        <w:tc>
          <w:tcPr>
            <w:tcW w:w="450" w:type="dxa"/>
            <w:vMerge/>
            <w:tcBorders>
              <w:left w:val="single" w:sz="18" w:space="0" w:color="auto"/>
              <w:right w:val="single" w:sz="18" w:space="0" w:color="auto"/>
            </w:tcBorders>
          </w:tcPr>
          <w:p w:rsidR="008B1196" w:rsidRPr="00EB4D74" w:rsidRDefault="008B1196" w:rsidP="00EA30FC">
            <w:pPr>
              <w:rPr>
                <w:rFonts w:cs="Tahoma"/>
                <w:sz w:val="20"/>
              </w:rPr>
            </w:pPr>
          </w:p>
        </w:tc>
        <w:tc>
          <w:tcPr>
            <w:tcW w:w="450" w:type="dxa"/>
            <w:vMerge/>
          </w:tcPr>
          <w:p w:rsidR="008B1196" w:rsidRPr="00EB4D74" w:rsidRDefault="008B1196" w:rsidP="00EA30FC">
            <w:pPr>
              <w:rPr>
                <w:rFonts w:cs="Tahoma"/>
                <w:sz w:val="20"/>
              </w:rPr>
            </w:pPr>
          </w:p>
        </w:tc>
        <w:tc>
          <w:tcPr>
            <w:tcW w:w="540" w:type="dxa"/>
            <w:vMerge/>
          </w:tcPr>
          <w:p w:rsidR="008B1196" w:rsidRPr="00EB4D74" w:rsidRDefault="008B1196" w:rsidP="00EA30FC">
            <w:pPr>
              <w:rPr>
                <w:rFonts w:cs="Tahoma"/>
                <w:sz w:val="20"/>
              </w:rPr>
            </w:pPr>
          </w:p>
        </w:tc>
      </w:tr>
      <w:tr w:rsidR="008B1196" w:rsidRPr="00EB4D74" w:rsidTr="00EA30FC">
        <w:trPr>
          <w:trHeight w:val="145"/>
        </w:trPr>
        <w:tc>
          <w:tcPr>
            <w:tcW w:w="2610" w:type="dxa"/>
            <w:shd w:val="clear" w:color="auto" w:fill="FABF8F"/>
          </w:tcPr>
          <w:p w:rsidR="008B1196" w:rsidRPr="00EB4D74" w:rsidRDefault="008B1196" w:rsidP="00EA30FC">
            <w:pPr>
              <w:pStyle w:val="ProductNames"/>
              <w:rPr>
                <w:rFonts w:ascii="Tahoma" w:hAnsi="Tahoma" w:cs="Tahoma"/>
                <w:sz w:val="14"/>
              </w:rPr>
            </w:pPr>
            <w:bookmarkStart w:id="129" w:name="_Toc336337897"/>
            <w:bookmarkStart w:id="130" w:name="_Toc342914552"/>
            <w:bookmarkEnd w:id="129"/>
            <w:r w:rsidRPr="00EB4D74">
              <w:rPr>
                <w:rFonts w:ascii="Tahoma" w:hAnsi="Tahoma" w:cs="Tahoma"/>
                <w:sz w:val="14"/>
                <w:lang w:val="pt-BR"/>
              </w:rPr>
              <w:t>Licença de Assinatura do Windows Companion</w:t>
            </w:r>
            <w:bookmarkEnd w:id="130"/>
          </w:p>
        </w:tc>
        <w:bookmarkStart w:id="131" w:name="_Hlt335908440"/>
        <w:bookmarkStart w:id="132" w:name="_Hlt335908548"/>
        <w:bookmarkStart w:id="133" w:name="_Hlt336250917"/>
        <w:bookmarkEnd w:id="131"/>
        <w:bookmarkEnd w:id="132"/>
        <w:bookmarkEnd w:id="133"/>
        <w:tc>
          <w:tcPr>
            <w:tcW w:w="360" w:type="dxa"/>
            <w:shd w:val="clear" w:color="auto" w:fill="FABF8F"/>
            <w:vAlign w:val="center"/>
          </w:tcPr>
          <w:p w:rsidR="008B1196" w:rsidRPr="00EB4D74" w:rsidRDefault="008B1196" w:rsidP="00EA30FC">
            <w:pPr>
              <w:pStyle w:val="TableText"/>
              <w:widowControl w:val="0"/>
              <w:rPr>
                <w:rFonts w:cs="Tahoma"/>
                <w:b/>
                <w:color w:val="0000FF"/>
                <w:sz w:val="13"/>
                <w:szCs w:val="13"/>
                <w:u w:val="single"/>
              </w:rPr>
            </w:pPr>
            <w:r w:rsidRPr="00EB4D74">
              <w:rPr>
                <w:rFonts w:cs="Tahoma"/>
                <w:sz w:val="13"/>
                <w:szCs w:val="13"/>
              </w:rPr>
              <w:fldChar w:fldCharType="begin"/>
            </w:r>
            <w:r w:rsidRPr="00EB4D74">
              <w:rPr>
                <w:rFonts w:cs="Tahoma"/>
                <w:sz w:val="13"/>
                <w:szCs w:val="13"/>
              </w:rPr>
              <w:instrText>HYPERLINK  \l "_21Licença_de_Assinatura"</w:instrText>
            </w:r>
            <w:r w:rsidRPr="00EB4D74">
              <w:rPr>
                <w:rFonts w:cs="Tahoma"/>
                <w:sz w:val="13"/>
                <w:szCs w:val="13"/>
              </w:rPr>
              <w:fldChar w:fldCharType="separate"/>
            </w:r>
            <w:r w:rsidRPr="00EB4D74">
              <w:rPr>
                <w:rStyle w:val="Hyperlink"/>
                <w:rFonts w:cs="Tahoma"/>
                <w:b/>
                <w:sz w:val="13"/>
                <w:szCs w:val="13"/>
              </w:rPr>
              <w:t>21</w:t>
            </w:r>
            <w:r w:rsidRPr="00EB4D74">
              <w:rPr>
                <w:rFonts w:cs="Tahoma"/>
                <w:sz w:val="13"/>
                <w:szCs w:val="13"/>
              </w:rPr>
              <w:fldChar w:fldCharType="end"/>
            </w:r>
          </w:p>
        </w:tc>
        <w:tc>
          <w:tcPr>
            <w:tcW w:w="450"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87" w:type="dxa"/>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w:t>
            </w:r>
          </w:p>
        </w:tc>
        <w:tc>
          <w:tcPr>
            <w:tcW w:w="450"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tcPr>
          <w:p w:rsidR="008B1196" w:rsidRPr="00EB4D74" w:rsidRDefault="008B1196" w:rsidP="00EA30FC">
            <w:pPr>
              <w:pStyle w:val="TableText"/>
              <w:rPr>
                <w:rFonts w:ascii="Tahoma" w:hAnsi="Tahoma" w:cs="Tahoma"/>
                <w:sz w:val="13"/>
              </w:rPr>
            </w:pPr>
            <w:r w:rsidRPr="00EB4D74">
              <w:rPr>
                <w:rFonts w:ascii="Tahoma" w:hAnsi="Tahoma" w:cs="Tahoma"/>
                <w:sz w:val="13"/>
                <w:lang w:val="pt-BR"/>
              </w:rPr>
              <w:t>A, (somente EES)</w:t>
            </w:r>
          </w:p>
        </w:tc>
        <w:tc>
          <w:tcPr>
            <w:tcW w:w="540"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trHeight w:val="145"/>
        </w:trPr>
        <w:tc>
          <w:tcPr>
            <w:tcW w:w="2610" w:type="dxa"/>
          </w:tcPr>
          <w:p w:rsidR="008B1196" w:rsidRPr="00EB4D74" w:rsidRDefault="008B1196" w:rsidP="00EA30FC">
            <w:pPr>
              <w:pStyle w:val="ProductNames"/>
              <w:rPr>
                <w:rFonts w:ascii="Tahoma" w:hAnsi="Tahoma" w:cs="Tahoma"/>
                <w:sz w:val="14"/>
              </w:rPr>
            </w:pPr>
            <w:bookmarkStart w:id="134" w:name="_Toc336337898"/>
            <w:bookmarkStart w:id="135" w:name="_Toc342914553"/>
            <w:bookmarkEnd w:id="134"/>
            <w:r w:rsidRPr="00EB4D74">
              <w:rPr>
                <w:rFonts w:ascii="Tahoma" w:hAnsi="Tahoma" w:cs="Tahoma"/>
                <w:sz w:val="14"/>
                <w:lang w:val="pt-BR"/>
              </w:rPr>
              <w:t>DVD Playback Pack Windows Vista</w:t>
            </w:r>
            <w:bookmarkEnd w:id="135"/>
          </w:p>
        </w:tc>
        <w:tc>
          <w:tcPr>
            <w:tcW w:w="360" w:type="dxa"/>
            <w:vAlign w:val="center"/>
          </w:tcPr>
          <w:p w:rsidR="008B1196" w:rsidRPr="00EB4D74" w:rsidRDefault="008B1196" w:rsidP="00EA30FC">
            <w:pPr>
              <w:pStyle w:val="TableText"/>
              <w:widowControl w:val="0"/>
              <w:rPr>
                <w:rFonts w:cs="Tahoma"/>
                <w:b/>
                <w:color w:val="0000FF"/>
                <w:sz w:val="13"/>
                <w:szCs w:val="13"/>
                <w:u w:val="single"/>
              </w:rPr>
            </w:pPr>
            <w:hyperlink w:anchor="Sys_24WindowsVistaDVDPack" w:history="1">
              <w:r w:rsidRPr="00EB4D74">
                <w:rPr>
                  <w:rStyle w:val="Hyperlink"/>
                  <w:rFonts w:cs="Tahoma"/>
                  <w:b/>
                  <w:sz w:val="13"/>
                  <w:szCs w:val="13"/>
                </w:rPr>
                <w:t>22</w:t>
              </w:r>
            </w:hyperlink>
          </w:p>
        </w:tc>
        <w:tc>
          <w:tcPr>
            <w:tcW w:w="450" w:type="dxa"/>
          </w:tcPr>
          <w:p w:rsidR="008B1196" w:rsidRPr="00EB4D74" w:rsidDel="00587D23" w:rsidRDefault="008B1196" w:rsidP="00EA30FC">
            <w:pPr>
              <w:pStyle w:val="TableText"/>
              <w:rPr>
                <w:rFonts w:ascii="Tahoma" w:hAnsi="Tahoma" w:cs="Tahoma"/>
                <w:sz w:val="13"/>
              </w:rPr>
            </w:pPr>
            <w:r w:rsidRPr="00EB4D74">
              <w:rPr>
                <w:rFonts w:ascii="Tahoma" w:hAnsi="Tahoma" w:cs="Tahoma"/>
                <w:sz w:val="13"/>
              </w:rPr>
              <w:t>03/11</w:t>
            </w:r>
          </w:p>
        </w:tc>
        <w:tc>
          <w:tcPr>
            <w:tcW w:w="360"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3060" w:type="dxa"/>
            <w:gridSpan w:val="7"/>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87" w:type="dxa"/>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p>
        </w:tc>
        <w:tc>
          <w:tcPr>
            <w:tcW w:w="450" w:type="dxa"/>
          </w:tcPr>
          <w:p w:rsidR="008B1196" w:rsidRPr="00EB4D74" w:rsidRDefault="008B1196" w:rsidP="00EA30FC">
            <w:pPr>
              <w:pStyle w:val="TableText"/>
              <w:rPr>
                <w:rFonts w:ascii="Tahoma" w:hAnsi="Tahoma" w:cs="Tahoma"/>
                <w:sz w:val="13"/>
              </w:rPr>
            </w:pPr>
          </w:p>
        </w:tc>
        <w:tc>
          <w:tcPr>
            <w:tcW w:w="540" w:type="dxa"/>
            <w:vAlign w:val="center"/>
          </w:tcPr>
          <w:p w:rsidR="008B1196" w:rsidRPr="00EB4D74" w:rsidRDefault="008B1196" w:rsidP="00EA30FC">
            <w:pPr>
              <w:pStyle w:val="TableText"/>
              <w:rPr>
                <w:rFonts w:ascii="Tahoma" w:hAnsi="Tahoma" w:cs="Tahoma"/>
                <w:sz w:val="13"/>
              </w:rPr>
            </w:pPr>
          </w:p>
        </w:tc>
      </w:tr>
      <w:tr w:rsidR="008B1196" w:rsidRPr="00EB4D74" w:rsidTr="00EA30FC">
        <w:trPr>
          <w:trHeight w:val="145"/>
        </w:trPr>
        <w:tc>
          <w:tcPr>
            <w:tcW w:w="2610" w:type="dxa"/>
            <w:shd w:val="clear" w:color="auto" w:fill="FABF8F"/>
          </w:tcPr>
          <w:p w:rsidR="008B1196" w:rsidRPr="00EB4D74" w:rsidRDefault="008B1196" w:rsidP="00EA30FC">
            <w:pPr>
              <w:pStyle w:val="ProductNames"/>
              <w:rPr>
                <w:rFonts w:ascii="Tahoma" w:hAnsi="Tahoma" w:cs="Tahoma"/>
                <w:sz w:val="14"/>
              </w:rPr>
            </w:pPr>
            <w:bookmarkStart w:id="136" w:name="_Toc336337899"/>
            <w:bookmarkStart w:id="137" w:name="_Toc342914554"/>
            <w:bookmarkEnd w:id="136"/>
            <w:r w:rsidRPr="00EB4D74">
              <w:rPr>
                <w:rFonts w:ascii="Tahoma" w:hAnsi="Tahoma" w:cs="Tahoma"/>
                <w:sz w:val="14"/>
                <w:lang w:val="pt-BR"/>
              </w:rPr>
              <w:t>Microsoft Desktop Optimization Pack para Software Assurance</w:t>
            </w:r>
            <w:bookmarkEnd w:id="137"/>
          </w:p>
        </w:tc>
        <w:bookmarkStart w:id="138" w:name="_Hlt336247928"/>
        <w:bookmarkStart w:id="139" w:name="_Hlt336247929"/>
        <w:bookmarkEnd w:id="138"/>
        <w:bookmarkEnd w:id="139"/>
        <w:tc>
          <w:tcPr>
            <w:tcW w:w="360" w:type="dxa"/>
            <w:shd w:val="clear" w:color="auto" w:fill="FABF8F"/>
            <w:vAlign w:val="center"/>
          </w:tcPr>
          <w:p w:rsidR="008B1196" w:rsidRPr="00EB4D74" w:rsidRDefault="008B1196" w:rsidP="00EA30FC">
            <w:pPr>
              <w:pStyle w:val="TableText"/>
              <w:widowControl w:val="0"/>
              <w:rPr>
                <w:rStyle w:val="EndnoteReference"/>
                <w:rFonts w:cs="Tahoma"/>
                <w:b w:val="0"/>
                <w:color w:val="0000FF"/>
                <w:sz w:val="13"/>
                <w:szCs w:val="13"/>
                <w:u w:val="single"/>
              </w:rPr>
            </w:pPr>
            <w:r w:rsidRPr="00EB4D74">
              <w:rPr>
                <w:rFonts w:cs="Tahoma"/>
                <w:sz w:val="13"/>
                <w:szCs w:val="13"/>
              </w:rPr>
              <w:fldChar w:fldCharType="begin"/>
            </w:r>
            <w:r w:rsidRPr="00EB4D74">
              <w:rPr>
                <w:rFonts w:cs="Tahoma"/>
                <w:sz w:val="13"/>
                <w:szCs w:val="13"/>
              </w:rPr>
              <w:instrText>HYPERLINK  \l "_23_Microsoft_Desktop"</w:instrText>
            </w:r>
            <w:r w:rsidRPr="00EB4D74">
              <w:rPr>
                <w:rFonts w:cs="Tahoma"/>
                <w:sz w:val="13"/>
                <w:szCs w:val="13"/>
              </w:rPr>
              <w:fldChar w:fldCharType="separate"/>
            </w:r>
            <w:r w:rsidRPr="00EB4D74">
              <w:rPr>
                <w:rStyle w:val="Hyperlink"/>
                <w:rFonts w:cs="Tahoma"/>
                <w:b/>
                <w:sz w:val="13"/>
                <w:szCs w:val="13"/>
              </w:rPr>
              <w:t>23</w:t>
            </w:r>
            <w:r w:rsidRPr="00EB4D74">
              <w:rPr>
                <w:rFonts w:cs="Tahoma"/>
                <w:sz w:val="13"/>
                <w:szCs w:val="13"/>
              </w:rPr>
              <w:fldChar w:fldCharType="end"/>
            </w:r>
          </w:p>
        </w:tc>
        <w:tc>
          <w:tcPr>
            <w:tcW w:w="450" w:type="dxa"/>
            <w:shd w:val="clear" w:color="auto" w:fill="FABF8F"/>
          </w:tcPr>
          <w:p w:rsidR="008B1196" w:rsidRPr="00EB4D74" w:rsidRDefault="008B1196" w:rsidP="00EA30FC">
            <w:pPr>
              <w:pStyle w:val="TableText"/>
              <w:spacing w:before="120"/>
              <w:rPr>
                <w:rFonts w:ascii="Tahoma" w:hAnsi="Tahoma" w:cs="Tahoma"/>
                <w:sz w:val="13"/>
              </w:rPr>
            </w:pPr>
            <w:r>
              <w:rPr>
                <w:rFonts w:ascii="Tahoma" w:hAnsi="Tahoma" w:cs="Tahoma"/>
                <w:sz w:val="13"/>
              </w:rPr>
              <w:t>11/12</w:t>
            </w: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306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87" w:type="dxa"/>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2, E</w:t>
            </w: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 A</w:t>
            </w:r>
          </w:p>
        </w:tc>
        <w:tc>
          <w:tcPr>
            <w:tcW w:w="450"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450" w:type="dxa"/>
            <w:shd w:val="clear" w:color="auto" w:fill="FABF8F"/>
          </w:tcPr>
          <w:p w:rsidR="008B1196" w:rsidRPr="00EB4D74" w:rsidRDefault="008B1196" w:rsidP="00EA30FC">
            <w:pPr>
              <w:pStyle w:val="TableText"/>
              <w:spacing w:before="120"/>
              <w:rPr>
                <w:rFonts w:ascii="Tahoma" w:hAnsi="Tahoma" w:cs="Tahoma"/>
                <w:sz w:val="13"/>
              </w:rPr>
            </w:pPr>
            <w:r w:rsidRPr="00EB4D74">
              <w:rPr>
                <w:rFonts w:ascii="Tahoma" w:hAnsi="Tahoma" w:cs="Tahoma"/>
                <w:sz w:val="13"/>
                <w:lang w:val="pt-BR"/>
              </w:rPr>
              <w:t>A,ST</w:t>
            </w:r>
          </w:p>
        </w:tc>
        <w:tc>
          <w:tcPr>
            <w:tcW w:w="540"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trHeight w:val="145"/>
        </w:trPr>
        <w:tc>
          <w:tcPr>
            <w:tcW w:w="2610" w:type="dxa"/>
            <w:shd w:val="clear" w:color="auto" w:fill="auto"/>
          </w:tcPr>
          <w:p w:rsidR="008B1196" w:rsidRPr="00EB4D74" w:rsidRDefault="008B1196" w:rsidP="00EA30FC">
            <w:pPr>
              <w:pStyle w:val="ProductNames"/>
              <w:rPr>
                <w:rFonts w:ascii="Tahoma" w:hAnsi="Tahoma" w:cs="Tahoma"/>
                <w:sz w:val="14"/>
              </w:rPr>
            </w:pPr>
            <w:bookmarkStart w:id="140" w:name="_Toc336337900"/>
            <w:bookmarkStart w:id="141" w:name="_Toc336337901"/>
            <w:bookmarkStart w:id="142" w:name="_Toc342914556"/>
            <w:bookmarkEnd w:id="140"/>
            <w:bookmarkEnd w:id="141"/>
            <w:r w:rsidRPr="00EB4D74">
              <w:rPr>
                <w:rFonts w:ascii="Tahoma" w:hAnsi="Tahoma" w:cs="Tahoma"/>
                <w:sz w:val="14"/>
                <w:lang w:val="pt-BR"/>
              </w:rPr>
              <w:t>Direitos de Locação para Windows</w:t>
            </w:r>
            <w:bookmarkEnd w:id="142"/>
          </w:p>
        </w:tc>
        <w:tc>
          <w:tcPr>
            <w:tcW w:w="360" w:type="dxa"/>
            <w:shd w:val="clear" w:color="auto" w:fill="auto"/>
            <w:vAlign w:val="center"/>
          </w:tcPr>
          <w:p w:rsidR="008B1196" w:rsidRPr="00EB4D74" w:rsidRDefault="008B1196" w:rsidP="00EA30FC">
            <w:pPr>
              <w:pStyle w:val="TableText"/>
              <w:widowControl w:val="0"/>
              <w:rPr>
                <w:rFonts w:cs="Tahoma"/>
                <w:sz w:val="13"/>
                <w:szCs w:val="13"/>
              </w:rPr>
            </w:pPr>
          </w:p>
        </w:tc>
        <w:tc>
          <w:tcPr>
            <w:tcW w:w="450" w:type="dxa"/>
            <w:shd w:val="clear" w:color="auto" w:fill="auto"/>
          </w:tcPr>
          <w:p w:rsidR="008B1196" w:rsidRPr="00EB4D74" w:rsidRDefault="008B1196" w:rsidP="00EA30FC">
            <w:pPr>
              <w:pStyle w:val="TableText"/>
              <w:rPr>
                <w:rFonts w:ascii="Tahoma" w:hAnsi="Tahoma" w:cs="Tahoma"/>
                <w:sz w:val="13"/>
              </w:rPr>
            </w:pPr>
            <w:r w:rsidRPr="00EB4D74">
              <w:rPr>
                <w:rFonts w:ascii="Tahoma" w:hAnsi="Tahoma" w:cs="Tahoma"/>
                <w:sz w:val="13"/>
              </w:rPr>
              <w:t>04/09</w:t>
            </w:r>
          </w:p>
        </w:tc>
        <w:tc>
          <w:tcPr>
            <w:tcW w:w="360"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87" w:type="dxa"/>
            <w:shd w:val="clear" w:color="auto" w:fill="auto"/>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tcPr>
          <w:p w:rsidR="008B1196" w:rsidRPr="00EB4D74" w:rsidRDefault="008B1196" w:rsidP="00EA30FC">
            <w:pPr>
              <w:pStyle w:val="TableText"/>
              <w:spacing w:before="120"/>
              <w:rPr>
                <w:rFonts w:ascii="Tahoma" w:hAnsi="Tahoma" w:cs="Tahoma"/>
                <w:sz w:val="13"/>
              </w:rPr>
            </w:pPr>
          </w:p>
        </w:tc>
        <w:tc>
          <w:tcPr>
            <w:tcW w:w="540"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trHeight w:val="145"/>
        </w:trPr>
        <w:tc>
          <w:tcPr>
            <w:tcW w:w="2610" w:type="dxa"/>
            <w:shd w:val="clear" w:color="auto" w:fill="FABF8F"/>
          </w:tcPr>
          <w:p w:rsidR="008B1196" w:rsidRPr="00EB4D74" w:rsidRDefault="008B1196" w:rsidP="00EA30FC">
            <w:pPr>
              <w:pStyle w:val="ProductNames"/>
              <w:rPr>
                <w:rFonts w:ascii="Tahoma" w:hAnsi="Tahoma" w:cs="Tahoma"/>
                <w:sz w:val="14"/>
              </w:rPr>
            </w:pPr>
            <w:bookmarkStart w:id="143" w:name="_Toc336337902"/>
            <w:bookmarkStart w:id="144" w:name="_Toc342914557"/>
            <w:bookmarkEnd w:id="143"/>
            <w:r w:rsidRPr="00EB4D74">
              <w:rPr>
                <w:rFonts w:ascii="Tahoma" w:hAnsi="Tahoma" w:cs="Tahoma"/>
                <w:sz w:val="14"/>
                <w:lang w:val="pt-BR"/>
              </w:rPr>
              <w:t>Windows 8 Enterprise Sideloading (Pacote com 100)</w:t>
            </w:r>
            <w:bookmarkEnd w:id="144"/>
          </w:p>
        </w:tc>
        <w:tc>
          <w:tcPr>
            <w:tcW w:w="360" w:type="dxa"/>
            <w:shd w:val="clear" w:color="auto" w:fill="FABF8F"/>
            <w:vAlign w:val="center"/>
          </w:tcPr>
          <w:p w:rsidR="008B1196" w:rsidRPr="00EB4D74" w:rsidRDefault="008B1196" w:rsidP="00EA30FC">
            <w:pPr>
              <w:pStyle w:val="TableText"/>
              <w:widowControl w:val="0"/>
              <w:rPr>
                <w:rFonts w:cs="Tahoma"/>
                <w:b/>
                <w:sz w:val="13"/>
                <w:szCs w:val="13"/>
                <w:u w:val="single"/>
              </w:rPr>
            </w:pPr>
            <w:hyperlink w:anchor="_Toc336338284" w:history="1">
              <w:r w:rsidRPr="00EB4D74">
                <w:rPr>
                  <w:rStyle w:val="Hyperlink"/>
                  <w:rFonts w:cs="Tahoma"/>
                  <w:b/>
                  <w:sz w:val="13"/>
                  <w:szCs w:val="13"/>
                </w:rPr>
                <w:t>24</w:t>
              </w:r>
            </w:hyperlink>
          </w:p>
        </w:tc>
        <w:tc>
          <w:tcPr>
            <w:tcW w:w="450" w:type="dxa"/>
            <w:shd w:val="clear" w:color="auto" w:fill="FABF8F"/>
          </w:tcPr>
          <w:p w:rsidR="008B1196" w:rsidRPr="00EB4D74" w:rsidRDefault="008B1196" w:rsidP="00EA30FC">
            <w:pPr>
              <w:pStyle w:val="TableText"/>
              <w:spacing w:before="12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vAlign w:val="center"/>
          </w:tcPr>
          <w:p w:rsidR="008B1196" w:rsidRPr="00EB4D74" w:rsidRDefault="008B1196" w:rsidP="00EA30FC">
            <w:pPr>
              <w:pStyle w:val="TableText"/>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87" w:type="dxa"/>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tcPr>
          <w:p w:rsidR="008B1196" w:rsidRPr="00EB4D74" w:rsidRDefault="008B1196" w:rsidP="00EA30FC">
            <w:pPr>
              <w:pStyle w:val="TableText"/>
              <w:spacing w:before="120"/>
              <w:rPr>
                <w:rFonts w:ascii="Tahoma" w:hAnsi="Tahoma" w:cs="Tahoma"/>
                <w:sz w:val="13"/>
              </w:rPr>
            </w:pPr>
          </w:p>
        </w:tc>
        <w:tc>
          <w:tcPr>
            <w:tcW w:w="540"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LO</w:t>
            </w:r>
          </w:p>
        </w:tc>
      </w:tr>
      <w:tr w:rsidR="008B1196" w:rsidRPr="00EB4D74" w:rsidTr="00EA30FC">
        <w:trPr>
          <w:trHeight w:val="145"/>
        </w:trPr>
        <w:tc>
          <w:tcPr>
            <w:tcW w:w="2610" w:type="dxa"/>
            <w:shd w:val="clear" w:color="auto" w:fill="auto"/>
          </w:tcPr>
          <w:p w:rsidR="008B1196" w:rsidRPr="00EB4D74" w:rsidRDefault="008B1196" w:rsidP="00EA30FC">
            <w:pPr>
              <w:pStyle w:val="ProductNames"/>
              <w:rPr>
                <w:rFonts w:ascii="Tahoma" w:hAnsi="Tahoma" w:cs="Tahoma"/>
                <w:sz w:val="14"/>
              </w:rPr>
            </w:pPr>
            <w:bookmarkStart w:id="145" w:name="_Toc336337903"/>
            <w:bookmarkStart w:id="146" w:name="_Toc342914558"/>
            <w:bookmarkEnd w:id="145"/>
            <w:r w:rsidRPr="00EB4D74">
              <w:rPr>
                <w:rFonts w:ascii="Tahoma" w:hAnsi="Tahoma" w:cs="Tahoma"/>
                <w:sz w:val="14"/>
                <w:lang w:val="pt-BR"/>
              </w:rPr>
              <w:t>Parceiros na Aprendizagem do Windows</w:t>
            </w:r>
            <w:r w:rsidRPr="00EB4D74">
              <w:rPr>
                <w:rFonts w:ascii="Tahoma" w:hAnsi="Tahoma" w:cs="Tahoma"/>
                <w:sz w:val="14"/>
                <w:vertAlign w:val="superscript"/>
                <w:lang w:val="pt-BR"/>
              </w:rPr>
              <w:t>®</w:t>
            </w:r>
            <w:r w:rsidRPr="00EB4D74">
              <w:rPr>
                <w:rFonts w:ascii="Tahoma" w:hAnsi="Tahoma" w:cs="Tahoma"/>
                <w:sz w:val="14"/>
                <w:lang w:val="pt-BR"/>
              </w:rPr>
              <w:t xml:space="preserve"> 7</w:t>
            </w:r>
            <w:bookmarkEnd w:id="146"/>
          </w:p>
        </w:tc>
        <w:tc>
          <w:tcPr>
            <w:tcW w:w="360" w:type="dxa"/>
            <w:shd w:val="clear" w:color="auto" w:fill="auto"/>
            <w:vAlign w:val="center"/>
          </w:tcPr>
          <w:p w:rsidR="008B1196" w:rsidRPr="00EB4D74" w:rsidRDefault="008B1196" w:rsidP="00EA30FC">
            <w:pPr>
              <w:pStyle w:val="TableText"/>
              <w:widowControl w:val="0"/>
              <w:rPr>
                <w:rFonts w:cs="Tahoma"/>
                <w:b/>
                <w:sz w:val="13"/>
                <w:szCs w:val="13"/>
                <w:u w:val="single"/>
              </w:rPr>
            </w:pPr>
            <w:hyperlink w:anchor="Sys_25WindowsPartnersLearning" w:history="1">
              <w:r w:rsidRPr="00EB4D74">
                <w:rPr>
                  <w:rStyle w:val="Hyperlink"/>
                  <w:rFonts w:cs="Tahoma"/>
                  <w:b/>
                  <w:sz w:val="13"/>
                  <w:szCs w:val="13"/>
                </w:rPr>
                <w:t>25</w:t>
              </w:r>
            </w:hyperlink>
          </w:p>
        </w:tc>
        <w:tc>
          <w:tcPr>
            <w:tcW w:w="450" w:type="dxa"/>
            <w:shd w:val="clear" w:color="auto" w:fill="auto"/>
          </w:tcPr>
          <w:p w:rsidR="008B1196" w:rsidRPr="00EB4D74" w:rsidRDefault="008B1196" w:rsidP="00EA30FC">
            <w:pPr>
              <w:pStyle w:val="TableText"/>
              <w:spacing w:before="120"/>
              <w:rPr>
                <w:rFonts w:ascii="Tahoma" w:hAnsi="Tahoma" w:cs="Tahoma"/>
                <w:sz w:val="13"/>
              </w:rPr>
            </w:pPr>
            <w:r w:rsidRPr="00EB4D74">
              <w:rPr>
                <w:rFonts w:ascii="Tahoma" w:hAnsi="Tahoma" w:cs="Tahoma"/>
                <w:sz w:val="13"/>
              </w:rPr>
              <w:t>11/09</w:t>
            </w:r>
          </w:p>
        </w:tc>
        <w:tc>
          <w:tcPr>
            <w:tcW w:w="360"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vAlign w:val="center"/>
          </w:tcPr>
          <w:p w:rsidR="008B1196" w:rsidRPr="00EB4D74" w:rsidRDefault="008B1196" w:rsidP="00EA30FC">
            <w:pPr>
              <w:pStyle w:val="TableText"/>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387" w:type="dxa"/>
            <w:shd w:val="clear" w:color="auto" w:fill="auto"/>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r w:rsidRPr="00EB4D74">
              <w:rPr>
                <w:rFonts w:ascii="Tahoma" w:hAnsi="Tahoma" w:cs="Tahoma"/>
                <w:sz w:val="13"/>
                <w:szCs w:val="13"/>
                <w:lang w:val="pt-BR"/>
              </w:rPr>
              <w:t>2</w:t>
            </w:r>
            <w:r w:rsidRPr="00EB4D74">
              <w:rPr>
                <w:rFonts w:ascii="Tahoma" w:hAnsi="Tahoma" w:cs="Tahoma"/>
                <w:lang w:val="pt-BR"/>
              </w:rPr>
              <w:t xml:space="preserve"> </w:t>
            </w:r>
            <w:r w:rsidRPr="00EB4D74">
              <w:rPr>
                <w:rFonts w:ascii="Tahoma" w:hAnsi="Tahoma" w:cs="Tahoma"/>
                <w:lang w:val="pt-BR"/>
              </w:rPr>
              <w:br/>
            </w:r>
            <w:r w:rsidRPr="00EB4D74">
              <w:rPr>
                <w:rFonts w:ascii="Tahoma" w:hAnsi="Tahoma" w:cs="Tahoma"/>
                <w:sz w:val="10"/>
                <w:szCs w:val="10"/>
                <w:lang w:val="pt-BR"/>
              </w:rPr>
              <w:t>(somente School)</w:t>
            </w:r>
          </w:p>
        </w:tc>
        <w:tc>
          <w:tcPr>
            <w:tcW w:w="333" w:type="dxa"/>
            <w:tcBorders>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8B1196" w:rsidRPr="00EB4D74" w:rsidRDefault="008B1196" w:rsidP="00EA30FC">
            <w:pPr>
              <w:pStyle w:val="TableText"/>
              <w:rPr>
                <w:rFonts w:ascii="Tahoma" w:hAnsi="Tahoma" w:cs="Tahoma"/>
                <w:sz w:val="13"/>
              </w:rPr>
            </w:pPr>
          </w:p>
        </w:tc>
        <w:tc>
          <w:tcPr>
            <w:tcW w:w="450" w:type="dxa"/>
            <w:shd w:val="clear" w:color="auto" w:fill="auto"/>
          </w:tcPr>
          <w:p w:rsidR="008B1196" w:rsidRPr="00EB4D74" w:rsidRDefault="008B1196" w:rsidP="00EA30FC">
            <w:pPr>
              <w:pStyle w:val="TableText"/>
              <w:spacing w:before="120"/>
              <w:rPr>
                <w:rFonts w:ascii="Tahoma" w:hAnsi="Tahoma" w:cs="Tahoma"/>
                <w:sz w:val="13"/>
              </w:rPr>
            </w:pPr>
          </w:p>
        </w:tc>
        <w:tc>
          <w:tcPr>
            <w:tcW w:w="540" w:type="dxa"/>
            <w:shd w:val="clear" w:color="auto" w:fill="auto"/>
            <w:vAlign w:val="center"/>
          </w:tcPr>
          <w:p w:rsidR="008B1196" w:rsidRPr="00EB4D74" w:rsidRDefault="008B1196" w:rsidP="00EA30FC">
            <w:pPr>
              <w:pStyle w:val="TableText"/>
              <w:rPr>
                <w:rFonts w:ascii="Tahoma" w:hAnsi="Tahoma" w:cs="Tahoma"/>
                <w:sz w:val="13"/>
              </w:rPr>
            </w:pPr>
          </w:p>
        </w:tc>
      </w:tr>
      <w:tr w:rsidR="008B1196" w:rsidRPr="00EB4D74" w:rsidTr="00EA30FC">
        <w:trPr>
          <w:trHeight w:val="145"/>
        </w:trPr>
        <w:tc>
          <w:tcPr>
            <w:tcW w:w="2610" w:type="dxa"/>
          </w:tcPr>
          <w:p w:rsidR="008B1196" w:rsidRPr="00EB4D74" w:rsidRDefault="008B1196" w:rsidP="00EA30FC">
            <w:pPr>
              <w:pStyle w:val="ProductNames"/>
              <w:rPr>
                <w:rFonts w:ascii="Tahoma" w:hAnsi="Tahoma" w:cs="Tahoma"/>
                <w:sz w:val="14"/>
              </w:rPr>
            </w:pPr>
            <w:bookmarkStart w:id="147" w:name="_Toc336337904"/>
            <w:bookmarkStart w:id="148" w:name="_Toc342914559"/>
            <w:bookmarkEnd w:id="147"/>
            <w:r w:rsidRPr="00EB4D74">
              <w:rPr>
                <w:rFonts w:ascii="Tahoma" w:hAnsi="Tahoma" w:cs="Tahoma"/>
                <w:sz w:val="14"/>
                <w:lang w:val="pt-BR"/>
              </w:rPr>
              <w:lastRenderedPageBreak/>
              <w:t>Windows</w:t>
            </w:r>
            <w:r w:rsidRPr="00EB4D74">
              <w:rPr>
                <w:rFonts w:ascii="Tahoma" w:hAnsi="Tahoma" w:cs="Tahoma"/>
                <w:sz w:val="14"/>
                <w:vertAlign w:val="superscript"/>
                <w:lang w:val="pt-BR"/>
              </w:rPr>
              <w:t>®</w:t>
            </w:r>
            <w:r w:rsidRPr="00EB4D74">
              <w:rPr>
                <w:rFonts w:ascii="Tahoma" w:hAnsi="Tahoma" w:cs="Tahoma"/>
                <w:sz w:val="14"/>
                <w:lang w:val="pt-BR"/>
              </w:rPr>
              <w:t xml:space="preserve"> 8 Pro</w:t>
            </w:r>
            <w:bookmarkEnd w:id="148"/>
          </w:p>
        </w:tc>
        <w:bookmarkStart w:id="149" w:name="_Hlt336250941"/>
        <w:bookmarkEnd w:id="149"/>
        <w:tc>
          <w:tcPr>
            <w:tcW w:w="360" w:type="dxa"/>
            <w:vAlign w:val="center"/>
          </w:tcPr>
          <w:p w:rsidR="008B1196" w:rsidRPr="00EB4D74" w:rsidRDefault="008B1196" w:rsidP="00EA30FC">
            <w:pPr>
              <w:pStyle w:val="TableText"/>
              <w:widowControl w:val="0"/>
              <w:rPr>
                <w:rStyle w:val="EndnoteReference"/>
                <w:rFonts w:cs="Tahoma"/>
                <w:b w:val="0"/>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"Sys_27WindowsVistaProUpgrade"</w:instrText>
            </w:r>
            <w:r w:rsidRPr="00EB4D74">
              <w:rPr>
                <w:rFonts w:cs="Tahoma"/>
                <w:sz w:val="13"/>
                <w:szCs w:val="13"/>
              </w:rPr>
              <w:fldChar w:fldCharType="separate"/>
            </w:r>
            <w:r w:rsidRPr="00EB4D74">
              <w:rPr>
                <w:rStyle w:val="Hyperlink"/>
                <w:rFonts w:cs="Tahoma"/>
                <w:b/>
                <w:sz w:val="13"/>
                <w:szCs w:val="13"/>
              </w:rPr>
              <w:t>26</w:t>
            </w:r>
            <w:r w:rsidRPr="00EB4D74">
              <w:rPr>
                <w:rFonts w:cs="Tahoma"/>
                <w:sz w:val="13"/>
                <w:szCs w:val="13"/>
              </w:rPr>
              <w:fldChar w:fldCharType="end"/>
            </w:r>
          </w:p>
        </w:tc>
        <w:tc>
          <w:tcPr>
            <w:tcW w:w="450" w:type="dxa"/>
          </w:tcPr>
          <w:p w:rsidR="008B1196" w:rsidRPr="00EB4D74" w:rsidRDefault="008B1196" w:rsidP="00EA30FC">
            <w:pPr>
              <w:pStyle w:val="TableText"/>
              <w:spacing w:before="120"/>
              <w:rPr>
                <w:rFonts w:ascii="Tahoma" w:hAnsi="Tahoma" w:cs="Tahoma"/>
                <w:sz w:val="13"/>
              </w:rPr>
            </w:pPr>
            <w:r w:rsidRPr="00EB4D74">
              <w:rPr>
                <w:rFonts w:ascii="Tahoma" w:hAnsi="Tahoma" w:cs="Tahoma"/>
                <w:sz w:val="13"/>
              </w:rPr>
              <w:t>08/12</w:t>
            </w:r>
          </w:p>
        </w:tc>
        <w:tc>
          <w:tcPr>
            <w:tcW w:w="360"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50"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5</w:t>
            </w:r>
          </w:p>
        </w:tc>
        <w:tc>
          <w:tcPr>
            <w:tcW w:w="450"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50"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50"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50"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60"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50"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87" w:type="dxa"/>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333"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747"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333"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w:t>
            </w:r>
          </w:p>
        </w:tc>
        <w:tc>
          <w:tcPr>
            <w:tcW w:w="450" w:type="dxa"/>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 P</w:t>
            </w:r>
          </w:p>
        </w:tc>
        <w:tc>
          <w:tcPr>
            <w:tcW w:w="450" w:type="dxa"/>
          </w:tcPr>
          <w:p w:rsidR="008B1196" w:rsidRPr="00EB4D74" w:rsidRDefault="008B1196" w:rsidP="00EA30FC">
            <w:pPr>
              <w:pStyle w:val="TableText"/>
              <w:spacing w:after="120"/>
              <w:rPr>
                <w:rFonts w:ascii="Tahoma" w:hAnsi="Tahoma" w:cs="Tahoma"/>
                <w:sz w:val="13"/>
              </w:rPr>
            </w:pPr>
            <w:r w:rsidRPr="00EB4D74">
              <w:rPr>
                <w:rFonts w:ascii="Tahoma" w:hAnsi="Tahoma" w:cs="Tahoma"/>
                <w:sz w:val="13"/>
                <w:lang w:val="pt-BR"/>
              </w:rPr>
              <w:t>E,ST</w:t>
            </w:r>
          </w:p>
        </w:tc>
        <w:tc>
          <w:tcPr>
            <w:tcW w:w="540" w:type="dxa"/>
            <w:vAlign w:val="center"/>
          </w:tcPr>
          <w:p w:rsidR="008B1196" w:rsidRPr="00EB4D74" w:rsidRDefault="008B1196" w:rsidP="00EA30FC">
            <w:pPr>
              <w:pStyle w:val="TableText"/>
              <w:rPr>
                <w:rFonts w:ascii="Tahoma" w:hAnsi="Tahoma" w:cs="Tahoma"/>
                <w:sz w:val="13"/>
              </w:rPr>
            </w:pPr>
          </w:p>
        </w:tc>
      </w:tr>
      <w:tr w:rsidR="008B1196" w:rsidRPr="00EB4D74" w:rsidTr="00EA30FC">
        <w:trPr>
          <w:trHeight w:val="145"/>
        </w:trPr>
        <w:tc>
          <w:tcPr>
            <w:tcW w:w="2610" w:type="dxa"/>
            <w:shd w:val="clear" w:color="auto" w:fill="FABF8F"/>
          </w:tcPr>
          <w:p w:rsidR="008B1196" w:rsidRPr="00EB4D74" w:rsidRDefault="008B1196" w:rsidP="00EA30FC">
            <w:pPr>
              <w:pStyle w:val="ProductNames"/>
              <w:rPr>
                <w:rFonts w:ascii="Tahoma" w:hAnsi="Tahoma" w:cs="Tahoma"/>
                <w:sz w:val="14"/>
              </w:rPr>
            </w:pPr>
            <w:bookmarkStart w:id="150" w:name="_Toc336337905"/>
            <w:bookmarkStart w:id="151" w:name="_Toc342914560"/>
            <w:bookmarkEnd w:id="150"/>
            <w:r w:rsidRPr="00EB4D74">
              <w:rPr>
                <w:rFonts w:ascii="Tahoma" w:hAnsi="Tahoma" w:cs="Tahoma"/>
                <w:sz w:val="14"/>
                <w:lang w:val="pt-BR"/>
              </w:rPr>
              <w:t>Windows</w:t>
            </w:r>
            <w:r w:rsidRPr="00EB4D74">
              <w:rPr>
                <w:rFonts w:ascii="Tahoma" w:hAnsi="Tahoma" w:cs="Tahoma"/>
                <w:sz w:val="14"/>
                <w:vertAlign w:val="superscript"/>
                <w:lang w:val="pt-BR"/>
              </w:rPr>
              <w:t>®</w:t>
            </w:r>
            <w:r w:rsidRPr="00EB4D74">
              <w:rPr>
                <w:rFonts w:ascii="Tahoma" w:hAnsi="Tahoma" w:cs="Tahoma"/>
                <w:sz w:val="14"/>
                <w:lang w:val="pt-BR"/>
              </w:rPr>
              <w:t xml:space="preserve"> 8 Pro com MDOP</w:t>
            </w:r>
            <w:bookmarkEnd w:id="151"/>
          </w:p>
        </w:tc>
        <w:tc>
          <w:tcPr>
            <w:tcW w:w="360"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u w:val="single"/>
              </w:rPr>
            </w:pPr>
          </w:p>
        </w:tc>
        <w:tc>
          <w:tcPr>
            <w:tcW w:w="450" w:type="dxa"/>
            <w:shd w:val="clear" w:color="auto" w:fill="FABF8F"/>
          </w:tcPr>
          <w:p w:rsidR="008B1196" w:rsidRPr="00EB4D74" w:rsidRDefault="008B1196" w:rsidP="00EA30FC">
            <w:pPr>
              <w:pStyle w:val="TableText"/>
              <w:spacing w:before="120"/>
              <w:rPr>
                <w:rFonts w:ascii="Tahoma" w:hAnsi="Tahoma" w:cs="Tahoma"/>
                <w:sz w:val="13"/>
              </w:rPr>
            </w:pPr>
            <w:r w:rsidRPr="00EB4D74">
              <w:rPr>
                <w:rFonts w:ascii="Tahoma" w:hAnsi="Tahoma" w:cs="Tahoma"/>
                <w:sz w:val="13"/>
              </w:rPr>
              <w:t>12/12</w:t>
            </w: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5</w:t>
            </w:r>
          </w:p>
        </w:tc>
        <w:tc>
          <w:tcPr>
            <w:tcW w:w="450"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4</w:t>
            </w:r>
          </w:p>
        </w:tc>
        <w:tc>
          <w:tcPr>
            <w:tcW w:w="450"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87" w:type="dxa"/>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w:t>
            </w:r>
          </w:p>
        </w:tc>
        <w:tc>
          <w:tcPr>
            <w:tcW w:w="450"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 P</w:t>
            </w:r>
          </w:p>
        </w:tc>
        <w:tc>
          <w:tcPr>
            <w:tcW w:w="450" w:type="dxa"/>
            <w:shd w:val="clear" w:color="auto" w:fill="FABF8F"/>
          </w:tcPr>
          <w:p w:rsidR="008B1196" w:rsidRPr="00EB4D74" w:rsidRDefault="008B1196" w:rsidP="00EA30FC">
            <w:pPr>
              <w:pStyle w:val="TableText"/>
              <w:spacing w:after="120"/>
              <w:rPr>
                <w:rFonts w:ascii="Tahoma" w:hAnsi="Tahoma" w:cs="Tahoma"/>
                <w:sz w:val="13"/>
              </w:rPr>
            </w:pPr>
            <w:r w:rsidRPr="00EB4D74">
              <w:rPr>
                <w:rFonts w:ascii="Tahoma" w:hAnsi="Tahoma" w:cs="Tahoma"/>
                <w:sz w:val="13"/>
                <w:lang w:val="pt-BR"/>
              </w:rPr>
              <w:t>E,ST</w:t>
            </w:r>
          </w:p>
        </w:tc>
        <w:tc>
          <w:tcPr>
            <w:tcW w:w="540" w:type="dxa"/>
            <w:shd w:val="clear" w:color="auto" w:fill="FABF8F"/>
            <w:vAlign w:val="center"/>
          </w:tcPr>
          <w:p w:rsidR="008B1196" w:rsidRPr="00EB4D74" w:rsidRDefault="008B1196" w:rsidP="00EA30FC">
            <w:pPr>
              <w:pStyle w:val="TableText"/>
              <w:rPr>
                <w:rFonts w:ascii="Tahoma" w:hAnsi="Tahoma" w:cs="Tahoma"/>
                <w:sz w:val="13"/>
              </w:rPr>
            </w:pPr>
          </w:p>
        </w:tc>
      </w:tr>
      <w:tr w:rsidR="008B1196" w:rsidRPr="00EB4D74" w:rsidTr="00EA30FC">
        <w:trPr>
          <w:trHeight w:val="123"/>
        </w:trPr>
        <w:tc>
          <w:tcPr>
            <w:tcW w:w="2610" w:type="dxa"/>
          </w:tcPr>
          <w:p w:rsidR="008B1196" w:rsidRPr="00EB4D74" w:rsidRDefault="008B1196" w:rsidP="00EA30FC">
            <w:pPr>
              <w:pStyle w:val="ProductNames"/>
              <w:rPr>
                <w:rFonts w:ascii="Tahoma" w:hAnsi="Tahoma" w:cs="Tahoma"/>
                <w:sz w:val="14"/>
              </w:rPr>
            </w:pPr>
            <w:bookmarkStart w:id="152" w:name="_Toc336337906"/>
            <w:bookmarkStart w:id="153" w:name="_Toc342914561"/>
            <w:bookmarkEnd w:id="152"/>
            <w:r w:rsidRPr="00EB4D74">
              <w:rPr>
                <w:rFonts w:ascii="Tahoma" w:hAnsi="Tahoma" w:cs="Tahoma"/>
                <w:sz w:val="14"/>
                <w:lang w:val="pt-BR"/>
              </w:rPr>
              <w:t>Windows Virtual Desktop Access (VDA)</w:t>
            </w:r>
            <w:bookmarkEnd w:id="153"/>
          </w:p>
        </w:tc>
        <w:tc>
          <w:tcPr>
            <w:tcW w:w="360" w:type="dxa"/>
            <w:vAlign w:val="center"/>
          </w:tcPr>
          <w:p w:rsidR="008B1196" w:rsidRPr="00EB4D74" w:rsidRDefault="008B1196" w:rsidP="00EA30FC">
            <w:pPr>
              <w:pStyle w:val="TableText"/>
              <w:widowControl w:val="0"/>
              <w:rPr>
                <w:rStyle w:val="EndnoteReference"/>
                <w:rFonts w:cs="Tahoma"/>
                <w:color w:val="0000FF"/>
                <w:sz w:val="13"/>
                <w:szCs w:val="13"/>
              </w:rPr>
            </w:pPr>
          </w:p>
        </w:tc>
        <w:tc>
          <w:tcPr>
            <w:tcW w:w="450" w:type="dxa"/>
          </w:tcPr>
          <w:p w:rsidR="008B1196" w:rsidRPr="00EB4D74" w:rsidRDefault="008B1196" w:rsidP="00EA30FC">
            <w:pPr>
              <w:pStyle w:val="TableText"/>
              <w:spacing w:before="120"/>
              <w:rPr>
                <w:rFonts w:ascii="Tahoma" w:hAnsi="Tahoma" w:cs="Tahoma"/>
                <w:sz w:val="13"/>
              </w:rPr>
            </w:pPr>
            <w:r w:rsidRPr="00EB4D74">
              <w:rPr>
                <w:rFonts w:ascii="Tahoma" w:hAnsi="Tahoma" w:cs="Tahoma"/>
                <w:sz w:val="13"/>
              </w:rPr>
              <w:t>07/10</w:t>
            </w:r>
          </w:p>
        </w:tc>
        <w:tc>
          <w:tcPr>
            <w:tcW w:w="360"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DT</w:t>
            </w:r>
          </w:p>
        </w:tc>
        <w:tc>
          <w:tcPr>
            <w:tcW w:w="3060" w:type="dxa"/>
            <w:gridSpan w:val="7"/>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2</w:t>
            </w:r>
          </w:p>
        </w:tc>
        <w:tc>
          <w:tcPr>
            <w:tcW w:w="450" w:type="dxa"/>
            <w:tcBorders>
              <w:left w:val="single" w:sz="18" w:space="0" w:color="auto"/>
            </w:tcBorders>
            <w:vAlign w:val="center"/>
          </w:tcPr>
          <w:p w:rsidR="008B1196" w:rsidRPr="00EB4D74" w:rsidRDefault="008B1196" w:rsidP="00EA30FC">
            <w:pPr>
              <w:pStyle w:val="TableText"/>
              <w:rPr>
                <w:rFonts w:ascii="Tahoma" w:hAnsi="Tahoma" w:cs="Tahoma"/>
                <w:sz w:val="13"/>
              </w:rPr>
            </w:pPr>
          </w:p>
        </w:tc>
        <w:tc>
          <w:tcPr>
            <w:tcW w:w="387" w:type="dxa"/>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rPr>
              <w:t>1</w:t>
            </w:r>
          </w:p>
        </w:tc>
        <w:tc>
          <w:tcPr>
            <w:tcW w:w="333" w:type="dxa"/>
            <w:tcBorders>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E, A</w:t>
            </w:r>
          </w:p>
        </w:tc>
        <w:tc>
          <w:tcPr>
            <w:tcW w:w="450" w:type="dxa"/>
            <w:tcBorders>
              <w:left w:val="single" w:sz="18" w:space="0" w:color="auto"/>
              <w:right w:val="single" w:sz="18" w:space="0" w:color="auto"/>
            </w:tcBorders>
            <w:vAlign w:val="center"/>
          </w:tcPr>
          <w:p w:rsidR="008B1196" w:rsidRPr="00EB4D74" w:rsidRDefault="008B1196" w:rsidP="00EA30FC">
            <w:pPr>
              <w:pStyle w:val="TableText"/>
              <w:rPr>
                <w:rFonts w:ascii="Tahoma" w:hAnsi="Tahoma" w:cs="Tahoma"/>
                <w:sz w:val="13"/>
              </w:rPr>
            </w:pPr>
            <w:r w:rsidRPr="00EB4D74">
              <w:rPr>
                <w:rFonts w:ascii="Tahoma" w:hAnsi="Tahoma" w:cs="Tahoma"/>
                <w:sz w:val="13"/>
                <w:lang w:val="pt-BR"/>
              </w:rPr>
              <w:t>P</w:t>
            </w:r>
          </w:p>
        </w:tc>
        <w:tc>
          <w:tcPr>
            <w:tcW w:w="450" w:type="dxa"/>
          </w:tcPr>
          <w:p w:rsidR="008B1196" w:rsidRPr="00EB4D74" w:rsidRDefault="008B1196" w:rsidP="00EA30FC">
            <w:pPr>
              <w:pStyle w:val="TableText"/>
              <w:rPr>
                <w:rFonts w:ascii="Tahoma" w:hAnsi="Tahoma" w:cs="Tahoma"/>
                <w:sz w:val="13"/>
              </w:rPr>
            </w:pPr>
            <w:r w:rsidRPr="00EB4D74">
              <w:rPr>
                <w:rFonts w:ascii="Tahoma" w:hAnsi="Tahoma" w:cs="Tahoma"/>
                <w:sz w:val="13"/>
                <w:lang w:val="pt-BR"/>
              </w:rPr>
              <w:t>A</w:t>
            </w:r>
          </w:p>
        </w:tc>
        <w:tc>
          <w:tcPr>
            <w:tcW w:w="540" w:type="dxa"/>
            <w:vAlign w:val="center"/>
          </w:tcPr>
          <w:p w:rsidR="008B1196" w:rsidRPr="00EB4D74" w:rsidRDefault="008B1196" w:rsidP="00EA30FC">
            <w:pPr>
              <w:pStyle w:val="TableText"/>
              <w:rPr>
                <w:rFonts w:ascii="Tahoma" w:hAnsi="Tahoma" w:cs="Tahoma"/>
                <w:sz w:val="13"/>
              </w:rPr>
            </w:pPr>
          </w:p>
        </w:tc>
      </w:tr>
      <w:tr w:rsidR="008B1196" w:rsidRPr="00EB4D74" w:rsidTr="00EA30FC">
        <w:trPr>
          <w:trHeight w:val="123"/>
        </w:trPr>
        <w:tc>
          <w:tcPr>
            <w:tcW w:w="2610" w:type="dxa"/>
            <w:shd w:val="clear" w:color="auto" w:fill="FABF8F"/>
          </w:tcPr>
          <w:p w:rsidR="008B1196" w:rsidRPr="00EB4D74" w:rsidRDefault="008B1196" w:rsidP="00EA30FC">
            <w:pPr>
              <w:pStyle w:val="ProductNames"/>
              <w:rPr>
                <w:rFonts w:ascii="Tahoma" w:hAnsi="Tahoma" w:cs="Tahoma"/>
                <w:sz w:val="14"/>
              </w:rPr>
            </w:pPr>
            <w:bookmarkStart w:id="154" w:name="_Toc342914562"/>
            <w:r w:rsidRPr="00EB4D74">
              <w:rPr>
                <w:rFonts w:ascii="Tahoma" w:hAnsi="Tahoma" w:cs="Tahoma"/>
                <w:sz w:val="14"/>
                <w:lang w:val="pt-BR"/>
              </w:rPr>
              <w:t>Windows Intune (Por Dispositivo)</w:t>
            </w:r>
            <w:bookmarkEnd w:id="154"/>
          </w:p>
        </w:tc>
        <w:tc>
          <w:tcPr>
            <w:tcW w:w="360" w:type="dxa"/>
            <w:shd w:val="clear" w:color="auto" w:fill="FABF8F"/>
            <w:vAlign w:val="center"/>
          </w:tcPr>
          <w:p w:rsidR="008B1196" w:rsidRPr="00EB4D74" w:rsidRDefault="008B1196" w:rsidP="00EA30FC">
            <w:pPr>
              <w:pStyle w:val="TableText"/>
              <w:widowControl w:val="0"/>
              <w:rPr>
                <w:rStyle w:val="EndnoteReference"/>
                <w:rFonts w:cs="Tahoma"/>
                <w:color w:val="0000FF"/>
                <w:sz w:val="13"/>
                <w:szCs w:val="13"/>
              </w:rPr>
            </w:pPr>
            <w:hyperlink w:anchor="_98_Windows_HPC" w:history="1">
              <w:r w:rsidRPr="00EB4D74">
                <w:rPr>
                  <w:rStyle w:val="Hyperlink"/>
                  <w:rFonts w:cs="Tahoma"/>
                  <w:sz w:val="13"/>
                  <w:szCs w:val="13"/>
                </w:rPr>
                <w:t>98</w:t>
              </w:r>
            </w:hyperlink>
          </w:p>
        </w:tc>
        <w:tc>
          <w:tcPr>
            <w:tcW w:w="450" w:type="dxa"/>
            <w:shd w:val="clear" w:color="auto" w:fill="FABF8F"/>
          </w:tcPr>
          <w:p w:rsidR="008B1196" w:rsidRPr="00EB4D74" w:rsidRDefault="008B1196" w:rsidP="00EA30FC">
            <w:pPr>
              <w:pStyle w:val="TableText"/>
              <w:spacing w:before="120"/>
              <w:rPr>
                <w:rFonts w:ascii="Tahoma" w:hAnsi="Tahoma" w:cs="Tahoma"/>
                <w:sz w:val="13"/>
              </w:rPr>
            </w:pPr>
            <w:r w:rsidRPr="00EB4D74">
              <w:rPr>
                <w:rFonts w:ascii="Tahoma" w:hAnsi="Tahoma" w:cs="Tahoma"/>
                <w:sz w:val="13"/>
              </w:rPr>
              <w:t>4/11</w:t>
            </w:r>
          </w:p>
        </w:tc>
        <w:tc>
          <w:tcPr>
            <w:tcW w:w="360"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87" w:type="dxa"/>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747" w:type="dxa"/>
            <w:tcBorders>
              <w:lef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333" w:type="dxa"/>
            <w:tcBorders>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rPr>
                <w:rFonts w:ascii="Tahoma" w:hAnsi="Tahoma" w:cs="Tahoma"/>
                <w:sz w:val="13"/>
              </w:rPr>
            </w:pPr>
          </w:p>
        </w:tc>
        <w:tc>
          <w:tcPr>
            <w:tcW w:w="450" w:type="dxa"/>
            <w:shd w:val="clear" w:color="auto" w:fill="FABF8F"/>
          </w:tcPr>
          <w:p w:rsidR="008B1196" w:rsidRPr="00EB4D74" w:rsidRDefault="008B1196" w:rsidP="00EA30FC">
            <w:pPr>
              <w:pStyle w:val="TableText"/>
              <w:rPr>
                <w:rFonts w:ascii="Tahoma" w:hAnsi="Tahoma" w:cs="Tahoma"/>
                <w:sz w:val="13"/>
              </w:rPr>
            </w:pPr>
          </w:p>
        </w:tc>
        <w:tc>
          <w:tcPr>
            <w:tcW w:w="540" w:type="dxa"/>
            <w:shd w:val="clear" w:color="auto" w:fill="FABF8F"/>
            <w:vAlign w:val="center"/>
          </w:tcPr>
          <w:p w:rsidR="008B1196" w:rsidRPr="00EB4D74" w:rsidRDefault="008B1196" w:rsidP="00EA30FC">
            <w:pPr>
              <w:pStyle w:val="TableText"/>
              <w:rPr>
                <w:rFonts w:ascii="Tahoma" w:hAnsi="Tahoma" w:cs="Tahoma"/>
                <w:sz w:val="13"/>
              </w:rPr>
            </w:pPr>
          </w:p>
        </w:tc>
      </w:tr>
    </w:tbl>
    <w:p w:rsidR="008B1196" w:rsidRPr="00EB4D74" w:rsidRDefault="008B1196" w:rsidP="008B1196">
      <w:pPr>
        <w:pStyle w:val="ProductPool"/>
        <w:rPr>
          <w:rFonts w:ascii="Tahoma" w:hAnsi="Tahoma" w:cs="Tahoma"/>
        </w:rPr>
      </w:pPr>
    </w:p>
    <w:p w:rsidR="008B1196" w:rsidRPr="00EB4D74" w:rsidRDefault="008B1196" w:rsidP="008B1196">
      <w:pPr>
        <w:pStyle w:val="Heading3"/>
        <w:rPr>
          <w:rFonts w:ascii="Tahoma" w:hAnsi="Tahoma" w:cs="Tahoma"/>
        </w:rPr>
      </w:pPr>
    </w:p>
    <w:p w:rsidR="008B1196" w:rsidRPr="00EB4D74" w:rsidRDefault="008B1196" w:rsidP="008B1196">
      <w:pPr>
        <w:pStyle w:val="Heading3"/>
        <w:rPr>
          <w:rFonts w:ascii="Tahoma" w:hAnsi="Tahoma" w:cs="Tahoma"/>
        </w:rPr>
      </w:pPr>
      <w:bookmarkStart w:id="155" w:name="_Toc336337908"/>
      <w:bookmarkStart w:id="156" w:name="_Toc342914563"/>
      <w:bookmarkEnd w:id="155"/>
      <w:r w:rsidRPr="00EB4D74">
        <w:rPr>
          <w:rFonts w:ascii="Tahoma" w:hAnsi="Tahoma" w:cs="Tahoma"/>
          <w:sz w:val="22"/>
          <w:lang w:val="pt-BR"/>
        </w:rPr>
        <w:t>POOL DE SERVIDORES</w:t>
      </w:r>
      <w:bookmarkEnd w:id="156"/>
    </w:p>
    <w:p w:rsidR="008B1196" w:rsidRPr="00EB4D74" w:rsidRDefault="008B1196" w:rsidP="008B1196">
      <w:pPr>
        <w:rPr>
          <w:rFonts w:cs="Tahoma"/>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360"/>
        <w:gridCol w:w="378"/>
        <w:gridCol w:w="459"/>
        <w:gridCol w:w="396"/>
        <w:gridCol w:w="702"/>
        <w:gridCol w:w="495"/>
      </w:tblGrid>
      <w:tr w:rsidR="008B1196" w:rsidRPr="00EB4D74" w:rsidTr="00EA30FC">
        <w:trPr>
          <w:cantSplit/>
          <w:trHeight w:val="389"/>
          <w:tblHeader/>
        </w:trPr>
        <w:tc>
          <w:tcPr>
            <w:tcW w:w="2714" w:type="dxa"/>
            <w:vMerge w:val="restart"/>
            <w:tcBorders>
              <w:top w:val="single" w:sz="4" w:space="0" w:color="FFFFFF"/>
              <w:left w:val="single" w:sz="4" w:space="0" w:color="FFFFFF"/>
            </w:tcBorders>
          </w:tcPr>
          <w:p w:rsidR="008B1196" w:rsidRPr="00413E94" w:rsidRDefault="008B1196" w:rsidP="00EA30FC">
            <w:pPr>
              <w:rPr>
                <w:rFonts w:cs="Tahoma"/>
                <w:sz w:val="14"/>
                <w:szCs w:val="14"/>
              </w:rPr>
            </w:pPr>
            <w:r>
              <w:rPr>
                <w:rFonts w:cs="Tahoma"/>
                <w:noProof/>
                <w:sz w:val="14"/>
                <w:szCs w:val="14"/>
              </w:rPr>
              <mc:AlternateContent>
                <mc:Choice Requires="wps">
                  <w:drawing>
                    <wp:anchor distT="0" distB="0" distL="114300" distR="114300" simplePos="0" relativeHeight="251662336" behindDoc="0" locked="0" layoutInCell="1" allowOverlap="1" wp14:anchorId="0554847B" wp14:editId="166B1B42">
                      <wp:simplePos x="0" y="0"/>
                      <wp:positionH relativeFrom="column">
                        <wp:posOffset>1643380</wp:posOffset>
                      </wp:positionH>
                      <wp:positionV relativeFrom="paragraph">
                        <wp:posOffset>410210</wp:posOffset>
                      </wp:positionV>
                      <wp:extent cx="367030" cy="213995"/>
                      <wp:effectExtent l="0" t="0" r="0" b="0"/>
                      <wp:wrapNone/>
                      <wp:docPr id="9"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196" w:rsidRDefault="008B1196" w:rsidP="008B1196">
                                  <w:pPr>
                                    <w:rPr>
                                      <w:color w:val="0000FF"/>
                                      <w:sz w:val="20"/>
                                    </w:rPr>
                                  </w:pPr>
                                  <w:r>
                                    <w:rPr>
                                      <w:b/>
                                      <w:color w:val="0000FF"/>
                                      <w:sz w:val="8"/>
                                      <w:lang w:val="pt-BR"/>
                                    </w:rPr>
                                    <w:t>(Ctrl + clique)</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29.4pt;margin-top:32.3pt;width:28.9pt;height:16.8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7KRctwIAAMA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" filled="f" stroked="f">
                      <v:textbox style="mso-fit-shape-to-text:t">
                        <w:txbxContent>
                          <w:p w:rsidR="008B1196" w:rsidRDefault="008B1196" w:rsidP="008B1196">
                            <w:pPr>
                              <w:rPr>
                                <w:color w:val="0000FF"/>
                                <w:sz w:val="20"/>
                              </w:rPr>
                            </w:pPr>
                            <w:r>
                              <w:rPr>
                                <w:b/>
                                <w:color w:val="0000FF"/>
                                <w:sz w:val="8"/>
                                <w:lang w:val="pt-BR"/>
                              </w:rPr>
                              <w:t>(Ctrl + clique)</w:t>
                            </w:r>
                          </w:p>
                        </w:txbxContent>
                      </v:textbox>
                    </v:shape>
                  </w:pict>
                </mc:Fallback>
              </mc:AlternateContent>
            </w:r>
          </w:p>
        </w:tc>
        <w:tc>
          <w:tcPr>
            <w:tcW w:w="450" w:type="dxa"/>
            <w:vMerge w:val="restart"/>
            <w:tcBorders>
              <w:top w:val="single" w:sz="12"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 xml:space="preserve">Notas do </w:t>
            </w:r>
            <w:r w:rsidRPr="00EB4D74">
              <w:rPr>
                <w:rFonts w:ascii="Tahoma" w:hAnsi="Tahoma" w:cs="Tahoma"/>
                <w:sz w:val="9"/>
                <w:lang w:val="pt-BR"/>
              </w:rPr>
              <w:br/>
              <w:t>Produto</w:t>
            </w:r>
          </w:p>
        </w:tc>
        <w:tc>
          <w:tcPr>
            <w:tcW w:w="450" w:type="dxa"/>
            <w:vMerge w:val="restart"/>
            <w:tcBorders>
              <w:top w:val="single" w:sz="12" w:space="0" w:color="auto"/>
            </w:tcBorders>
            <w:textDirection w:val="btLr"/>
          </w:tcPr>
          <w:p w:rsidR="008B1196" w:rsidRPr="00EB4D74" w:rsidRDefault="008B1196" w:rsidP="00EA30FC">
            <w:pPr>
              <w:pStyle w:val="TableVerticalText"/>
              <w:rPr>
                <w:rFonts w:ascii="Tahoma" w:hAnsi="Tahoma" w:cs="Tahoma"/>
              </w:rPr>
            </w:pPr>
          </w:p>
          <w:p w:rsidR="008B1196" w:rsidRPr="00EB4D74" w:rsidRDefault="008B1196" w:rsidP="00EA30FC">
            <w:pPr>
              <w:pStyle w:val="TableVerticalText"/>
              <w:rPr>
                <w:rFonts w:ascii="Tahoma" w:hAnsi="Tahoma" w:cs="Tahoma"/>
                <w:sz w:val="9"/>
              </w:rPr>
            </w:pPr>
            <w:r w:rsidRPr="00EB4D74">
              <w:rPr>
                <w:rFonts w:ascii="Tahoma" w:hAnsi="Tahoma" w:cs="Tahoma"/>
                <w:sz w:val="9"/>
                <w:lang w:val="pt-BR"/>
              </w:rPr>
              <w:t>Data disponível</w:t>
            </w:r>
          </w:p>
        </w:tc>
        <w:tc>
          <w:tcPr>
            <w:tcW w:w="360" w:type="dxa"/>
            <w:vMerge w:val="restart"/>
            <w:tcBorders>
              <w:top w:val="single" w:sz="12" w:space="0" w:color="auto"/>
              <w:righ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SAB / OSB</w:t>
            </w:r>
          </w:p>
        </w:tc>
        <w:tc>
          <w:tcPr>
            <w:tcW w:w="2970" w:type="dxa"/>
            <w:gridSpan w:val="7"/>
            <w:tcBorders>
              <w:top w:val="single" w:sz="12" w:space="0" w:color="auto"/>
              <w:left w:val="single" w:sz="18" w:space="0" w:color="auto"/>
              <w:right w:val="single" w:sz="18" w:space="0" w:color="auto"/>
            </w:tcBorders>
            <w:vAlign w:val="center"/>
          </w:tcPr>
          <w:p w:rsidR="008B1196" w:rsidRPr="00EB4D74" w:rsidRDefault="008B1196" w:rsidP="00EA30FC">
            <w:pPr>
              <w:pStyle w:val="TableHeadingsBlack"/>
              <w:rPr>
                <w:rFonts w:ascii="Tahoma" w:hAnsi="Tahoma" w:cs="Tahoma"/>
              </w:rPr>
            </w:pPr>
            <w:r w:rsidRPr="00EB4D74">
              <w:rPr>
                <w:rFonts w:ascii="Tahoma" w:hAnsi="Tahoma" w:cs="Tahoma"/>
                <w:lang w:val="pt-BR"/>
              </w:rPr>
              <w:t>Select / Select Plus*</w:t>
            </w:r>
          </w:p>
        </w:tc>
        <w:tc>
          <w:tcPr>
            <w:tcW w:w="1260" w:type="dxa"/>
            <w:gridSpan w:val="3"/>
            <w:tcBorders>
              <w:top w:val="single" w:sz="12" w:space="0" w:color="auto"/>
              <w:left w:val="single" w:sz="18" w:space="0" w:color="auto"/>
              <w:right w:val="single" w:sz="18" w:space="0" w:color="auto"/>
            </w:tcBorders>
            <w:vAlign w:val="center"/>
          </w:tcPr>
          <w:p w:rsidR="008B1196" w:rsidRPr="00EB4D74" w:rsidRDefault="008B1196" w:rsidP="00EA30FC">
            <w:pPr>
              <w:pStyle w:val="TableHeadingsBlack"/>
              <w:rPr>
                <w:rFonts w:ascii="Tahoma" w:hAnsi="Tahoma" w:cs="Tahoma"/>
                <w:szCs w:val="11"/>
              </w:rPr>
            </w:pPr>
            <w:r w:rsidRPr="00EB4D74">
              <w:rPr>
                <w:rFonts w:ascii="Tahoma" w:hAnsi="Tahoma" w:cs="Tahoma"/>
                <w:lang w:val="pt-BR"/>
              </w:rPr>
              <w:t>Licença Open</w:t>
            </w:r>
          </w:p>
        </w:tc>
        <w:tc>
          <w:tcPr>
            <w:tcW w:w="378" w:type="dxa"/>
            <w:vMerge w:val="restart"/>
            <w:tcBorders>
              <w:top w:val="single" w:sz="12" w:space="0" w:color="auto"/>
              <w:lef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Unidades Campus e School</w:t>
            </w:r>
          </w:p>
        </w:tc>
        <w:tc>
          <w:tcPr>
            <w:tcW w:w="459" w:type="dxa"/>
            <w:vMerge w:val="restart"/>
            <w:tcBorders>
              <w:top w:val="single" w:sz="12" w:space="0" w:color="auto"/>
              <w:righ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 xml:space="preserve">EA e </w:t>
            </w:r>
            <w:r w:rsidRPr="00EB4D74">
              <w:rPr>
                <w:rFonts w:ascii="Tahoma" w:hAnsi="Tahoma" w:cs="Tahoma"/>
                <w:sz w:val="9"/>
                <w:lang w:val="pt-BR"/>
              </w:rPr>
              <w:br/>
              <w:t>EA Sub</w:t>
            </w:r>
          </w:p>
        </w:tc>
        <w:tc>
          <w:tcPr>
            <w:tcW w:w="396" w:type="dxa"/>
            <w:vMerge w:val="restart"/>
            <w:tcBorders>
              <w:top w:val="single" w:sz="12" w:space="0" w:color="auto"/>
              <w:left w:val="single" w:sz="18" w:space="0" w:color="auto"/>
              <w:right w:val="single" w:sz="18"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OV / OVS</w:t>
            </w:r>
          </w:p>
        </w:tc>
        <w:tc>
          <w:tcPr>
            <w:tcW w:w="702" w:type="dxa"/>
            <w:vMerge w:val="restart"/>
            <w:tcBorders>
              <w:top w:val="single" w:sz="12" w:space="0" w:color="auto"/>
            </w:tcBorders>
            <w:textDirection w:val="btLr"/>
          </w:tcPr>
          <w:p w:rsidR="008B1196" w:rsidRPr="00EB4D74" w:rsidRDefault="008B1196" w:rsidP="00EA30FC">
            <w:pPr>
              <w:pStyle w:val="TableVerticalText"/>
              <w:spacing w:before="120"/>
              <w:rPr>
                <w:rFonts w:ascii="Tahoma" w:hAnsi="Tahoma" w:cs="Tahoma"/>
                <w:sz w:val="9"/>
              </w:rPr>
            </w:pPr>
            <w:r w:rsidRPr="00EB4D74">
              <w:rPr>
                <w:rFonts w:ascii="Tahoma" w:hAnsi="Tahoma" w:cs="Tahoma"/>
                <w:sz w:val="9"/>
                <w:lang w:val="pt-BR"/>
              </w:rPr>
              <w:t>EES / OVS -ES</w:t>
            </w:r>
          </w:p>
        </w:tc>
        <w:tc>
          <w:tcPr>
            <w:tcW w:w="495" w:type="dxa"/>
            <w:vMerge w:val="restart"/>
            <w:tcBorders>
              <w:top w:val="single" w:sz="12" w:space="0" w:color="auto"/>
            </w:tcBorders>
            <w:textDirection w:val="btLr"/>
            <w:vAlign w:val="center"/>
          </w:tcPr>
          <w:p w:rsidR="008B1196" w:rsidRPr="00EB4D74" w:rsidRDefault="008B1196" w:rsidP="00EA30FC">
            <w:pPr>
              <w:pStyle w:val="TableVerticalText"/>
              <w:rPr>
                <w:rFonts w:ascii="Tahoma" w:hAnsi="Tahoma" w:cs="Tahoma"/>
                <w:sz w:val="9"/>
              </w:rPr>
            </w:pPr>
            <w:r w:rsidRPr="00EB4D74">
              <w:rPr>
                <w:rFonts w:ascii="Tahoma" w:hAnsi="Tahoma" w:cs="Tahoma"/>
                <w:sz w:val="9"/>
                <w:lang w:val="pt-BR"/>
              </w:rPr>
              <w:t>Mínimo de Licenças Open</w:t>
            </w:r>
          </w:p>
        </w:tc>
      </w:tr>
      <w:tr w:rsidR="008B1196" w:rsidRPr="00EB4D74" w:rsidTr="00EA30FC">
        <w:trPr>
          <w:cantSplit/>
          <w:trHeight w:val="262"/>
          <w:tblHeader/>
        </w:trPr>
        <w:tc>
          <w:tcPr>
            <w:tcW w:w="2714" w:type="dxa"/>
            <w:vMerge/>
            <w:tcBorders>
              <w:left w:val="single" w:sz="4" w:space="0" w:color="FFFFFF"/>
            </w:tcBorders>
          </w:tcPr>
          <w:p w:rsidR="008B1196" w:rsidRPr="00413E94" w:rsidRDefault="008B1196" w:rsidP="00EA30FC">
            <w:pPr>
              <w:rPr>
                <w:rFonts w:cs="Tahoma"/>
                <w:sz w:val="14"/>
                <w:szCs w:val="14"/>
              </w:rPr>
            </w:pPr>
          </w:p>
        </w:tc>
        <w:tc>
          <w:tcPr>
            <w:tcW w:w="450" w:type="dxa"/>
            <w:vMerge/>
          </w:tcPr>
          <w:p w:rsidR="008B1196" w:rsidRPr="00EB4D74" w:rsidRDefault="008B1196" w:rsidP="00EA30FC">
            <w:pPr>
              <w:rPr>
                <w:rFonts w:cs="Tahoma"/>
                <w:b/>
                <w:sz w:val="20"/>
              </w:rPr>
            </w:pPr>
          </w:p>
        </w:tc>
        <w:tc>
          <w:tcPr>
            <w:tcW w:w="450" w:type="dxa"/>
            <w:vMerge/>
          </w:tcPr>
          <w:p w:rsidR="008B1196" w:rsidRPr="00EB4D74" w:rsidRDefault="008B1196" w:rsidP="00EA30FC">
            <w:pPr>
              <w:rPr>
                <w:rFonts w:cs="Tahoma"/>
                <w:sz w:val="20"/>
              </w:rPr>
            </w:pPr>
          </w:p>
        </w:tc>
        <w:tc>
          <w:tcPr>
            <w:tcW w:w="360" w:type="dxa"/>
            <w:vMerge/>
            <w:tcBorders>
              <w:right w:val="single" w:sz="18" w:space="0" w:color="auto"/>
            </w:tcBorders>
          </w:tcPr>
          <w:p w:rsidR="008B1196" w:rsidRPr="00EB4D74" w:rsidRDefault="008B1196" w:rsidP="00EA30FC">
            <w:pPr>
              <w:rPr>
                <w:rFonts w:cs="Tahoma"/>
                <w:sz w:val="20"/>
              </w:rPr>
            </w:pPr>
          </w:p>
        </w:tc>
        <w:tc>
          <w:tcPr>
            <w:tcW w:w="360" w:type="dxa"/>
            <w:vMerge w:val="restart"/>
            <w:tcBorders>
              <w:left w:val="single" w:sz="18" w:space="0" w:color="auto"/>
            </w:tcBorders>
            <w:vAlign w:val="center"/>
          </w:tcPr>
          <w:p w:rsidR="008B1196" w:rsidRPr="00EB4D74" w:rsidRDefault="008B1196" w:rsidP="00EA30FC">
            <w:pPr>
              <w:pStyle w:val="TableHeadingsRed"/>
              <w:rPr>
                <w:rFonts w:ascii="Tahoma" w:hAnsi="Tahoma" w:cs="Tahoma"/>
                <w:sz w:val="9"/>
              </w:rPr>
            </w:pPr>
            <w:r w:rsidRPr="00EB4D74">
              <w:rPr>
                <w:rFonts w:ascii="Tahoma" w:hAnsi="Tahoma" w:cs="Tahoma"/>
                <w:sz w:val="9"/>
                <w:lang w:val="pt-BR"/>
              </w:rPr>
              <w:t>L</w:t>
            </w:r>
          </w:p>
        </w:tc>
        <w:tc>
          <w:tcPr>
            <w:tcW w:w="1350" w:type="dxa"/>
            <w:gridSpan w:val="3"/>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L&amp;SA</w:t>
            </w:r>
          </w:p>
        </w:tc>
        <w:tc>
          <w:tcPr>
            <w:tcW w:w="1260" w:type="dxa"/>
            <w:gridSpan w:val="3"/>
            <w:tcBorders>
              <w:right w:val="single" w:sz="18" w:space="0" w:color="auto"/>
            </w:tcBorders>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SA</w:t>
            </w:r>
          </w:p>
        </w:tc>
        <w:tc>
          <w:tcPr>
            <w:tcW w:w="450" w:type="dxa"/>
            <w:vMerge w:val="restart"/>
            <w:tcBorders>
              <w:left w:val="single" w:sz="18" w:space="0" w:color="auto"/>
            </w:tcBorders>
            <w:vAlign w:val="center"/>
          </w:tcPr>
          <w:p w:rsidR="008B1196" w:rsidRPr="00EB4D74" w:rsidRDefault="008B1196" w:rsidP="00EA30FC">
            <w:pPr>
              <w:pStyle w:val="TableHeadingsRed"/>
              <w:rPr>
                <w:rFonts w:ascii="Tahoma" w:hAnsi="Tahoma" w:cs="Tahoma"/>
                <w:sz w:val="9"/>
              </w:rPr>
            </w:pPr>
            <w:r w:rsidRPr="00EB4D74">
              <w:rPr>
                <w:rFonts w:ascii="Tahoma" w:hAnsi="Tahoma" w:cs="Tahoma"/>
                <w:sz w:val="9"/>
                <w:lang w:val="pt-BR"/>
              </w:rPr>
              <w:t>L</w:t>
            </w: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L&amp;SA</w:t>
            </w:r>
          </w:p>
        </w:tc>
        <w:tc>
          <w:tcPr>
            <w:tcW w:w="360" w:type="dxa"/>
            <w:vMerge w:val="restart"/>
            <w:tcBorders>
              <w:right w:val="single" w:sz="18" w:space="0" w:color="auto"/>
            </w:tcBorders>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SA</w:t>
            </w:r>
          </w:p>
        </w:tc>
        <w:tc>
          <w:tcPr>
            <w:tcW w:w="378" w:type="dxa"/>
            <w:vMerge/>
            <w:tcBorders>
              <w:left w:val="single" w:sz="18" w:space="0" w:color="auto"/>
            </w:tcBorders>
          </w:tcPr>
          <w:p w:rsidR="008B1196" w:rsidRPr="00EB4D74" w:rsidRDefault="008B1196" w:rsidP="00EA30FC">
            <w:pPr>
              <w:rPr>
                <w:rFonts w:cs="Tahoma"/>
                <w:sz w:val="20"/>
              </w:rPr>
            </w:pPr>
          </w:p>
        </w:tc>
        <w:tc>
          <w:tcPr>
            <w:tcW w:w="459" w:type="dxa"/>
            <w:vMerge/>
            <w:tcBorders>
              <w:right w:val="single" w:sz="18" w:space="0" w:color="auto"/>
            </w:tcBorders>
          </w:tcPr>
          <w:p w:rsidR="008B1196" w:rsidRPr="00EB4D74" w:rsidRDefault="008B1196" w:rsidP="00EA30FC">
            <w:pPr>
              <w:rPr>
                <w:rFonts w:cs="Tahoma"/>
                <w:sz w:val="20"/>
              </w:rPr>
            </w:pPr>
          </w:p>
        </w:tc>
        <w:tc>
          <w:tcPr>
            <w:tcW w:w="396" w:type="dxa"/>
            <w:vMerge/>
            <w:tcBorders>
              <w:left w:val="single" w:sz="18" w:space="0" w:color="auto"/>
              <w:right w:val="single" w:sz="18" w:space="0" w:color="auto"/>
            </w:tcBorders>
          </w:tcPr>
          <w:p w:rsidR="008B1196" w:rsidRPr="00EB4D74" w:rsidRDefault="008B1196" w:rsidP="00EA30FC">
            <w:pPr>
              <w:rPr>
                <w:rFonts w:cs="Tahoma"/>
                <w:sz w:val="20"/>
              </w:rPr>
            </w:pPr>
          </w:p>
        </w:tc>
        <w:tc>
          <w:tcPr>
            <w:tcW w:w="702" w:type="dxa"/>
            <w:vMerge/>
          </w:tcPr>
          <w:p w:rsidR="008B1196" w:rsidRPr="00EB4D74" w:rsidRDefault="008B1196" w:rsidP="00EA30FC">
            <w:pPr>
              <w:rPr>
                <w:rFonts w:cs="Tahoma"/>
                <w:sz w:val="20"/>
              </w:rPr>
            </w:pPr>
          </w:p>
        </w:tc>
        <w:tc>
          <w:tcPr>
            <w:tcW w:w="495" w:type="dxa"/>
            <w:vMerge/>
          </w:tcPr>
          <w:p w:rsidR="008B1196" w:rsidRPr="00EB4D74" w:rsidRDefault="008B1196" w:rsidP="00EA30FC">
            <w:pPr>
              <w:rPr>
                <w:rFonts w:cs="Tahoma"/>
                <w:sz w:val="20"/>
              </w:rPr>
            </w:pPr>
          </w:p>
        </w:tc>
      </w:tr>
      <w:tr w:rsidR="008B1196" w:rsidRPr="00EB4D74" w:rsidTr="00EA30FC">
        <w:trPr>
          <w:cantSplit/>
          <w:trHeight w:val="287"/>
          <w:tblHeader/>
        </w:trPr>
        <w:tc>
          <w:tcPr>
            <w:tcW w:w="2714" w:type="dxa"/>
            <w:vMerge/>
            <w:tcBorders>
              <w:left w:val="single" w:sz="4" w:space="0" w:color="FFFFFF"/>
            </w:tcBorders>
          </w:tcPr>
          <w:p w:rsidR="008B1196" w:rsidRPr="00413E94" w:rsidRDefault="008B1196" w:rsidP="00EA30FC">
            <w:pPr>
              <w:rPr>
                <w:rFonts w:cs="Tahoma"/>
                <w:sz w:val="14"/>
                <w:szCs w:val="14"/>
              </w:rPr>
            </w:pPr>
          </w:p>
        </w:tc>
        <w:tc>
          <w:tcPr>
            <w:tcW w:w="450" w:type="dxa"/>
            <w:vMerge/>
          </w:tcPr>
          <w:p w:rsidR="008B1196" w:rsidRPr="00EB4D74" w:rsidRDefault="008B1196" w:rsidP="00EA30FC">
            <w:pPr>
              <w:rPr>
                <w:rFonts w:cs="Tahoma"/>
                <w:b/>
                <w:sz w:val="20"/>
              </w:rPr>
            </w:pPr>
          </w:p>
        </w:tc>
        <w:tc>
          <w:tcPr>
            <w:tcW w:w="450" w:type="dxa"/>
            <w:vMerge/>
          </w:tcPr>
          <w:p w:rsidR="008B1196" w:rsidRPr="00EB4D74" w:rsidRDefault="008B1196" w:rsidP="00EA30FC">
            <w:pPr>
              <w:rPr>
                <w:rFonts w:cs="Tahoma"/>
                <w:sz w:val="20"/>
              </w:rPr>
            </w:pPr>
          </w:p>
        </w:tc>
        <w:tc>
          <w:tcPr>
            <w:tcW w:w="360" w:type="dxa"/>
            <w:vMerge/>
            <w:tcBorders>
              <w:right w:val="single" w:sz="18" w:space="0" w:color="auto"/>
            </w:tcBorders>
          </w:tcPr>
          <w:p w:rsidR="008B1196" w:rsidRPr="00EB4D74" w:rsidRDefault="008B1196" w:rsidP="00EA30FC">
            <w:pPr>
              <w:rPr>
                <w:rFonts w:cs="Tahoma"/>
                <w:sz w:val="20"/>
              </w:rPr>
            </w:pPr>
          </w:p>
        </w:tc>
        <w:tc>
          <w:tcPr>
            <w:tcW w:w="360" w:type="dxa"/>
            <w:vMerge/>
            <w:tcBorders>
              <w:left w:val="single" w:sz="18" w:space="0" w:color="auto"/>
            </w:tcBorders>
            <w:vAlign w:val="center"/>
          </w:tcPr>
          <w:p w:rsidR="008B1196" w:rsidRPr="00EB4D74" w:rsidRDefault="008B1196" w:rsidP="00EA30FC">
            <w:pPr>
              <w:jc w:val="center"/>
              <w:rPr>
                <w:rFonts w:cs="Tahoma"/>
                <w:sz w:val="20"/>
              </w:rPr>
            </w:pP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3An</w:t>
            </w: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2An</w:t>
            </w: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1An</w:t>
            </w:r>
          </w:p>
        </w:tc>
        <w:tc>
          <w:tcPr>
            <w:tcW w:w="450" w:type="dxa"/>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3An</w:t>
            </w:r>
          </w:p>
        </w:tc>
        <w:tc>
          <w:tcPr>
            <w:tcW w:w="450" w:type="dxa"/>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2An</w:t>
            </w:r>
          </w:p>
        </w:tc>
        <w:tc>
          <w:tcPr>
            <w:tcW w:w="360" w:type="dxa"/>
            <w:tcBorders>
              <w:right w:val="single" w:sz="18" w:space="0" w:color="auto"/>
            </w:tcBorders>
            <w:vAlign w:val="center"/>
          </w:tcPr>
          <w:p w:rsidR="008B1196" w:rsidRPr="00EB4D74" w:rsidRDefault="008B1196" w:rsidP="00EA30FC">
            <w:pPr>
              <w:pStyle w:val="TableHeadingsBlue"/>
              <w:rPr>
                <w:rFonts w:ascii="Tahoma" w:hAnsi="Tahoma" w:cs="Tahoma"/>
                <w:sz w:val="9"/>
              </w:rPr>
            </w:pPr>
            <w:r w:rsidRPr="00EB4D74">
              <w:rPr>
                <w:rFonts w:ascii="Tahoma" w:hAnsi="Tahoma" w:cs="Tahoma"/>
                <w:sz w:val="9"/>
                <w:lang w:val="pt-BR"/>
              </w:rPr>
              <w:t>1An</w:t>
            </w:r>
          </w:p>
        </w:tc>
        <w:tc>
          <w:tcPr>
            <w:tcW w:w="450" w:type="dxa"/>
            <w:vMerge/>
            <w:tcBorders>
              <w:left w:val="single" w:sz="18" w:space="0" w:color="auto"/>
            </w:tcBorders>
            <w:vAlign w:val="center"/>
          </w:tcPr>
          <w:p w:rsidR="008B1196" w:rsidRPr="00EB4D74" w:rsidRDefault="008B1196" w:rsidP="00EA30FC">
            <w:pPr>
              <w:jc w:val="center"/>
              <w:rPr>
                <w:rFonts w:cs="Tahoma"/>
                <w:sz w:val="20"/>
              </w:rPr>
            </w:pPr>
          </w:p>
        </w:tc>
        <w:tc>
          <w:tcPr>
            <w:tcW w:w="450" w:type="dxa"/>
            <w:vAlign w:val="center"/>
          </w:tcPr>
          <w:p w:rsidR="008B1196" w:rsidRPr="00EB4D74" w:rsidRDefault="008B1196" w:rsidP="00EA30FC">
            <w:pPr>
              <w:pStyle w:val="TableHeadingsGreen"/>
              <w:rPr>
                <w:rFonts w:ascii="Tahoma" w:hAnsi="Tahoma" w:cs="Tahoma"/>
                <w:sz w:val="9"/>
              </w:rPr>
            </w:pPr>
            <w:r w:rsidRPr="00EB4D74">
              <w:rPr>
                <w:rFonts w:ascii="Tahoma" w:hAnsi="Tahoma" w:cs="Tahoma"/>
                <w:sz w:val="9"/>
                <w:lang w:val="pt-BR"/>
              </w:rPr>
              <w:t>P</w:t>
            </w:r>
          </w:p>
        </w:tc>
        <w:tc>
          <w:tcPr>
            <w:tcW w:w="360" w:type="dxa"/>
            <w:vMerge/>
            <w:tcBorders>
              <w:right w:val="single" w:sz="18" w:space="0" w:color="auto"/>
            </w:tcBorders>
            <w:vAlign w:val="center"/>
          </w:tcPr>
          <w:p w:rsidR="008B1196" w:rsidRPr="00EB4D74" w:rsidRDefault="008B1196" w:rsidP="00EA30FC">
            <w:pPr>
              <w:jc w:val="center"/>
              <w:rPr>
                <w:rFonts w:cs="Tahoma"/>
                <w:sz w:val="20"/>
              </w:rPr>
            </w:pPr>
          </w:p>
        </w:tc>
        <w:tc>
          <w:tcPr>
            <w:tcW w:w="378" w:type="dxa"/>
            <w:vMerge/>
            <w:tcBorders>
              <w:left w:val="single" w:sz="18" w:space="0" w:color="auto"/>
            </w:tcBorders>
          </w:tcPr>
          <w:p w:rsidR="008B1196" w:rsidRPr="00EB4D74" w:rsidRDefault="008B1196" w:rsidP="00EA30FC">
            <w:pPr>
              <w:rPr>
                <w:rFonts w:cs="Tahoma"/>
                <w:sz w:val="20"/>
              </w:rPr>
            </w:pPr>
          </w:p>
        </w:tc>
        <w:tc>
          <w:tcPr>
            <w:tcW w:w="459" w:type="dxa"/>
            <w:vMerge/>
            <w:tcBorders>
              <w:right w:val="single" w:sz="18" w:space="0" w:color="auto"/>
            </w:tcBorders>
          </w:tcPr>
          <w:p w:rsidR="008B1196" w:rsidRPr="00EB4D74" w:rsidRDefault="008B1196" w:rsidP="00EA30FC">
            <w:pPr>
              <w:rPr>
                <w:rFonts w:cs="Tahoma"/>
                <w:sz w:val="20"/>
              </w:rPr>
            </w:pPr>
          </w:p>
        </w:tc>
        <w:tc>
          <w:tcPr>
            <w:tcW w:w="396" w:type="dxa"/>
            <w:vMerge/>
            <w:tcBorders>
              <w:left w:val="single" w:sz="18" w:space="0" w:color="auto"/>
              <w:right w:val="single" w:sz="18" w:space="0" w:color="auto"/>
            </w:tcBorders>
          </w:tcPr>
          <w:p w:rsidR="008B1196" w:rsidRPr="00EB4D74" w:rsidRDefault="008B1196" w:rsidP="00EA30FC">
            <w:pPr>
              <w:rPr>
                <w:rFonts w:cs="Tahoma"/>
                <w:sz w:val="20"/>
              </w:rPr>
            </w:pPr>
          </w:p>
        </w:tc>
        <w:tc>
          <w:tcPr>
            <w:tcW w:w="702" w:type="dxa"/>
            <w:vMerge/>
          </w:tcPr>
          <w:p w:rsidR="008B1196" w:rsidRPr="00EB4D74" w:rsidRDefault="008B1196" w:rsidP="00EA30FC">
            <w:pPr>
              <w:rPr>
                <w:rFonts w:cs="Tahoma"/>
                <w:sz w:val="20"/>
              </w:rPr>
            </w:pPr>
          </w:p>
        </w:tc>
        <w:tc>
          <w:tcPr>
            <w:tcW w:w="495" w:type="dxa"/>
            <w:vMerge/>
          </w:tcPr>
          <w:p w:rsidR="008B1196" w:rsidRPr="00EB4D74" w:rsidRDefault="008B1196" w:rsidP="00EA30FC">
            <w:pPr>
              <w:rPr>
                <w:rFonts w:cs="Tahoma"/>
                <w:sz w:val="20"/>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57" w:name="_Toc336337909"/>
            <w:bookmarkStart w:id="158" w:name="_Toc342914564"/>
            <w:bookmarkEnd w:id="157"/>
            <w:r w:rsidRPr="00413E94">
              <w:rPr>
                <w:rFonts w:ascii="Tahoma" w:hAnsi="Tahoma" w:cs="Tahoma"/>
                <w:sz w:val="14"/>
                <w:szCs w:val="14"/>
                <w:lang w:val="pt-BR"/>
              </w:rPr>
              <w:t>Bing Maps Server</w:t>
            </w:r>
            <w:bookmarkEnd w:id="158"/>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b w:val="0"/>
                <w:sz w:val="13"/>
                <w:szCs w:val="13"/>
                <w:u w:val="single"/>
              </w:rPr>
            </w:pPr>
            <w:hyperlink w:anchor="Srv_27BingMapsSvrandContentPack" w:history="1">
              <w:r w:rsidRPr="00EB4D74">
                <w:rPr>
                  <w:rStyle w:val="Hyperlink"/>
                  <w:b/>
                  <w:sz w:val="13"/>
                  <w:szCs w:val="13"/>
                </w:rPr>
                <w:t>27</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08/09</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200 pontos</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59" w:name="_Toc336337910"/>
            <w:bookmarkStart w:id="160" w:name="_Toc342914565"/>
            <w:bookmarkEnd w:id="159"/>
            <w:r w:rsidRPr="00413E94">
              <w:rPr>
                <w:rFonts w:ascii="Tahoma" w:hAnsi="Tahoma" w:cs="Tahoma"/>
                <w:sz w:val="14"/>
                <w:szCs w:val="14"/>
                <w:lang w:val="pt-BR"/>
              </w:rPr>
              <w:t>CAL do Bing Maps Server</w:t>
            </w:r>
            <w:bookmarkEnd w:id="160"/>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b w:val="0"/>
                <w:sz w:val="13"/>
                <w:szCs w:val="13"/>
                <w:u w:val="single"/>
              </w:rPr>
            </w:pPr>
            <w:hyperlink w:anchor="Srv_27BingMapsSvrandContentPack" w:history="1">
              <w:r w:rsidRPr="00EB4D74">
                <w:rPr>
                  <w:rStyle w:val="Hyperlink"/>
                  <w:b/>
                  <w:sz w:val="13"/>
                  <w:szCs w:val="13"/>
                </w:rPr>
                <w:t>27</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08/09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 ponto</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61" w:name="_Toc336337911"/>
            <w:bookmarkStart w:id="162" w:name="_Toc342914566"/>
            <w:bookmarkEnd w:id="161"/>
            <w:r w:rsidRPr="00413E94">
              <w:rPr>
                <w:rFonts w:ascii="Tahoma" w:hAnsi="Tahoma" w:cs="Tahoma"/>
                <w:sz w:val="14"/>
                <w:szCs w:val="14"/>
                <w:lang w:val="pt-BR"/>
              </w:rPr>
              <w:t>Bing Maps Server com Pacote de Conteúdo Aprimorado</w:t>
            </w:r>
            <w:bookmarkEnd w:id="162"/>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b w:val="0"/>
                <w:sz w:val="13"/>
                <w:szCs w:val="13"/>
                <w:u w:val="single"/>
              </w:rPr>
            </w:pPr>
            <w:hyperlink w:anchor="Srv_27BingMapsSvrandContentPack" w:history="1">
              <w:r w:rsidRPr="00EB4D74">
                <w:rPr>
                  <w:rStyle w:val="Hyperlink"/>
                  <w:b/>
                  <w:sz w:val="13"/>
                  <w:szCs w:val="13"/>
                </w:rPr>
                <w:t>27</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08/09</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200 pontos</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3"/>
              <w:spacing w:before="40" w:after="40"/>
              <w:rPr>
                <w:rFonts w:ascii="Tahoma" w:hAnsi="Tahoma" w:cs="Tahoma"/>
                <w:b w:val="0"/>
                <w:sz w:val="14"/>
                <w:szCs w:val="14"/>
              </w:rPr>
            </w:pPr>
            <w:bookmarkStart w:id="163" w:name="_Toc315288746"/>
            <w:bookmarkStart w:id="164" w:name="_Toc336337912"/>
            <w:bookmarkStart w:id="165" w:name="_Toc342914567"/>
            <w:bookmarkEnd w:id="163"/>
            <w:bookmarkEnd w:id="164"/>
            <w:r w:rsidRPr="00413E94">
              <w:rPr>
                <w:rFonts w:ascii="Tahoma" w:hAnsi="Tahoma" w:cs="Tahoma"/>
                <w:b w:val="0"/>
                <w:sz w:val="14"/>
                <w:szCs w:val="14"/>
                <w:lang w:val="pt-BR"/>
              </w:rPr>
              <w:t>CAL do Bing Maps Server com Pacote de Conteúdo Aprimorado</w:t>
            </w:r>
            <w:bookmarkEnd w:id="165"/>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b w:val="0"/>
                <w:sz w:val="13"/>
                <w:szCs w:val="13"/>
                <w:u w:val="single"/>
              </w:rPr>
            </w:pPr>
            <w:hyperlink w:anchor="Srv_27BingMapsSvrandContentPack" w:history="1">
              <w:r w:rsidRPr="00EB4D74">
                <w:rPr>
                  <w:rStyle w:val="Hyperlink"/>
                  <w:b/>
                  <w:sz w:val="13"/>
                  <w:szCs w:val="13"/>
                </w:rPr>
                <w:t>27</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08/09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27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27</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66" w:name="_Toc315288747"/>
            <w:bookmarkStart w:id="167" w:name="_Toc336337913"/>
            <w:bookmarkStart w:id="168" w:name="_Toc342914568"/>
            <w:bookmarkEnd w:id="166"/>
            <w:bookmarkEnd w:id="167"/>
            <w:r w:rsidRPr="00413E94">
              <w:rPr>
                <w:rFonts w:ascii="Tahoma" w:hAnsi="Tahoma" w:cs="Tahoma"/>
                <w:sz w:val="14"/>
                <w:szCs w:val="14"/>
                <w:lang w:val="pt-BR"/>
              </w:rPr>
              <w:t>Bing Maps Standard ou Professional (SL de Usuário)</w:t>
            </w:r>
            <w:bookmarkEnd w:id="168"/>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 ponto</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69" w:name="_Toc336337914"/>
            <w:bookmarkStart w:id="170" w:name="_Toc342914569"/>
            <w:bookmarkEnd w:id="169"/>
            <w:r w:rsidRPr="00413E94">
              <w:rPr>
                <w:rFonts w:ascii="Tahoma" w:hAnsi="Tahoma" w:cs="Tahoma"/>
                <w:sz w:val="14"/>
                <w:szCs w:val="14"/>
                <w:lang w:val="pt-BR"/>
              </w:rPr>
              <w:t>Bing Maps Standard (SL de Serviços)</w:t>
            </w:r>
            <w:bookmarkEnd w:id="170"/>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75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71" w:name="_Toc336337915"/>
            <w:bookmarkStart w:id="172" w:name="_Toc342914570"/>
            <w:bookmarkEnd w:id="171"/>
            <w:r w:rsidRPr="00413E94">
              <w:rPr>
                <w:rFonts w:ascii="Tahoma" w:hAnsi="Tahoma" w:cs="Tahoma"/>
                <w:sz w:val="14"/>
                <w:szCs w:val="14"/>
                <w:lang w:val="pt-BR"/>
              </w:rPr>
              <w:t>Bing Maps Professional (SL de Serviços)</w:t>
            </w:r>
            <w:bookmarkEnd w:id="172"/>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125 pontos</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30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73" w:name="_Toc336337916"/>
            <w:bookmarkStart w:id="174" w:name="_Toc342914571"/>
            <w:bookmarkEnd w:id="173"/>
            <w:r w:rsidRPr="00413E94">
              <w:rPr>
                <w:rFonts w:ascii="Tahoma" w:hAnsi="Tahoma" w:cs="Tahoma"/>
                <w:sz w:val="14"/>
                <w:szCs w:val="14"/>
                <w:lang w:val="pt-BR"/>
              </w:rPr>
              <w:t>Bing Maps 25KTrx (SL Complementar)</w:t>
            </w:r>
            <w:bookmarkEnd w:id="174"/>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b w:val="0"/>
                <w:color w:val="0000FF"/>
                <w:sz w:val="13"/>
                <w:szCs w:val="13"/>
                <w:u w:val="single"/>
              </w:rPr>
            </w:pPr>
            <w:hyperlink w:anchor="_28_Bing_Maps" w:history="1">
              <w:r w:rsidRPr="00EB4D74">
                <w:rPr>
                  <w:rStyle w:val="Hyperlink"/>
                  <w:b/>
                  <w:sz w:val="13"/>
                  <w:szCs w:val="13"/>
                </w:rPr>
                <w:t>28</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200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75" w:name="_Toc336337917"/>
            <w:bookmarkStart w:id="176" w:name="_Toc342914572"/>
            <w:bookmarkEnd w:id="175"/>
            <w:r w:rsidRPr="00413E94">
              <w:rPr>
                <w:rFonts w:ascii="Tahoma" w:hAnsi="Tahoma" w:cs="Tahoma"/>
                <w:sz w:val="14"/>
                <w:szCs w:val="14"/>
                <w:lang w:val="pt-BR"/>
              </w:rPr>
              <w:t>Bing Maps 250KTrx (SL Complementar)</w:t>
            </w:r>
            <w:bookmarkEnd w:id="176"/>
          </w:p>
        </w:tc>
        <w:bookmarkStart w:id="177" w:name="_Hlt336250962"/>
        <w:bookmarkEnd w:id="177"/>
        <w:tc>
          <w:tcPr>
            <w:tcW w:w="450" w:type="dxa"/>
            <w:shd w:val="clear" w:color="auto" w:fill="FFFFFF"/>
            <w:vAlign w:val="center"/>
          </w:tcPr>
          <w:p w:rsidR="008B1196" w:rsidRPr="00EB4D74" w:rsidRDefault="008B1196" w:rsidP="00EA30FC">
            <w:pPr>
              <w:pStyle w:val="TableText"/>
              <w:widowControl w:val="0"/>
              <w:spacing w:before="40" w:after="40"/>
              <w:rPr>
                <w:rStyle w:val="EndnoteReference"/>
                <w:b w:val="0"/>
                <w:color w:val="0000FF"/>
                <w:sz w:val="13"/>
                <w:szCs w:val="13"/>
                <w:u w:val="single"/>
              </w:rPr>
            </w:pPr>
            <w:r w:rsidRPr="00EB4D74">
              <w:rPr>
                <w:sz w:val="13"/>
                <w:szCs w:val="13"/>
              </w:rPr>
              <w:fldChar w:fldCharType="begin"/>
            </w:r>
            <w:r w:rsidRPr="00EB4D74">
              <w:rPr>
                <w:sz w:val="13"/>
                <w:szCs w:val="13"/>
              </w:rPr>
              <w:instrText>HYPERLINK  \l "_Toc336338289"</w:instrText>
            </w:r>
            <w:r w:rsidRPr="00EB4D74">
              <w:rPr>
                <w:sz w:val="13"/>
                <w:szCs w:val="13"/>
              </w:rPr>
              <w:fldChar w:fldCharType="separate"/>
            </w:r>
            <w:r w:rsidRPr="00EB4D74">
              <w:rPr>
                <w:rStyle w:val="Hyperlink"/>
                <w:b/>
                <w:sz w:val="13"/>
                <w:szCs w:val="13"/>
              </w:rPr>
              <w:t>28</w:t>
            </w:r>
            <w:r w:rsidRPr="00EB4D74">
              <w:rPr>
                <w:sz w:val="13"/>
                <w:szCs w:val="13"/>
              </w:rPr>
              <w:fldChar w:fldCharType="end"/>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50 pontos</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Del="00180075" w:rsidRDefault="008B1196" w:rsidP="00EA30FC">
            <w:pPr>
              <w:pStyle w:val="ProductNames"/>
              <w:spacing w:before="40" w:after="40"/>
              <w:rPr>
                <w:rFonts w:ascii="Tahoma" w:hAnsi="Tahoma" w:cs="Tahoma"/>
                <w:sz w:val="14"/>
                <w:szCs w:val="14"/>
              </w:rPr>
            </w:pPr>
            <w:bookmarkStart w:id="178" w:name="_Toc336337918"/>
            <w:bookmarkStart w:id="179" w:name="_Toc342914573"/>
            <w:bookmarkEnd w:id="178"/>
            <w:r w:rsidRPr="00413E94">
              <w:rPr>
                <w:rFonts w:ascii="Tahoma" w:hAnsi="Tahoma" w:cs="Tahoma"/>
                <w:sz w:val="14"/>
                <w:szCs w:val="14"/>
                <w:lang w:val="pt-BR"/>
              </w:rPr>
              <w:t>Bing Maps Unlimited Trx (SL Complementar)</w:t>
            </w:r>
            <w:bookmarkEnd w:id="179"/>
          </w:p>
        </w:tc>
        <w:tc>
          <w:tcPr>
            <w:tcW w:w="450" w:type="dxa"/>
            <w:shd w:val="clear" w:color="auto" w:fill="FABF8F"/>
            <w:vAlign w:val="center"/>
          </w:tcPr>
          <w:p w:rsidR="008B1196" w:rsidRPr="00EB4D74" w:rsidRDefault="008B1196" w:rsidP="00EA30FC">
            <w:pPr>
              <w:pStyle w:val="TableText"/>
              <w:widowControl w:val="0"/>
              <w:spacing w:before="40" w:after="40"/>
              <w:rPr>
                <w:b/>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200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80" w:name="_Toc336337919"/>
            <w:bookmarkStart w:id="181" w:name="_Toc342914574"/>
            <w:bookmarkEnd w:id="180"/>
            <w:r w:rsidRPr="00413E94">
              <w:rPr>
                <w:rFonts w:ascii="Tahoma" w:hAnsi="Tahoma" w:cs="Tahoma"/>
                <w:sz w:val="14"/>
                <w:szCs w:val="14"/>
                <w:lang w:val="pt-BR"/>
              </w:rPr>
              <w:t>BizTalk</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Server 2010 Branch Edition</w:t>
            </w:r>
            <w:bookmarkEnd w:id="181"/>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b w:val="0"/>
                <w:color w:val="0000FF"/>
                <w:sz w:val="13"/>
                <w:szCs w:val="13"/>
                <w:u w:val="single"/>
              </w:rPr>
            </w:pPr>
            <w:hyperlink w:anchor="Srv_26_BizTalkServerBranch" w:history="1">
              <w:r w:rsidRPr="00EB4D74">
                <w:rPr>
                  <w:rStyle w:val="Hyperlink"/>
                  <w:b/>
                  <w:sz w:val="13"/>
                  <w:szCs w:val="13"/>
                </w:rPr>
                <w:t>29</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A,S,D</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82" w:name="_Toc336337920"/>
            <w:bookmarkStart w:id="183" w:name="_Toc342914575"/>
            <w:bookmarkEnd w:id="182"/>
            <w:r w:rsidRPr="00413E94">
              <w:rPr>
                <w:rFonts w:ascii="Tahoma" w:hAnsi="Tahoma" w:cs="Tahoma"/>
                <w:sz w:val="14"/>
                <w:szCs w:val="14"/>
                <w:lang w:val="pt-BR"/>
              </w:rPr>
              <w:t>BizTalk</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Server 2010 Enterprise Edition</w:t>
            </w:r>
            <w:bookmarkEnd w:id="183"/>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b w:val="0"/>
                <w:color w:val="0000FF"/>
                <w:sz w:val="13"/>
                <w:szCs w:val="13"/>
                <w:u w:val="single"/>
              </w:rPr>
            </w:pPr>
            <w:hyperlink w:anchor="Srv_27BizTalkSvr2009EntEd" w:history="1">
              <w:r w:rsidRPr="00EB4D74">
                <w:rPr>
                  <w:rStyle w:val="Hyperlink"/>
                  <w:b/>
                  <w:sz w:val="13"/>
                  <w:szCs w:val="13"/>
                </w:rPr>
                <w:t>30</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400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400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84" w:name="_Toc336337921"/>
            <w:bookmarkStart w:id="185" w:name="_Toc342914576"/>
            <w:bookmarkEnd w:id="184"/>
            <w:r w:rsidRPr="00413E94">
              <w:rPr>
                <w:rFonts w:ascii="Tahoma" w:hAnsi="Tahoma" w:cs="Tahoma"/>
                <w:sz w:val="14"/>
                <w:szCs w:val="14"/>
                <w:lang w:val="pt-BR"/>
              </w:rPr>
              <w:t>BizTalk</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Server 2010 Enterprise RFID</w:t>
            </w:r>
            <w:bookmarkEnd w:id="185"/>
          </w:p>
        </w:tc>
        <w:tc>
          <w:tcPr>
            <w:tcW w:w="450" w:type="dxa"/>
            <w:shd w:val="clear" w:color="auto" w:fill="FFFFFF"/>
            <w:vAlign w:val="center"/>
          </w:tcPr>
          <w:p w:rsidR="008B1196" w:rsidRPr="00EB4D74" w:rsidRDefault="008B1196" w:rsidP="00EA30FC">
            <w:pPr>
              <w:pStyle w:val="TableText"/>
              <w:widowControl w:val="0"/>
              <w:spacing w:before="40" w:after="40"/>
              <w:rPr>
                <w:b/>
                <w:color w:val="0000FF"/>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86" w:name="_Toc336337922"/>
            <w:bookmarkStart w:id="187" w:name="_Toc342914577"/>
            <w:bookmarkEnd w:id="186"/>
            <w:r w:rsidRPr="00413E94">
              <w:rPr>
                <w:rFonts w:ascii="Tahoma" w:hAnsi="Tahoma" w:cs="Tahoma"/>
                <w:sz w:val="14"/>
                <w:szCs w:val="14"/>
                <w:lang w:val="pt-BR"/>
              </w:rPr>
              <w:t>BizTalk</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Server 2010 Standard Edition</w:t>
            </w:r>
            <w:bookmarkEnd w:id="18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b w:val="0"/>
                <w:color w:val="0000FF"/>
                <w:sz w:val="13"/>
                <w:szCs w:val="13"/>
                <w:u w:val="single"/>
              </w:rPr>
            </w:pPr>
            <w:hyperlink w:anchor="Srv_28BizTalkSvr2009StandEd" w:history="1">
              <w:r w:rsidRPr="00EB4D74">
                <w:rPr>
                  <w:rStyle w:val="Hyperlink"/>
                  <w:b/>
                  <w:sz w:val="13"/>
                  <w:szCs w:val="13"/>
                </w:rPr>
                <w:t>31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88" w:name="_Toc336337923"/>
            <w:bookmarkStart w:id="189" w:name="_Toc342914578"/>
            <w:bookmarkEnd w:id="188"/>
            <w:r w:rsidRPr="00413E94">
              <w:rPr>
                <w:rFonts w:ascii="Tahoma" w:hAnsi="Tahoma" w:cs="Tahoma"/>
                <w:sz w:val="14"/>
                <w:szCs w:val="14"/>
                <w:lang w:val="pt-BR"/>
              </w:rPr>
              <w:t>BizTalk</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Server 2010 Branch IDC</w:t>
            </w:r>
            <w:bookmarkEnd w:id="189"/>
          </w:p>
        </w:tc>
        <w:tc>
          <w:tcPr>
            <w:tcW w:w="450" w:type="dxa"/>
            <w:shd w:val="clear" w:color="auto" w:fill="FFFFFF"/>
            <w:vAlign w:val="center"/>
          </w:tcPr>
          <w:p w:rsidR="008B1196" w:rsidRPr="00EB4D74" w:rsidRDefault="008B1196" w:rsidP="00EA30FC">
            <w:pPr>
              <w:pStyle w:val="TableText"/>
              <w:widowControl w:val="0"/>
              <w:spacing w:before="40" w:after="40"/>
              <w:rPr>
                <w:b/>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D</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90" w:name="_Toc336337924"/>
            <w:bookmarkStart w:id="191" w:name="_Toc342914579"/>
            <w:bookmarkEnd w:id="190"/>
            <w:r w:rsidRPr="00413E94">
              <w:rPr>
                <w:rFonts w:ascii="Tahoma" w:hAnsi="Tahoma" w:cs="Tahoma"/>
                <w:sz w:val="14"/>
                <w:szCs w:val="14"/>
                <w:lang w:val="pt-BR"/>
              </w:rPr>
              <w:t>BizTalk</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Server 2010 Developer IDC</w:t>
            </w:r>
            <w:bookmarkEnd w:id="191"/>
          </w:p>
        </w:tc>
        <w:tc>
          <w:tcPr>
            <w:tcW w:w="450" w:type="dxa"/>
            <w:shd w:val="clear" w:color="auto" w:fill="FABF8F"/>
            <w:vAlign w:val="center"/>
          </w:tcPr>
          <w:p w:rsidR="008B1196" w:rsidRPr="00EB4D74" w:rsidRDefault="008B1196" w:rsidP="00EA30FC">
            <w:pPr>
              <w:pStyle w:val="TableText"/>
              <w:widowControl w:val="0"/>
              <w:spacing w:before="40" w:after="40"/>
              <w:rPr>
                <w:b/>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D</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192" w:name="_Toc336337925"/>
            <w:bookmarkStart w:id="193" w:name="_Toc342914580"/>
            <w:bookmarkEnd w:id="192"/>
            <w:r w:rsidRPr="00413E94">
              <w:rPr>
                <w:rFonts w:ascii="Tahoma" w:hAnsi="Tahoma" w:cs="Tahoma"/>
                <w:b w:val="0"/>
                <w:sz w:val="14"/>
                <w:szCs w:val="14"/>
                <w:lang w:val="pt-BR"/>
              </w:rPr>
              <w:t>Business Intelligence Appliance 2012</w:t>
            </w:r>
            <w:bookmarkEnd w:id="193"/>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b w:val="0"/>
                <w:color w:val="0000FF"/>
                <w:sz w:val="13"/>
                <w:szCs w:val="13"/>
                <w:u w:val="single"/>
              </w:rPr>
            </w:pPr>
            <w:hyperlink w:anchor="Srv_35BusinessIntellApp2012" w:history="1">
              <w:r w:rsidRPr="00EB4D74">
                <w:rPr>
                  <w:rStyle w:val="Hyperlink"/>
                  <w:b/>
                  <w:sz w:val="13"/>
                  <w:szCs w:val="13"/>
                </w:rPr>
                <w:t>32</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63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94" w:name="_Toc336337926"/>
            <w:bookmarkStart w:id="195" w:name="_Toc342914581"/>
            <w:bookmarkEnd w:id="194"/>
            <w:r w:rsidRPr="00413E94">
              <w:rPr>
                <w:rFonts w:ascii="Tahoma" w:hAnsi="Tahoma" w:cs="Tahoma"/>
                <w:sz w:val="14"/>
                <w:szCs w:val="14"/>
                <w:lang w:val="pt-BR"/>
              </w:rPr>
              <w:t>Bridge do Pacote de CALs Principais para Office 365 (Usuário e Dispositivo)</w:t>
            </w:r>
            <w:bookmarkEnd w:id="195"/>
          </w:p>
        </w:tc>
        <w:tc>
          <w:tcPr>
            <w:tcW w:w="450" w:type="dxa"/>
            <w:shd w:val="clear" w:color="auto" w:fill="FABF8F"/>
            <w:vAlign w:val="center"/>
          </w:tcPr>
          <w:p w:rsidR="008B1196" w:rsidRPr="00EB4D74" w:rsidRDefault="008B1196" w:rsidP="00EA30FC">
            <w:pPr>
              <w:pStyle w:val="TableText"/>
              <w:widowControl w:val="0"/>
              <w:spacing w:before="40" w:after="40"/>
              <w:rPr>
                <w:b/>
                <w:color w:val="0000FF"/>
                <w:sz w:val="13"/>
                <w:szCs w:val="13"/>
                <w:u w:val="single"/>
              </w:rPr>
            </w:pPr>
            <w:hyperlink w:anchor="_33_Bridge_do" w:history="1">
              <w:r w:rsidRPr="00EB4D74">
                <w:rPr>
                  <w:rStyle w:val="Hyperlink"/>
                  <w:b/>
                  <w:sz w:val="13"/>
                  <w:szCs w:val="13"/>
                </w:rPr>
                <w:t>33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196" w:name="_Toc336337927"/>
            <w:bookmarkStart w:id="197" w:name="_Toc342914582"/>
            <w:bookmarkEnd w:id="196"/>
            <w:r w:rsidRPr="00413E94">
              <w:rPr>
                <w:rFonts w:ascii="Tahoma" w:hAnsi="Tahoma" w:cs="Tahoma"/>
                <w:sz w:val="14"/>
                <w:szCs w:val="14"/>
                <w:lang w:val="pt-BR"/>
              </w:rPr>
              <w:t>Bridge do Pacote de CALs Principais para Office 365 e Windows</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Intune (Usuário e Dispositivo)</w:t>
            </w:r>
            <w:bookmarkEnd w:id="197"/>
          </w:p>
        </w:tc>
        <w:tc>
          <w:tcPr>
            <w:tcW w:w="450" w:type="dxa"/>
            <w:shd w:val="clear" w:color="auto" w:fill="FFFFFF"/>
            <w:vAlign w:val="center"/>
          </w:tcPr>
          <w:p w:rsidR="008B1196" w:rsidRPr="00EB4D74" w:rsidRDefault="008B1196" w:rsidP="00EA30FC">
            <w:pPr>
              <w:pStyle w:val="TableText"/>
              <w:widowControl w:val="0"/>
              <w:spacing w:before="40" w:after="40"/>
              <w:rPr>
                <w:b/>
                <w:color w:val="0000FF"/>
                <w:sz w:val="13"/>
                <w:szCs w:val="13"/>
                <w:u w:val="single"/>
              </w:rPr>
            </w:pPr>
            <w:hyperlink w:anchor="_Toc336338294" w:history="1">
              <w:r w:rsidRPr="00EB4D74">
                <w:rPr>
                  <w:rStyle w:val="Hyperlink"/>
                  <w:b/>
                  <w:sz w:val="13"/>
                  <w:szCs w:val="13"/>
                </w:rPr>
                <w:t>33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198" w:name="_Toc336337928"/>
            <w:bookmarkStart w:id="199" w:name="_Toc342914583"/>
            <w:bookmarkEnd w:id="198"/>
            <w:r w:rsidRPr="00413E94">
              <w:rPr>
                <w:rFonts w:ascii="Tahoma" w:hAnsi="Tahoma" w:cs="Tahoma"/>
                <w:sz w:val="14"/>
                <w:szCs w:val="14"/>
                <w:lang w:val="pt-BR"/>
              </w:rPr>
              <w:t>Bridge do Pacote de CALs Principais para Windows</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Intune (Usuário e Dispositivo)</w:t>
            </w:r>
            <w:bookmarkEnd w:id="199"/>
          </w:p>
        </w:tc>
        <w:tc>
          <w:tcPr>
            <w:tcW w:w="450" w:type="dxa"/>
            <w:shd w:val="clear" w:color="auto" w:fill="FABF8F"/>
            <w:vAlign w:val="center"/>
          </w:tcPr>
          <w:p w:rsidR="008B1196" w:rsidRPr="00EB4D74" w:rsidRDefault="008B1196" w:rsidP="00EA30FC">
            <w:pPr>
              <w:pStyle w:val="TableText"/>
              <w:widowControl w:val="0"/>
              <w:spacing w:before="40" w:after="40"/>
              <w:rPr>
                <w:b/>
                <w:color w:val="0000FF"/>
                <w:sz w:val="13"/>
                <w:szCs w:val="13"/>
                <w:u w:val="single"/>
              </w:rPr>
            </w:pPr>
            <w:hyperlink w:anchor="_Toc336338294" w:history="1">
              <w:r w:rsidRPr="00EB4D74">
                <w:rPr>
                  <w:rStyle w:val="Hyperlink"/>
                  <w:b/>
                  <w:sz w:val="13"/>
                  <w:szCs w:val="13"/>
                </w:rPr>
                <w:t>33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lang w:val="it-IT"/>
              </w:rPr>
            </w:pPr>
            <w:bookmarkStart w:id="200" w:name="_Toc336337929"/>
            <w:bookmarkStart w:id="201" w:name="_Toc342914584"/>
            <w:bookmarkEnd w:id="200"/>
            <w:r w:rsidRPr="00413E94">
              <w:rPr>
                <w:rFonts w:ascii="Tahoma" w:hAnsi="Tahoma" w:cs="Tahoma"/>
                <w:sz w:val="14"/>
                <w:szCs w:val="14"/>
                <w:lang w:val="pt-BR"/>
              </w:rPr>
              <w:t>Core CAL Suite (Usuário e Dispositivo)</w:t>
            </w:r>
            <w:bookmarkEnd w:id="201"/>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color w:val="0000FF"/>
                <w:sz w:val="13"/>
                <w:szCs w:val="13"/>
                <w:u w:val="single"/>
              </w:rPr>
            </w:pPr>
            <w:hyperlink w:anchor="Srv_34CoreCALSuite" w:history="1">
              <w:r w:rsidRPr="00EB4D74">
                <w:rPr>
                  <w:rStyle w:val="Hyperlink"/>
                  <w:b/>
                  <w:sz w:val="13"/>
                  <w:szCs w:val="13"/>
                </w:rPr>
                <w:t>34</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10/06</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 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E,ST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02" w:name="_Toc336337930"/>
            <w:bookmarkStart w:id="203" w:name="_Toc342914585"/>
            <w:bookmarkEnd w:id="202"/>
            <w:r w:rsidRPr="00413E94">
              <w:rPr>
                <w:rFonts w:ascii="Tahoma" w:hAnsi="Tahoma" w:cs="Tahoma"/>
                <w:sz w:val="14"/>
                <w:szCs w:val="14"/>
                <w:lang w:val="pt-BR"/>
              </w:rPr>
              <w:t>Core Infrastructure Server Suite Standard</w:t>
            </w:r>
            <w:bookmarkEnd w:id="203"/>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color w:val="0000FF"/>
                <w:sz w:val="13"/>
                <w:szCs w:val="13"/>
                <w:u w:val="single"/>
              </w:rPr>
            </w:pPr>
            <w:hyperlink w:anchor="Srv_35CoreInfraServerSuiteStd" w:history="1">
              <w:r w:rsidRPr="00EB4D74">
                <w:rPr>
                  <w:rStyle w:val="Hyperlink"/>
                  <w:b/>
                  <w:sz w:val="13"/>
                  <w:szCs w:val="13"/>
                </w:rPr>
                <w:t>35</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63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13</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C</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Pr>
                <w:rFonts w:ascii="Tahoma" w:hAnsi="Tahoma" w:cs="Tahoma"/>
                <w:sz w:val="13"/>
                <w:lang w:val="pt-BR"/>
              </w:rPr>
              <w:t>OL/</w:t>
            </w:r>
            <w:r w:rsidRPr="00EB4D74">
              <w:rPr>
                <w:rFonts w:ascii="Tahoma" w:hAnsi="Tahoma" w:cs="Tahoma"/>
                <w:sz w:val="13"/>
                <w:lang w:val="pt-BR"/>
              </w:rPr>
              <w:t>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204" w:name="_Toc336337931"/>
            <w:bookmarkStart w:id="205" w:name="_Toc342914586"/>
            <w:bookmarkEnd w:id="204"/>
            <w:r w:rsidRPr="00413E94">
              <w:rPr>
                <w:rFonts w:ascii="Tahoma" w:hAnsi="Tahoma" w:cs="Tahoma"/>
                <w:sz w:val="14"/>
                <w:szCs w:val="14"/>
                <w:lang w:val="pt-BR"/>
              </w:rPr>
              <w:t>Core Infrastructure Server Suite Enterprise</w:t>
            </w:r>
            <w:bookmarkEnd w:id="205"/>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color w:val="0000FF"/>
                <w:sz w:val="13"/>
                <w:szCs w:val="13"/>
                <w:u w:val="single"/>
              </w:rPr>
            </w:pPr>
            <w:hyperlink w:anchor="Srv_36CoreInfraServerSuiteEnt" w:history="1">
              <w:r w:rsidRPr="00EB4D74">
                <w:rPr>
                  <w:rStyle w:val="Hyperlink"/>
                  <w:b/>
                  <w:sz w:val="13"/>
                  <w:szCs w:val="13"/>
                </w:rPr>
                <w:t>36</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06" w:name="_Toc336337932"/>
            <w:bookmarkStart w:id="207" w:name="_Toc342914587"/>
            <w:bookmarkEnd w:id="206"/>
            <w:r w:rsidRPr="00413E94">
              <w:rPr>
                <w:rFonts w:ascii="Tahoma" w:hAnsi="Tahoma" w:cs="Tahoma"/>
                <w:sz w:val="14"/>
                <w:szCs w:val="14"/>
                <w:lang w:val="pt-BR"/>
              </w:rPr>
              <w:t>Core Infrastructure Server Suite Datacenter</w:t>
            </w:r>
            <w:bookmarkEnd w:id="20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color w:val="0000FF"/>
                <w:sz w:val="13"/>
                <w:szCs w:val="13"/>
                <w:u w:val="single"/>
              </w:rPr>
            </w:pPr>
            <w:hyperlink w:anchor="_37_Core_Infrastructure" w:history="1">
              <w:r w:rsidRPr="00EB4D74">
                <w:rPr>
                  <w:rStyle w:val="Hyperlink"/>
                  <w:b/>
                  <w:sz w:val="13"/>
                  <w:szCs w:val="13"/>
                </w:rPr>
                <w:t>37</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188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lang w:eastAsia="ja-JP"/>
              </w:rPr>
            </w:pPr>
            <w:r w:rsidRPr="00EB4D74">
              <w:rPr>
                <w:rFonts w:ascii="Tahoma" w:hAnsi="Tahoma" w:cs="Tahoma"/>
                <w:sz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75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lang w:eastAsia="ja-JP"/>
              </w:rPr>
            </w:pPr>
            <w:r w:rsidRPr="00EB4D74">
              <w:rPr>
                <w:rFonts w:ascii="Tahoma" w:hAnsi="Tahoma" w:cs="Tahoma"/>
                <w:sz w:val="13"/>
              </w:rPr>
              <w:t>38</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lang w:eastAsia="ja-JP"/>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lang w:eastAsia="ja-JP"/>
              </w:rPr>
            </w:pPr>
            <w:r w:rsidRPr="00EB4D74">
              <w:rPr>
                <w:rFonts w:ascii="Tahoma" w:hAnsi="Tahoma" w:cs="Tahoma"/>
                <w:sz w:val="13"/>
              </w:rPr>
              <w:t>150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lang w:eastAsia="ja-JP"/>
              </w:rPr>
            </w:pPr>
            <w:r w:rsidRPr="00EB4D74">
              <w:rPr>
                <w:rFonts w:ascii="Tahoma" w:hAnsi="Tahoma" w:cs="Tahoma"/>
                <w:sz w:val="13"/>
              </w:rPr>
              <w:t>75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lang w:eastAsia="ja-JP"/>
              </w:rPr>
            </w:pPr>
            <w:r w:rsidRPr="00EB4D74">
              <w:rPr>
                <w:rFonts w:ascii="Tahoma" w:hAnsi="Tahoma" w:cs="Tahoma"/>
                <w:sz w:val="13"/>
              </w:rPr>
              <w:t>75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C</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Pr>
                <w:rFonts w:ascii="Tahoma" w:hAnsi="Tahoma" w:cs="Tahoma"/>
                <w:sz w:val="13"/>
                <w:lang w:val="pt-BR"/>
              </w:rPr>
              <w:t>OL/</w:t>
            </w:r>
            <w:r w:rsidRPr="00EB4D74">
              <w:rPr>
                <w:rFonts w:ascii="Tahoma" w:hAnsi="Tahoma" w:cs="Tahoma"/>
                <w:sz w:val="13"/>
                <w:lang w:val="pt-BR"/>
              </w:rPr>
              <w:t>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color w:val="000000"/>
                <w:sz w:val="14"/>
                <w:szCs w:val="14"/>
              </w:rPr>
            </w:pPr>
            <w:bookmarkStart w:id="208" w:name="_Toc336337933"/>
            <w:bookmarkStart w:id="209" w:name="_Toc342914588"/>
            <w:bookmarkEnd w:id="208"/>
            <w:r w:rsidRPr="00413E94">
              <w:rPr>
                <w:rFonts w:ascii="Tahoma" w:hAnsi="Tahoma" w:cs="Tahoma"/>
                <w:sz w:val="14"/>
                <w:szCs w:val="14"/>
                <w:lang w:val="pt-BR"/>
              </w:rPr>
              <w:t>Data Warehouse Appliance 2012</w:t>
            </w:r>
            <w:bookmarkEnd w:id="209"/>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41DataWarehouseConsApp2012" w:history="1">
              <w:r w:rsidRPr="00EB4D74">
                <w:rPr>
                  <w:rStyle w:val="Hyperlink"/>
                  <w:rFonts w:cs="Tahoma"/>
                  <w:b/>
                  <w:sz w:val="13"/>
                  <w:szCs w:val="13"/>
                </w:rPr>
                <w:t>38</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400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10" w:name="_Toc336337935"/>
            <w:bookmarkStart w:id="211" w:name="_Toc342914589"/>
            <w:bookmarkEnd w:id="210"/>
            <w:r w:rsidRPr="00413E94">
              <w:rPr>
                <w:rFonts w:ascii="Tahoma" w:hAnsi="Tahoma" w:cs="Tahoma"/>
                <w:color w:val="000000"/>
                <w:sz w:val="14"/>
                <w:szCs w:val="14"/>
                <w:lang w:val="pt-BR"/>
              </w:rPr>
              <w:t>Dynamics CRM Online Extra Storage</w:t>
            </w:r>
            <w:bookmarkEnd w:id="21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40_Dynamics_CRM" w:history="1">
              <w:r w:rsidRPr="00EB4D74">
                <w:rPr>
                  <w:rStyle w:val="Hyperlink"/>
                  <w:rFonts w:cs="Tahoma"/>
                  <w:b/>
                  <w:sz w:val="13"/>
                  <w:szCs w:val="13"/>
                </w:rPr>
                <w:t>39</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212" w:name="_Toc336337936"/>
            <w:bookmarkStart w:id="213" w:name="_Toc342914590"/>
            <w:bookmarkEnd w:id="212"/>
            <w:r w:rsidRPr="00413E94">
              <w:rPr>
                <w:rFonts w:ascii="Tahoma" w:hAnsi="Tahoma" w:cs="Tahoma"/>
                <w:color w:val="000000"/>
                <w:sz w:val="14"/>
                <w:szCs w:val="14"/>
                <w:lang w:val="pt-BR"/>
              </w:rPr>
              <w:t>Dynamics CRM Online por Usuário</w:t>
            </w:r>
            <w:bookmarkEnd w:id="213"/>
          </w:p>
        </w:tc>
        <w:tc>
          <w:tcPr>
            <w:tcW w:w="450" w:type="dxa"/>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Srv_37DynamicsCRMOnline" w:history="1">
              <w:r w:rsidRPr="00EB4D74">
                <w:rPr>
                  <w:rStyle w:val="Hyperlink"/>
                  <w:rFonts w:cs="Tahoma"/>
                  <w:b/>
                  <w:sz w:val="13"/>
                  <w:szCs w:val="13"/>
                </w:rPr>
                <w:t>39</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12/09</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lang w:val="it-IT"/>
              </w:rPr>
            </w:pPr>
            <w:bookmarkStart w:id="214" w:name="_Toc336337937"/>
            <w:bookmarkStart w:id="215" w:name="_Toc342914591"/>
            <w:bookmarkEnd w:id="214"/>
            <w:r w:rsidRPr="00413E94">
              <w:rPr>
                <w:rFonts w:ascii="Tahoma" w:hAnsi="Tahoma" w:cs="Tahoma"/>
                <w:color w:val="000000"/>
                <w:sz w:val="14"/>
                <w:szCs w:val="14"/>
                <w:lang w:val="pt-BR"/>
              </w:rPr>
              <w:lastRenderedPageBreak/>
              <w:t>Dynamics CRM Online para SA</w:t>
            </w:r>
            <w:bookmarkEnd w:id="215"/>
          </w:p>
        </w:tc>
        <w:bookmarkStart w:id="216" w:name="_Hlt336250996"/>
        <w:bookmarkEnd w:id="216"/>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"_40_Dynamics_CRM" </w:instrText>
            </w:r>
            <w:r w:rsidRPr="00EB4D74">
              <w:rPr>
                <w:rFonts w:cs="Tahoma"/>
                <w:sz w:val="13"/>
                <w:szCs w:val="13"/>
              </w:rPr>
              <w:fldChar w:fldCharType="separate"/>
            </w:r>
            <w:r w:rsidRPr="00EB4D74">
              <w:rPr>
                <w:rStyle w:val="Hyperlink"/>
                <w:rFonts w:cs="Tahoma"/>
                <w:b/>
                <w:sz w:val="13"/>
                <w:szCs w:val="13"/>
              </w:rPr>
              <w:t>39</w:t>
            </w:r>
            <w:r w:rsidRPr="00EB4D74">
              <w:rPr>
                <w:rFonts w:cs="Tahoma"/>
                <w:sz w:val="13"/>
                <w:szCs w:val="13"/>
              </w:rPr>
              <w:fldChar w:fldCharType="end"/>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12/09</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lang w:val="it-IT"/>
              </w:rPr>
            </w:pPr>
            <w:bookmarkStart w:id="217" w:name="_Toc336337942"/>
            <w:bookmarkStart w:id="218" w:name="_Toc342914592"/>
            <w:bookmarkEnd w:id="217"/>
            <w:r w:rsidRPr="00413E94">
              <w:rPr>
                <w:rFonts w:ascii="Tahoma" w:hAnsi="Tahoma" w:cs="Tahoma"/>
                <w:sz w:val="14"/>
                <w:szCs w:val="14"/>
                <w:lang w:val="pt-BR"/>
              </w:rPr>
              <w:t>Bridge do Pacote de CALs Empresariais para Office 365 (Usuário e Dispositivo)</w:t>
            </w:r>
            <w:bookmarkEnd w:id="218"/>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45EntCALBridgeWinIntune" w:history="1">
              <w:r w:rsidRPr="00EB4D74">
                <w:rPr>
                  <w:rStyle w:val="Hyperlink"/>
                  <w:rFonts w:cs="Tahoma"/>
                  <w:b/>
                  <w:sz w:val="13"/>
                  <w:szCs w:val="13"/>
                </w:rPr>
                <w:t>40</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lang w:val="it-IT"/>
              </w:rPr>
            </w:pPr>
            <w:bookmarkStart w:id="219" w:name="_Toc336337943"/>
            <w:bookmarkStart w:id="220" w:name="_Toc342914593"/>
            <w:bookmarkEnd w:id="219"/>
            <w:r w:rsidRPr="00413E94">
              <w:rPr>
                <w:rFonts w:ascii="Tahoma" w:hAnsi="Tahoma" w:cs="Tahoma"/>
                <w:sz w:val="14"/>
                <w:szCs w:val="14"/>
                <w:lang w:val="pt-BR"/>
              </w:rPr>
              <w:t>Bridge do Pacote de CALs Empresariais para Office 365 e Windows</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Intune (Usuário e Dispositivo)</w:t>
            </w:r>
            <w:bookmarkEnd w:id="220"/>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45EntCALBridgeWinIntune" w:history="1">
              <w:r w:rsidRPr="00EB4D74">
                <w:rPr>
                  <w:rStyle w:val="Hyperlink"/>
                  <w:rFonts w:cs="Tahoma"/>
                  <w:b/>
                  <w:sz w:val="13"/>
                  <w:szCs w:val="13"/>
                </w:rPr>
                <w:t>40</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78"/>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lang w:val="it-IT"/>
              </w:rPr>
            </w:pPr>
            <w:bookmarkStart w:id="221" w:name="_Toc336337944"/>
            <w:bookmarkStart w:id="222" w:name="_Toc342914594"/>
            <w:bookmarkEnd w:id="221"/>
            <w:r w:rsidRPr="00413E94">
              <w:rPr>
                <w:rFonts w:ascii="Tahoma" w:hAnsi="Tahoma" w:cs="Tahoma"/>
                <w:sz w:val="14"/>
                <w:szCs w:val="14"/>
                <w:lang w:val="pt-BR"/>
              </w:rPr>
              <w:t>Bridge do Pacote de CALs Empresariais para Windows</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Intune (Usuário e Dispositivo)</w:t>
            </w:r>
            <w:bookmarkEnd w:id="222"/>
          </w:p>
        </w:tc>
        <w:bookmarkStart w:id="223" w:name="_Hlt336251014"/>
        <w:bookmarkEnd w:id="223"/>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"Srv_45EntCALBridgeWinIntune"</w:instrText>
            </w:r>
            <w:r w:rsidRPr="00EB4D74">
              <w:rPr>
                <w:rFonts w:cs="Tahoma"/>
                <w:sz w:val="13"/>
                <w:szCs w:val="13"/>
              </w:rPr>
              <w:fldChar w:fldCharType="separate"/>
            </w:r>
            <w:r w:rsidRPr="00EB4D74">
              <w:rPr>
                <w:rStyle w:val="Hyperlink"/>
                <w:rFonts w:cs="Tahoma"/>
                <w:b/>
                <w:sz w:val="13"/>
                <w:szCs w:val="13"/>
              </w:rPr>
              <w:t>40</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lang w:val="it-IT"/>
              </w:rPr>
            </w:pPr>
            <w:bookmarkStart w:id="224" w:name="_Toc336337945"/>
            <w:bookmarkStart w:id="225" w:name="_Toc342914595"/>
            <w:bookmarkEnd w:id="224"/>
            <w:r w:rsidRPr="00413E94">
              <w:rPr>
                <w:rFonts w:ascii="Tahoma" w:hAnsi="Tahoma" w:cs="Tahoma"/>
                <w:sz w:val="14"/>
                <w:szCs w:val="14"/>
                <w:lang w:val="pt-BR"/>
              </w:rPr>
              <w:t>Pacote de CALs Empresariais (Usuário e Dispositivo)</w:t>
            </w:r>
            <w:bookmarkEnd w:id="225"/>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41_Pacote_de" w:history="1">
              <w:r w:rsidRPr="00EB4D74">
                <w:rPr>
                  <w:rStyle w:val="Hyperlink"/>
                  <w:rFonts w:cs="Tahoma"/>
                  <w:b/>
                  <w:sz w:val="13"/>
                  <w:szCs w:val="13"/>
                </w:rPr>
                <w:t>41</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10/06</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rPr>
              <w:t>13</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rPr>
              <w:t>10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rPr>
              <w:t>8</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rPr>
              <w:t>8</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rPr>
              <w:t>5</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rPr>
              <w:t>3</w:t>
            </w: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 E</w:t>
            </w: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 P</w:t>
            </w: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E,ST</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26" w:name="_Toc342914596"/>
            <w:r w:rsidRPr="00413E94">
              <w:rPr>
                <w:rFonts w:ascii="Tahoma" w:hAnsi="Tahoma" w:cs="Tahoma"/>
                <w:sz w:val="14"/>
                <w:szCs w:val="14"/>
                <w:lang w:val="pt-BR"/>
              </w:rPr>
              <w:t>CAL Empresarial do Exchange com Serviços 2013</w:t>
            </w:r>
            <w:bookmarkEnd w:id="226"/>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r w:rsidRPr="00EB4D74">
              <w:rPr>
                <w:rFonts w:ascii="Tahoma" w:hAnsi="Tahoma" w:cs="Tahoma"/>
                <w:color w:val="000000"/>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Cs/>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Heading2"/>
              <w:spacing w:before="40" w:after="40"/>
              <w:ind w:left="0"/>
              <w:rPr>
                <w:rFonts w:ascii="Tahoma" w:hAnsi="Tahoma" w:cs="Tahoma"/>
                <w:b w:val="0"/>
                <w:sz w:val="14"/>
                <w:szCs w:val="14"/>
              </w:rPr>
            </w:pPr>
            <w:bookmarkStart w:id="227" w:name="_Toc342914597"/>
            <w:r w:rsidRPr="00413E94">
              <w:rPr>
                <w:rFonts w:ascii="Tahoma" w:hAnsi="Tahoma" w:cs="Tahoma"/>
                <w:b w:val="0"/>
                <w:sz w:val="14"/>
                <w:szCs w:val="14"/>
                <w:lang w:val="pt-BR"/>
              </w:rPr>
              <w:t>CAL Empresarial do Exchange sem Serviços 2013</w:t>
            </w:r>
            <w:bookmarkEnd w:id="227"/>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FF"/>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10/12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228" w:name="_Toc336337946"/>
            <w:bookmarkStart w:id="229" w:name="_Toc342914598"/>
            <w:bookmarkEnd w:id="228"/>
            <w:r w:rsidRPr="00413E94">
              <w:rPr>
                <w:rFonts w:ascii="Tahoma" w:hAnsi="Tahoma" w:cs="Tahoma"/>
                <w:b w:val="0"/>
                <w:sz w:val="14"/>
                <w:szCs w:val="14"/>
                <w:lang w:val="pt-BR"/>
              </w:rPr>
              <w:t>Arquivamento do Exchange Online</w:t>
            </w:r>
            <w:bookmarkEnd w:id="229"/>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45ExchOnlineArchivingUserSL" w:history="1">
              <w:r w:rsidRPr="00EB4D74">
                <w:rPr>
                  <w:rStyle w:val="Hyperlink"/>
                  <w:rFonts w:cs="Tahoma"/>
                  <w:b/>
                  <w:sz w:val="13"/>
                  <w:szCs w:val="13"/>
                </w:rPr>
                <w:t>42</w:t>
              </w:r>
            </w:hyperlink>
          </w:p>
        </w:tc>
        <w:tc>
          <w:tcPr>
            <w:tcW w:w="450" w:type="dxa"/>
            <w:shd w:val="clear" w:color="auto" w:fill="FABF8F"/>
            <w:vAlign w:val="center"/>
          </w:tcPr>
          <w:p w:rsidR="008B1196" w:rsidRPr="00EB4D74" w:rsidDel="00876599"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Heading3"/>
              <w:spacing w:before="40" w:after="40"/>
              <w:rPr>
                <w:rFonts w:ascii="Tahoma" w:hAnsi="Tahoma" w:cs="Tahoma"/>
                <w:b w:val="0"/>
                <w:sz w:val="14"/>
                <w:szCs w:val="14"/>
              </w:rPr>
            </w:pPr>
            <w:bookmarkStart w:id="230" w:name="_Toc336337947"/>
            <w:bookmarkStart w:id="231" w:name="_Toc342914599"/>
            <w:bookmarkEnd w:id="230"/>
            <w:r w:rsidRPr="00413E94">
              <w:rPr>
                <w:rFonts w:ascii="Tahoma" w:hAnsi="Tahoma" w:cs="Tahoma"/>
                <w:b w:val="0"/>
                <w:sz w:val="14"/>
                <w:szCs w:val="14"/>
                <w:lang w:val="pt-BR"/>
              </w:rPr>
              <w:t>Servidor A (SL de Usuário)</w:t>
            </w:r>
            <w:bookmarkEnd w:id="231"/>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32" w:name="_Toc336337948"/>
            <w:bookmarkStart w:id="233" w:name="_Toc342914600"/>
            <w:bookmarkEnd w:id="232"/>
            <w:r w:rsidRPr="00413E94">
              <w:rPr>
                <w:rFonts w:ascii="Tahoma" w:hAnsi="Tahoma" w:cs="Tahoma"/>
                <w:sz w:val="14"/>
                <w:szCs w:val="14"/>
                <w:lang w:val="pt-BR"/>
              </w:rPr>
              <w:t>Exchange Hosted Archive (SL de Usuário)</w:t>
            </w:r>
            <w:bookmarkEnd w:id="233"/>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44ExchHostArchiveandStorage" w:history="1">
              <w:r w:rsidRPr="00EB4D74">
                <w:rPr>
                  <w:rStyle w:val="Hyperlink"/>
                  <w:rFonts w:cs="Tahoma"/>
                  <w:b/>
                  <w:sz w:val="13"/>
                  <w:szCs w:val="13"/>
                </w:rPr>
                <w:t>43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234" w:name="_Toc336337949"/>
            <w:bookmarkStart w:id="235" w:name="_Toc342914601"/>
            <w:bookmarkEnd w:id="234"/>
            <w:r w:rsidRPr="00413E94">
              <w:rPr>
                <w:rFonts w:ascii="Tahoma" w:hAnsi="Tahoma" w:cs="Tahoma"/>
                <w:sz w:val="14"/>
                <w:szCs w:val="14"/>
                <w:lang w:val="pt-BR"/>
              </w:rPr>
              <w:t>Exchange Hosted Archive Extra Storage (SL de Usuário)</w:t>
            </w:r>
            <w:bookmarkEnd w:id="235"/>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44ExchHostArchiveandStorage" w:history="1">
              <w:r w:rsidRPr="00EB4D74">
                <w:rPr>
                  <w:rStyle w:val="Hyperlink"/>
                  <w:rFonts w:cs="Tahoma"/>
                  <w:b/>
                  <w:sz w:val="13"/>
                  <w:szCs w:val="13"/>
                </w:rPr>
                <w:t>43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36" w:name="_Toc336337950"/>
            <w:bookmarkStart w:id="237" w:name="_Toc342914602"/>
            <w:bookmarkEnd w:id="236"/>
            <w:r w:rsidRPr="00413E94">
              <w:rPr>
                <w:rFonts w:ascii="Tahoma" w:hAnsi="Tahoma" w:cs="Tahoma"/>
                <w:sz w:val="14"/>
                <w:szCs w:val="14"/>
                <w:lang w:val="pt-BR"/>
              </w:rPr>
              <w:t>Exchange Hosted Encryption (SL de Usuário)</w:t>
            </w:r>
            <w:bookmarkEnd w:id="23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39ExchangeOnDeskWork" w:history="1">
              <w:r w:rsidRPr="00EB4D74">
                <w:rPr>
                  <w:rStyle w:val="Hyperlink"/>
                  <w:rFonts w:cs="Tahoma"/>
                  <w:b/>
                  <w:sz w:val="13"/>
                  <w:szCs w:val="13"/>
                </w:rPr>
                <w:t>44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04/06</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 ponto</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238" w:name="_Toc336337951"/>
            <w:bookmarkStart w:id="239" w:name="_Toc342914603"/>
            <w:bookmarkEnd w:id="238"/>
            <w:r w:rsidRPr="00413E94">
              <w:rPr>
                <w:rFonts w:ascii="Tahoma" w:hAnsi="Tahoma" w:cs="Tahoma"/>
                <w:b w:val="0"/>
                <w:sz w:val="14"/>
                <w:szCs w:val="14"/>
                <w:lang w:val="pt-BR"/>
              </w:rPr>
              <w:t xml:space="preserve">Quiosque do Exchange Online </w:t>
            </w:r>
            <w:r w:rsidRPr="00413E94">
              <w:rPr>
                <w:rFonts w:ascii="Tahoma" w:hAnsi="Tahoma" w:cs="Tahoma"/>
                <w:b w:val="0"/>
                <w:sz w:val="14"/>
                <w:szCs w:val="14"/>
                <w:lang w:val="pt-BR"/>
              </w:rPr>
              <w:br/>
              <w:t>(SL de Usuário)</w:t>
            </w:r>
            <w:bookmarkEnd w:id="239"/>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45ExchangeOnDeskWork" w:history="1">
              <w:r w:rsidRPr="00EB4D74">
                <w:rPr>
                  <w:rStyle w:val="Hyperlink"/>
                  <w:rFonts w:cs="Tahoma"/>
                  <w:b/>
                  <w:sz w:val="13"/>
                  <w:szCs w:val="13"/>
                </w:rPr>
                <w:t>45</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39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240" w:name="_Toc336337952"/>
            <w:bookmarkStart w:id="241" w:name="_Toc342914604"/>
            <w:bookmarkEnd w:id="240"/>
            <w:r w:rsidRPr="00413E94">
              <w:rPr>
                <w:rFonts w:ascii="Tahoma" w:hAnsi="Tahoma" w:cs="Tahoma"/>
                <w:b w:val="0"/>
                <w:sz w:val="14"/>
                <w:szCs w:val="14"/>
                <w:lang w:val="pt-BR"/>
              </w:rPr>
              <w:t>Exchange Online Plano 1 (SL de Usuário)</w:t>
            </w:r>
            <w:bookmarkEnd w:id="24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Srv_46ExhangeOnlinePlan1" w:history="1">
              <w:r w:rsidRPr="00EB4D74">
                <w:rPr>
                  <w:rStyle w:val="Hyperlink"/>
                  <w:rFonts w:cs="Tahoma"/>
                  <w:b/>
                  <w:sz w:val="13"/>
                  <w:szCs w:val="13"/>
                </w:rPr>
                <w:t>46</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242" w:name="_Toc336337953"/>
            <w:bookmarkStart w:id="243" w:name="_Toc342914605"/>
            <w:bookmarkEnd w:id="242"/>
            <w:r w:rsidRPr="00413E94">
              <w:rPr>
                <w:rFonts w:ascii="Tahoma" w:hAnsi="Tahoma" w:cs="Tahoma"/>
                <w:b w:val="0"/>
                <w:sz w:val="14"/>
                <w:szCs w:val="14"/>
                <w:lang w:val="pt-BR"/>
              </w:rPr>
              <w:t>Exchange Online Plano 2 (SL de Usuário)</w:t>
            </w:r>
            <w:bookmarkEnd w:id="243"/>
          </w:p>
        </w:tc>
        <w:bookmarkStart w:id="244" w:name="_Hlt336251028"/>
        <w:bookmarkEnd w:id="244"/>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r w:rsidRPr="00EB4D74">
              <w:rPr>
                <w:rFonts w:cs="Tahoma"/>
                <w:sz w:val="13"/>
                <w:szCs w:val="13"/>
              </w:rPr>
              <w:fldChar w:fldCharType="begin"/>
            </w:r>
            <w:r w:rsidRPr="00EB4D74">
              <w:rPr>
                <w:rFonts w:cs="Tahoma"/>
                <w:sz w:val="13"/>
                <w:szCs w:val="13"/>
              </w:rPr>
              <w:instrText xml:space="preserve"> HYPERLINK  \l "Srv_50ExchangeOnlinePlan2"</w:instrText>
            </w:r>
            <w:r w:rsidRPr="00EB4D74">
              <w:rPr>
                <w:rFonts w:cs="Tahoma"/>
                <w:sz w:val="13"/>
                <w:szCs w:val="13"/>
              </w:rPr>
              <w:fldChar w:fldCharType="separate"/>
            </w:r>
            <w:r w:rsidRPr="00EB4D74">
              <w:rPr>
                <w:rStyle w:val="Hyperlink"/>
                <w:rFonts w:cs="Tahoma"/>
                <w:b/>
                <w:sz w:val="13"/>
                <w:szCs w:val="13"/>
              </w:rPr>
              <w:t>47</w:t>
            </w:r>
            <w:r w:rsidRPr="00EB4D74">
              <w:rPr>
                <w:rFonts w:cs="Tahoma"/>
                <w:sz w:val="13"/>
                <w:szCs w:val="13"/>
              </w:rPr>
              <w:fldChar w:fldCharType="end"/>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 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3"/>
              <w:spacing w:before="40" w:after="40"/>
              <w:rPr>
                <w:rFonts w:ascii="Tahoma" w:hAnsi="Tahoma" w:cs="Tahoma"/>
                <w:b w:val="0"/>
                <w:sz w:val="14"/>
                <w:szCs w:val="14"/>
              </w:rPr>
            </w:pPr>
            <w:bookmarkStart w:id="245" w:name="_Toc336337954"/>
            <w:bookmarkStart w:id="246" w:name="_Toc342914606"/>
            <w:bookmarkEnd w:id="245"/>
            <w:r w:rsidRPr="00413E94">
              <w:rPr>
                <w:rFonts w:ascii="Tahoma" w:hAnsi="Tahoma" w:cs="Tahoma"/>
                <w:b w:val="0"/>
                <w:sz w:val="14"/>
                <w:szCs w:val="14"/>
                <w:lang w:val="pt-BR"/>
              </w:rPr>
              <w:t>Exchange Online Plan 1A para Alunos (SL do Usuário)</w:t>
            </w:r>
            <w:bookmarkEnd w:id="246"/>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3"/>
              <w:spacing w:before="40" w:after="40"/>
              <w:rPr>
                <w:rFonts w:ascii="Tahoma" w:hAnsi="Tahoma" w:cs="Tahoma"/>
                <w:b w:val="0"/>
                <w:sz w:val="14"/>
                <w:szCs w:val="14"/>
              </w:rPr>
            </w:pPr>
            <w:bookmarkStart w:id="247" w:name="_Toc336337955"/>
            <w:bookmarkStart w:id="248" w:name="_Toc342914607"/>
            <w:bookmarkEnd w:id="247"/>
            <w:r w:rsidRPr="00413E94">
              <w:rPr>
                <w:rFonts w:ascii="Tahoma" w:hAnsi="Tahoma" w:cs="Tahoma"/>
                <w:b w:val="0"/>
                <w:sz w:val="14"/>
                <w:szCs w:val="14"/>
                <w:lang w:val="pt-BR"/>
              </w:rPr>
              <w:t>Exchange Online Plano 2A (SL de Usuário)</w:t>
            </w:r>
            <w:bookmarkEnd w:id="248"/>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49" w:name="_Toc336337958"/>
            <w:bookmarkStart w:id="250" w:name="_Toc342914608"/>
            <w:bookmarkEnd w:id="249"/>
            <w:r w:rsidRPr="00413E94">
              <w:rPr>
                <w:rFonts w:ascii="Tahoma" w:hAnsi="Tahoma" w:cs="Tahoma"/>
                <w:sz w:val="14"/>
                <w:szCs w:val="14"/>
                <w:lang w:val="pt-BR"/>
              </w:rPr>
              <w:t>Exchange Server Enterprise 2013</w:t>
            </w:r>
            <w:bookmarkEnd w:id="250"/>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49_Exchange_Server" w:history="1">
              <w:r w:rsidRPr="00EB4D74">
                <w:rPr>
                  <w:rStyle w:val="Hyperlink"/>
                  <w:rFonts w:cs="Tahoma"/>
                  <w:b/>
                  <w:sz w:val="13"/>
                  <w:szCs w:val="13"/>
                </w:rPr>
                <w:t>48</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251" w:name="_Toc336337959"/>
            <w:bookmarkStart w:id="252" w:name="_Toc342914609"/>
            <w:bookmarkEnd w:id="251"/>
            <w:r w:rsidRPr="00413E94">
              <w:rPr>
                <w:rFonts w:ascii="Tahoma" w:hAnsi="Tahoma" w:cs="Tahoma"/>
                <w:sz w:val="14"/>
                <w:szCs w:val="14"/>
                <w:lang w:val="pt-BR"/>
              </w:rPr>
              <w:t>Exchange Server Standard 2013</w:t>
            </w:r>
            <w:bookmarkEnd w:id="252"/>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49_Exchange_Server" w:history="1">
              <w:r w:rsidRPr="00EB4D74">
                <w:rPr>
                  <w:rStyle w:val="Hyperlink"/>
                  <w:rFonts w:cs="Tahoma"/>
                  <w:b/>
                  <w:sz w:val="13"/>
                  <w:szCs w:val="13"/>
                </w:rPr>
                <w:t>48</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53" w:name="_Toc336337960"/>
            <w:bookmarkStart w:id="254" w:name="_Toc342914610"/>
            <w:bookmarkEnd w:id="253"/>
            <w:r w:rsidRPr="00413E94">
              <w:rPr>
                <w:rFonts w:ascii="Tahoma" w:hAnsi="Tahoma" w:cs="Tahoma"/>
                <w:sz w:val="14"/>
                <w:szCs w:val="14"/>
                <w:lang w:val="pt-BR"/>
              </w:rPr>
              <w:t>Exchange Server 2007 Standard for Small Business</w:t>
            </w:r>
            <w:bookmarkEnd w:id="254"/>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255" w:name="_Toc336337961"/>
            <w:bookmarkStart w:id="256" w:name="_Toc342914611"/>
            <w:bookmarkEnd w:id="255"/>
            <w:r w:rsidRPr="00413E94">
              <w:rPr>
                <w:rFonts w:ascii="Tahoma" w:hAnsi="Tahoma" w:cs="Tahoma"/>
                <w:sz w:val="14"/>
                <w:szCs w:val="14"/>
                <w:lang w:val="pt-BR"/>
              </w:rPr>
              <w:t>CAL do Exchange Server 2007 Standard for Small Business</w:t>
            </w:r>
            <w:bookmarkEnd w:id="256"/>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11/09</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57" w:name="_Toc336337963"/>
            <w:bookmarkStart w:id="258" w:name="_Toc342914612"/>
            <w:bookmarkEnd w:id="257"/>
            <w:r w:rsidRPr="00413E94">
              <w:rPr>
                <w:rFonts w:ascii="Tahoma" w:hAnsi="Tahoma" w:cs="Tahoma"/>
                <w:sz w:val="14"/>
                <w:szCs w:val="14"/>
                <w:lang w:val="pt-BR"/>
              </w:rPr>
              <w:t>CAL do Exchange Server 2010 Standard (Dispositivo e Usuário)</w:t>
            </w:r>
            <w:bookmarkEnd w:id="258"/>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50_Exchange_Server" w:history="1">
              <w:r w:rsidRPr="00EB4D74">
                <w:rPr>
                  <w:rStyle w:val="Hyperlink"/>
                  <w:rFonts w:cs="Tahoma"/>
                  <w:b/>
                  <w:sz w:val="13"/>
                  <w:szCs w:val="13"/>
                </w:rPr>
                <w:t>49</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Del="00515A83" w:rsidTr="00EA30FC">
        <w:trPr>
          <w:trHeight w:val="145"/>
        </w:trPr>
        <w:tc>
          <w:tcPr>
            <w:tcW w:w="2714" w:type="dxa"/>
            <w:shd w:val="clear" w:color="auto" w:fill="FFFFFF"/>
            <w:vAlign w:val="center"/>
          </w:tcPr>
          <w:p w:rsidR="008B1196" w:rsidRPr="00413E94" w:rsidDel="00515A83" w:rsidRDefault="008B1196" w:rsidP="00EA30FC">
            <w:pPr>
              <w:pStyle w:val="ProductNames"/>
              <w:spacing w:before="40" w:after="40"/>
              <w:rPr>
                <w:rFonts w:ascii="Tahoma" w:hAnsi="Tahoma" w:cs="Tahoma"/>
                <w:sz w:val="14"/>
                <w:szCs w:val="14"/>
              </w:rPr>
            </w:pPr>
            <w:bookmarkStart w:id="259" w:name="_Toc336337965"/>
            <w:bookmarkStart w:id="260" w:name="_Toc342914613"/>
            <w:bookmarkEnd w:id="259"/>
            <w:r w:rsidRPr="00413E94">
              <w:rPr>
                <w:rFonts w:ascii="Tahoma" w:hAnsi="Tahoma" w:cs="Tahoma"/>
                <w:sz w:val="14"/>
                <w:szCs w:val="14"/>
                <w:lang w:val="pt-BR"/>
              </w:rPr>
              <w:t>Forefront Endpoint Protection</w:t>
            </w:r>
            <w:bookmarkEnd w:id="260"/>
          </w:p>
        </w:tc>
        <w:tc>
          <w:tcPr>
            <w:tcW w:w="450" w:type="dxa"/>
            <w:shd w:val="clear" w:color="auto" w:fill="FFFFFF"/>
            <w:vAlign w:val="center"/>
          </w:tcPr>
          <w:p w:rsidR="008B1196" w:rsidRPr="00EB4D74" w:rsidDel="00515A83" w:rsidRDefault="008B1196" w:rsidP="00EA30FC">
            <w:pPr>
              <w:pStyle w:val="TableText"/>
              <w:widowControl w:val="0"/>
              <w:spacing w:before="40" w:after="40"/>
              <w:rPr>
                <w:rStyle w:val="EndnoteReference"/>
                <w:rFonts w:cs="Tahoma"/>
                <w:color w:val="000000"/>
                <w:sz w:val="13"/>
                <w:szCs w:val="13"/>
                <w:u w:val="single"/>
              </w:rPr>
            </w:pPr>
            <w:hyperlink w:anchor="Srv_51ForfrontEndpointProtection" w:history="1">
              <w:r w:rsidRPr="00EB4D74">
                <w:rPr>
                  <w:rStyle w:val="Hyperlink"/>
                  <w:rFonts w:cs="Tahoma"/>
                  <w:b/>
                  <w:sz w:val="13"/>
                  <w:szCs w:val="13"/>
                </w:rPr>
                <w:t>50</w:t>
              </w:r>
            </w:hyperlink>
          </w:p>
        </w:tc>
        <w:tc>
          <w:tcPr>
            <w:tcW w:w="450" w:type="dxa"/>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Del="00515A83"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61" w:name="_Toc336337966"/>
            <w:bookmarkStart w:id="262" w:name="_Toc342914614"/>
            <w:bookmarkEnd w:id="261"/>
            <w:r w:rsidRPr="00413E94">
              <w:rPr>
                <w:rFonts w:ascii="Tahoma" w:hAnsi="Tahoma" w:cs="Tahoma"/>
                <w:sz w:val="14"/>
                <w:szCs w:val="14"/>
                <w:lang w:val="pt-BR"/>
              </w:rPr>
              <w:t>CAL do Forefront Identity Manager 2010 R2 (Somente usuário)</w:t>
            </w:r>
            <w:bookmarkEnd w:id="262"/>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Srv_48ForefrontIdMgr2010" w:history="1">
              <w:r w:rsidRPr="00EB4D74">
                <w:rPr>
                  <w:rStyle w:val="Hyperlink"/>
                  <w:rFonts w:cs="Tahoma"/>
                  <w:b/>
                  <w:sz w:val="13"/>
                  <w:szCs w:val="13"/>
                </w:rPr>
                <w:t>51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07/10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u w:val="single"/>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263" w:name="_Toc336337967"/>
            <w:bookmarkStart w:id="264" w:name="_Toc342914615"/>
            <w:bookmarkEnd w:id="263"/>
            <w:r w:rsidRPr="00413E94">
              <w:rPr>
                <w:rFonts w:ascii="Tahoma" w:hAnsi="Tahoma" w:cs="Tahoma"/>
                <w:sz w:val="14"/>
                <w:szCs w:val="14"/>
                <w:lang w:val="pt-BR"/>
              </w:rPr>
              <w:t>Forefront Identity Manager 2010 R2 External Connector</w:t>
            </w:r>
            <w:bookmarkEnd w:id="264"/>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48ForefrontIdMgr2010" w:history="1">
              <w:r w:rsidRPr="00EB4D74">
                <w:rPr>
                  <w:rStyle w:val="Hyperlink"/>
                  <w:rFonts w:cs="Tahoma"/>
                  <w:b/>
                  <w:sz w:val="13"/>
                  <w:szCs w:val="13"/>
                </w:rPr>
                <w:t>51</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07/10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u w:val="single"/>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313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63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65" w:name="_Toc336337968"/>
            <w:bookmarkStart w:id="266" w:name="_Toc342914616"/>
            <w:bookmarkEnd w:id="265"/>
            <w:r w:rsidRPr="00413E94">
              <w:rPr>
                <w:rFonts w:ascii="Tahoma" w:hAnsi="Tahoma" w:cs="Tahoma"/>
                <w:sz w:val="14"/>
                <w:szCs w:val="14"/>
                <w:lang w:val="pt-BR"/>
              </w:rPr>
              <w:t>Forefront Identity Manager 2010 R2 Server</w:t>
            </w:r>
            <w:bookmarkEnd w:id="266"/>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48ForefrontIdMgr2010" w:history="1">
              <w:r w:rsidRPr="00EB4D74">
                <w:rPr>
                  <w:rStyle w:val="Hyperlink"/>
                  <w:rFonts w:cs="Tahoma"/>
                  <w:b/>
                  <w:sz w:val="13"/>
                  <w:szCs w:val="13"/>
                </w:rPr>
                <w:t>51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07/10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u w:val="single"/>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313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188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188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63</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250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125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267" w:name="_Toc336337969"/>
            <w:bookmarkStart w:id="268" w:name="_Toc342914617"/>
            <w:bookmarkEnd w:id="267"/>
            <w:r w:rsidRPr="00413E94">
              <w:rPr>
                <w:rFonts w:ascii="Tahoma" w:hAnsi="Tahoma" w:cs="Tahoma"/>
                <w:b w:val="0"/>
                <w:sz w:val="14"/>
                <w:szCs w:val="14"/>
                <w:lang w:val="pt-BR"/>
              </w:rPr>
              <w:t>Forefront Identity Manager 2010 R2 – Windows Live Edition</w:t>
            </w:r>
            <w:bookmarkEnd w:id="268"/>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54ForefrontIDMgrWinLiveEd" w:history="1">
              <w:r w:rsidRPr="00EB4D74">
                <w:rPr>
                  <w:rStyle w:val="Hyperlink"/>
                  <w:rFonts w:cs="Tahoma"/>
                  <w:b/>
                  <w:sz w:val="13"/>
                  <w:szCs w:val="13"/>
                </w:rPr>
                <w:t>52</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07/11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u w:val="single"/>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63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13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szCs w:val="13"/>
              </w:rPr>
            </w:pPr>
            <w:r w:rsidRPr="00EB4D74">
              <w:rPr>
                <w:rFonts w:ascii="Tahoma" w:hAnsi="Tahoma" w:cs="Tahoma"/>
                <w:sz w:val="13"/>
              </w:rPr>
              <w:t>25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69" w:name="_Toc336337970"/>
            <w:bookmarkStart w:id="270" w:name="_Toc342914618"/>
            <w:bookmarkEnd w:id="269"/>
            <w:r w:rsidRPr="00413E94">
              <w:rPr>
                <w:rFonts w:ascii="Tahoma" w:hAnsi="Tahoma" w:cs="Tahoma"/>
                <w:sz w:val="14"/>
                <w:szCs w:val="14"/>
                <w:lang w:val="pt-BR"/>
              </w:rPr>
              <w:t>Forefront Online Protection for Exchange (SL de Dispositivo e Usuário)</w:t>
            </w:r>
            <w:bookmarkEnd w:id="270"/>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_53_Forefront_Online" w:history="1">
              <w:r w:rsidRPr="00EB4D74">
                <w:rPr>
                  <w:rStyle w:val="Hyperlink"/>
                  <w:rFonts w:cs="Tahoma"/>
                  <w:b/>
                  <w:sz w:val="13"/>
                  <w:szCs w:val="13"/>
                </w:rPr>
                <w:t>53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271" w:name="_Toc336337971"/>
            <w:bookmarkStart w:id="272" w:name="_Toc342914619"/>
            <w:bookmarkEnd w:id="271"/>
            <w:r w:rsidRPr="00413E94">
              <w:rPr>
                <w:rFonts w:ascii="Tahoma" w:hAnsi="Tahoma" w:cs="Tahoma"/>
                <w:sz w:val="14"/>
                <w:szCs w:val="14"/>
                <w:lang w:val="pt-BR"/>
              </w:rPr>
              <w:t>Forefront Protection 2010 for Exchange Server (SL de Dispositivo e Usuário)</w:t>
            </w:r>
            <w:bookmarkEnd w:id="272"/>
          </w:p>
        </w:tc>
        <w:tc>
          <w:tcPr>
            <w:tcW w:w="450" w:type="dxa"/>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_54_Forefront_Protection" w:history="1">
              <w:r w:rsidRPr="00EB4D74">
                <w:rPr>
                  <w:rStyle w:val="Hyperlink"/>
                  <w:rFonts w:cs="Tahoma"/>
                  <w:b/>
                  <w:sz w:val="13"/>
                  <w:szCs w:val="13"/>
                </w:rPr>
                <w:t>54</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bl>
    <w:p w:rsidR="008B1196" w:rsidRDefault="008B1196" w:rsidP="008B1196">
      <w:bookmarkStart w:id="273" w:name="_Toc336337973"/>
      <w:bookmarkStart w:id="274" w:name="_Toc342914620"/>
      <w:bookmarkEnd w:id="273"/>
      <w: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360"/>
        <w:gridCol w:w="378"/>
        <w:gridCol w:w="459"/>
        <w:gridCol w:w="396"/>
        <w:gridCol w:w="702"/>
        <w:gridCol w:w="495"/>
      </w:tblGrid>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r w:rsidRPr="00413E94">
              <w:rPr>
                <w:rFonts w:ascii="Tahoma" w:hAnsi="Tahoma" w:cs="Tahoma"/>
                <w:sz w:val="14"/>
                <w:szCs w:val="14"/>
                <w:lang w:val="pt-BR"/>
              </w:rPr>
              <w:lastRenderedPageBreak/>
              <w:t>Forefront Protection Suite (SL de Dispositivo e Usuário)</w:t>
            </w:r>
            <w:bookmarkEnd w:id="274"/>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55_Forefront_Protection" w:history="1">
              <w:r w:rsidRPr="00EB4D74">
                <w:rPr>
                  <w:rStyle w:val="Hyperlink"/>
                  <w:rFonts w:cs="Tahoma"/>
                  <w:b/>
                  <w:sz w:val="13"/>
                  <w:szCs w:val="13"/>
                </w:rPr>
                <w:t>55</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75" w:name="_Toc336337974"/>
            <w:bookmarkStart w:id="276" w:name="_Toc342914621"/>
            <w:bookmarkEnd w:id="275"/>
            <w:r w:rsidRPr="00413E94">
              <w:rPr>
                <w:rFonts w:ascii="Tahoma" w:hAnsi="Tahoma" w:cs="Tahoma"/>
                <w:sz w:val="14"/>
                <w:szCs w:val="14"/>
                <w:lang w:val="pt-BR"/>
              </w:rPr>
              <w:t>Forefront Security for Office Communications Server (SL de Dispositivo e Usuário)</w:t>
            </w:r>
            <w:bookmarkEnd w:id="276"/>
          </w:p>
        </w:tc>
        <w:bookmarkStart w:id="277" w:name="_Hlt336251035"/>
        <w:bookmarkEnd w:id="277"/>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r w:rsidRPr="00EB4D74">
              <w:rPr>
                <w:rFonts w:cs="Tahoma"/>
                <w:sz w:val="13"/>
                <w:szCs w:val="13"/>
              </w:rPr>
              <w:fldChar w:fldCharType="begin"/>
            </w:r>
            <w:r w:rsidRPr="00EB4D74">
              <w:rPr>
                <w:rFonts w:cs="Tahoma"/>
                <w:sz w:val="13"/>
                <w:szCs w:val="13"/>
              </w:rPr>
              <w:instrText xml:space="preserve"> HYPERLINK  \l "Srv_49ForefrontSecfoOffComm"</w:instrText>
            </w:r>
            <w:r w:rsidRPr="00EB4D74">
              <w:rPr>
                <w:rFonts w:cs="Tahoma"/>
                <w:sz w:val="13"/>
                <w:szCs w:val="13"/>
              </w:rPr>
              <w:fldChar w:fldCharType="separate"/>
            </w:r>
            <w:r w:rsidRPr="00EB4D74">
              <w:rPr>
                <w:rStyle w:val="Hyperlink"/>
                <w:rFonts w:cs="Tahoma"/>
                <w:b/>
                <w:sz w:val="13"/>
                <w:szCs w:val="13"/>
              </w:rPr>
              <w:t>56</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278" w:name="_Toc336337976"/>
            <w:bookmarkStart w:id="279" w:name="_Toc342914622"/>
            <w:bookmarkEnd w:id="278"/>
            <w:r w:rsidRPr="00413E94">
              <w:rPr>
                <w:rFonts w:ascii="Tahoma" w:hAnsi="Tahoma" w:cs="Tahoma"/>
                <w:sz w:val="14"/>
                <w:szCs w:val="14"/>
                <w:lang w:val="pt-BR"/>
              </w:rPr>
              <w:t>Forefront Protection 2010 for SharePoint (SL de Dispositivo e Usuário)</w:t>
            </w:r>
            <w:bookmarkEnd w:id="279"/>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b w:val="0"/>
                <w:color w:val="000000"/>
                <w:sz w:val="13"/>
                <w:szCs w:val="13"/>
                <w:u w:val="single"/>
              </w:rPr>
            </w:pPr>
            <w:hyperlink w:anchor="_54_Forefront_Protection" w:history="1">
              <w:r w:rsidRPr="00EB4D74">
                <w:rPr>
                  <w:rStyle w:val="Hyperlink"/>
                  <w:rFonts w:cs="Tahoma"/>
                  <w:b/>
                  <w:sz w:val="13"/>
                  <w:szCs w:val="13"/>
                </w:rPr>
                <w:t>54</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80" w:name="_Toc336337977"/>
            <w:bookmarkStart w:id="281" w:name="_Toc342914623"/>
            <w:bookmarkEnd w:id="280"/>
            <w:r w:rsidRPr="00413E94">
              <w:rPr>
                <w:rFonts w:ascii="Tahoma" w:hAnsi="Tahoma" w:cs="Tahoma"/>
                <w:sz w:val="14"/>
                <w:szCs w:val="14"/>
                <w:lang w:val="pt-BR"/>
              </w:rPr>
              <w:t>Forefront Protection 2010 for SharePoint for Internet Sites (SL Complementar)</w:t>
            </w:r>
            <w:bookmarkEnd w:id="28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color w:val="000000"/>
                <w:sz w:val="13"/>
                <w:szCs w:val="13"/>
                <w:u w:val="single"/>
              </w:rPr>
            </w:pPr>
            <w:hyperlink w:anchor="_54_Forefront_Protection" w:history="1">
              <w:r w:rsidRPr="00EB4D74">
                <w:rPr>
                  <w:rStyle w:val="Hyperlink"/>
                  <w:rFonts w:cs="Tahoma"/>
                  <w:b/>
                  <w:sz w:val="13"/>
                  <w:szCs w:val="13"/>
                </w:rPr>
                <w:t>54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25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OV</w:t>
            </w: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282" w:name="_Toc336337981"/>
            <w:bookmarkStart w:id="283" w:name="_Toc342914624"/>
            <w:bookmarkEnd w:id="282"/>
            <w:r w:rsidRPr="00413E94">
              <w:rPr>
                <w:rFonts w:ascii="Tahoma" w:hAnsi="Tahoma" w:cs="Tahoma"/>
                <w:sz w:val="14"/>
                <w:szCs w:val="14"/>
                <w:lang w:val="pt-BR"/>
              </w:rPr>
              <w:t>Forefront Threat Management Gateway Web Protection Services</w:t>
            </w:r>
            <w:bookmarkEnd w:id="283"/>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_57_Forefront_Threat" w:history="1">
              <w:r w:rsidRPr="00EB4D74">
                <w:rPr>
                  <w:rStyle w:val="Hyperlink"/>
                  <w:rFonts w:cs="Tahoma"/>
                  <w:b/>
                  <w:sz w:val="13"/>
                  <w:szCs w:val="13"/>
                </w:rPr>
                <w:t>57</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84" w:name="_Toc336337982"/>
            <w:bookmarkStart w:id="285" w:name="_Toc342914625"/>
            <w:bookmarkEnd w:id="284"/>
            <w:r w:rsidRPr="00413E94">
              <w:rPr>
                <w:rFonts w:ascii="Tahoma" w:hAnsi="Tahoma" w:cs="Tahoma"/>
                <w:sz w:val="14"/>
                <w:szCs w:val="14"/>
                <w:lang w:val="pt-BR"/>
              </w:rPr>
              <w:t>Forefront Unified Access Gateway Server 2010</w:t>
            </w:r>
            <w:bookmarkEnd w:id="285"/>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_58_Forefront_Unified" w:history="1">
              <w:r w:rsidRPr="00EB4D74">
                <w:rPr>
                  <w:rStyle w:val="Hyperlink"/>
                  <w:rFonts w:cs="Tahoma"/>
                  <w:b/>
                  <w:sz w:val="13"/>
                  <w:szCs w:val="13"/>
                </w:rPr>
                <w:t>58</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286" w:name="_Toc336337983"/>
            <w:bookmarkStart w:id="287" w:name="_Toc342914626"/>
            <w:bookmarkEnd w:id="286"/>
            <w:r w:rsidRPr="00413E94">
              <w:rPr>
                <w:rFonts w:ascii="Tahoma" w:hAnsi="Tahoma" w:cs="Tahoma"/>
                <w:sz w:val="14"/>
                <w:szCs w:val="14"/>
                <w:lang w:val="pt-BR"/>
              </w:rPr>
              <w:t>External Connector do Forefront Unified Access Gateway 2010</w:t>
            </w:r>
            <w:bookmarkEnd w:id="287"/>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_58_Forefront_Unified" w:history="1">
              <w:r w:rsidRPr="00EB4D74">
                <w:rPr>
                  <w:rStyle w:val="Hyperlink"/>
                  <w:rFonts w:cs="Tahoma"/>
                  <w:b/>
                  <w:sz w:val="13"/>
                  <w:szCs w:val="13"/>
                </w:rPr>
                <w:t>58</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400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100</w:t>
            </w: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400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88" w:name="_Toc336337984"/>
            <w:bookmarkStart w:id="289" w:name="_Toc342914627"/>
            <w:bookmarkEnd w:id="288"/>
            <w:r w:rsidRPr="00413E94">
              <w:rPr>
                <w:rFonts w:ascii="Tahoma" w:hAnsi="Tahoma" w:cs="Tahoma"/>
                <w:sz w:val="14"/>
                <w:szCs w:val="14"/>
                <w:lang w:val="pt-BR"/>
              </w:rPr>
              <w:t>CAL do Forefront Unified Access Gateway 2010</w:t>
            </w:r>
            <w:bookmarkEnd w:id="289"/>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_58_Forefront_Unified" w:history="1">
              <w:r w:rsidRPr="00EB4D74">
                <w:rPr>
                  <w:rStyle w:val="Hyperlink"/>
                  <w:rFonts w:cs="Tahoma"/>
                  <w:b/>
                  <w:sz w:val="13"/>
                  <w:szCs w:val="13"/>
                </w:rPr>
                <w:t>58</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290" w:name="_Toc336337985"/>
            <w:bookmarkStart w:id="291" w:name="_Toc342914628"/>
            <w:bookmarkEnd w:id="290"/>
            <w:r w:rsidRPr="00413E94">
              <w:rPr>
                <w:rFonts w:ascii="Tahoma" w:hAnsi="Tahoma" w:cs="Tahoma"/>
                <w:sz w:val="14"/>
                <w:szCs w:val="14"/>
                <w:lang w:val="pt-BR"/>
              </w:rPr>
              <w:t>Pacote CAL do Forefront Unified Access Gateway 2010 10K</w:t>
            </w:r>
            <w:bookmarkEnd w:id="291"/>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_58_Forefront_Unified" w:history="1">
              <w:r w:rsidRPr="00EB4D74">
                <w:rPr>
                  <w:rStyle w:val="Hyperlink"/>
                  <w:rFonts w:cs="Tahoma"/>
                  <w:b/>
                  <w:sz w:val="13"/>
                  <w:szCs w:val="13"/>
                </w:rPr>
                <w:t>58</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400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300</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100</w:t>
            </w: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92" w:name="_Toc336337986"/>
            <w:bookmarkStart w:id="293" w:name="_Toc342914629"/>
            <w:bookmarkEnd w:id="292"/>
            <w:r w:rsidRPr="00413E94">
              <w:rPr>
                <w:rFonts w:ascii="Tahoma" w:hAnsi="Tahoma" w:cs="Tahoma"/>
                <w:sz w:val="14"/>
                <w:szCs w:val="14"/>
                <w:lang w:val="pt-BR"/>
              </w:rPr>
              <w:t>GeoSynth Server</w:t>
            </w:r>
            <w:bookmarkEnd w:id="293"/>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05/10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125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294" w:name="_Toc336337990"/>
            <w:bookmarkStart w:id="295" w:name="_Toc342914630"/>
            <w:bookmarkEnd w:id="294"/>
            <w:r w:rsidRPr="00413E94">
              <w:rPr>
                <w:rFonts w:ascii="Tahoma" w:hAnsi="Tahoma" w:cs="Tahoma"/>
                <w:sz w:val="14"/>
                <w:szCs w:val="14"/>
                <w:lang w:val="pt-BR"/>
              </w:rPr>
              <w:t>HPC Pack 2008 R2 Enterprise</w:t>
            </w:r>
            <w:bookmarkEnd w:id="295"/>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54HighPerfComputingPack" w:history="1">
              <w:r w:rsidRPr="00EB4D74">
                <w:rPr>
                  <w:rStyle w:val="Hyperlink"/>
                  <w:rFonts w:cs="Tahoma"/>
                  <w:b/>
                  <w:sz w:val="13"/>
                  <w:szCs w:val="13"/>
                </w:rPr>
                <w:t>59</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296" w:name="_Toc336337991"/>
            <w:bookmarkStart w:id="297" w:name="_Toc342914631"/>
            <w:bookmarkEnd w:id="296"/>
            <w:r w:rsidRPr="00413E94">
              <w:rPr>
                <w:rFonts w:ascii="Tahoma" w:hAnsi="Tahoma" w:cs="Tahoma"/>
                <w:sz w:val="14"/>
                <w:szCs w:val="14"/>
                <w:lang w:val="pt-BR"/>
              </w:rPr>
              <w:t>HPC Pack 2008 R2 para Workstation</w:t>
            </w:r>
            <w:bookmarkEnd w:id="29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54HighPerfComputingPack" w:history="1">
              <w:r w:rsidRPr="00EB4D74">
                <w:rPr>
                  <w:rStyle w:val="Hyperlink"/>
                  <w:rFonts w:cs="Tahoma"/>
                  <w:b/>
                  <w:sz w:val="13"/>
                  <w:szCs w:val="13"/>
                </w:rPr>
                <w:t>59</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298" w:name="_Toc336337992"/>
            <w:bookmarkStart w:id="299" w:name="_Toc342914632"/>
            <w:bookmarkEnd w:id="298"/>
            <w:r w:rsidRPr="00413E94">
              <w:rPr>
                <w:rFonts w:ascii="Tahoma" w:hAnsi="Tahoma" w:cs="Tahoma"/>
                <w:sz w:val="14"/>
                <w:szCs w:val="14"/>
                <w:lang w:val="pt-BR"/>
              </w:rPr>
              <w:t xml:space="preserve">Learning Solutions Combination </w:t>
            </w:r>
            <w:r w:rsidRPr="00413E94">
              <w:rPr>
                <w:rFonts w:ascii="Tahoma" w:hAnsi="Tahoma" w:cs="Tahoma"/>
                <w:sz w:val="14"/>
                <w:szCs w:val="14"/>
                <w:lang w:val="pt-BR"/>
              </w:rPr>
              <w:br/>
              <w:t>E-Reference Library (SL de Usuário)</w:t>
            </w:r>
            <w:bookmarkEnd w:id="299"/>
          </w:p>
        </w:tc>
        <w:tc>
          <w:tcPr>
            <w:tcW w:w="450" w:type="dxa"/>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12/07</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 ponto</w:t>
            </w: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300" w:name="_Toc336337993"/>
            <w:bookmarkStart w:id="301" w:name="_Toc342914633"/>
            <w:bookmarkEnd w:id="300"/>
            <w:r w:rsidRPr="00413E94">
              <w:rPr>
                <w:rFonts w:ascii="Tahoma" w:hAnsi="Tahoma" w:cs="Tahoma"/>
                <w:sz w:val="14"/>
                <w:szCs w:val="14"/>
                <w:lang w:val="pt-BR"/>
              </w:rPr>
              <w:t xml:space="preserve">Learning Solutions IT Academy </w:t>
            </w:r>
            <w:r w:rsidRPr="00413E94">
              <w:rPr>
                <w:rFonts w:ascii="Tahoma" w:hAnsi="Tahoma" w:cs="Tahoma"/>
                <w:sz w:val="14"/>
                <w:szCs w:val="14"/>
                <w:lang w:val="pt-BR"/>
              </w:rPr>
              <w:br/>
              <w:t>(SL de Serviços)</w:t>
            </w:r>
            <w:bookmarkEnd w:id="301"/>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75 pontos</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302" w:name="_Toc336337994"/>
            <w:bookmarkStart w:id="303" w:name="_Toc342914634"/>
            <w:bookmarkEnd w:id="302"/>
            <w:r w:rsidRPr="00413E94">
              <w:rPr>
                <w:rFonts w:ascii="Tahoma" w:hAnsi="Tahoma" w:cs="Tahoma"/>
                <w:sz w:val="14"/>
                <w:szCs w:val="14"/>
                <w:lang w:val="pt-BR"/>
              </w:rPr>
              <w:t>Cupons do Learning Solutions MCP 1 Exam/Mês (SL de Serviços)</w:t>
            </w:r>
            <w:bookmarkEnd w:id="303"/>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56LearningSolMCP1ExamVouch" w:history="1">
              <w:r w:rsidRPr="00EB4D74">
                <w:rPr>
                  <w:rStyle w:val="Hyperlink"/>
                  <w:rFonts w:cs="Tahoma"/>
                  <w:b/>
                  <w:sz w:val="13"/>
                  <w:szCs w:val="13"/>
                </w:rPr>
                <w:t>60</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01/06</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 ponto</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304" w:name="_Toc336337995"/>
            <w:bookmarkStart w:id="305" w:name="_Toc342914635"/>
            <w:bookmarkEnd w:id="304"/>
            <w:r w:rsidRPr="00413E94">
              <w:rPr>
                <w:rFonts w:ascii="Tahoma" w:hAnsi="Tahoma" w:cs="Tahoma"/>
                <w:b w:val="0"/>
                <w:sz w:val="14"/>
                <w:szCs w:val="14"/>
                <w:lang w:val="pt-BR"/>
              </w:rPr>
              <w:t>Lync Online Plano 1 (SL de Usuário)</w:t>
            </w:r>
            <w:bookmarkEnd w:id="305"/>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5LyncOnlinePlan1and2" w:history="1">
              <w:r w:rsidRPr="00EB4D74">
                <w:rPr>
                  <w:rStyle w:val="Hyperlink"/>
                  <w:rFonts w:cs="Tahoma"/>
                  <w:b/>
                  <w:sz w:val="13"/>
                  <w:szCs w:val="13"/>
                </w:rPr>
                <w:t>61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306" w:name="_Toc336337996"/>
            <w:bookmarkStart w:id="307" w:name="_Toc342914636"/>
            <w:bookmarkEnd w:id="306"/>
            <w:r w:rsidRPr="00413E94">
              <w:rPr>
                <w:rFonts w:ascii="Tahoma" w:hAnsi="Tahoma" w:cs="Tahoma"/>
                <w:b w:val="0"/>
                <w:sz w:val="14"/>
                <w:szCs w:val="14"/>
                <w:lang w:val="pt-BR"/>
              </w:rPr>
              <w:t>Lync Online Plano 2 (SL de Usuário)</w:t>
            </w:r>
            <w:bookmarkEnd w:id="307"/>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5LyncOnlinePlan1and2" w:history="1">
              <w:r w:rsidRPr="00EB4D74">
                <w:rPr>
                  <w:rStyle w:val="Hyperlink"/>
                  <w:rFonts w:cs="Tahoma"/>
                  <w:b/>
                  <w:sz w:val="13"/>
                  <w:szCs w:val="13"/>
                </w:rPr>
                <w:t>61</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308" w:name="_Toc336337997"/>
            <w:bookmarkStart w:id="309" w:name="_Toc342914637"/>
            <w:bookmarkEnd w:id="308"/>
            <w:r w:rsidRPr="00413E94">
              <w:rPr>
                <w:rFonts w:ascii="Tahoma" w:hAnsi="Tahoma" w:cs="Tahoma"/>
                <w:b w:val="0"/>
                <w:sz w:val="14"/>
                <w:szCs w:val="14"/>
                <w:lang w:val="pt-BR"/>
              </w:rPr>
              <w:t>Lync Online Plano 3 (SL de Usuário)</w:t>
            </w:r>
            <w:bookmarkEnd w:id="309"/>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5LyncOnlinePlan1and2" w:history="1">
              <w:r w:rsidRPr="00EB4D74">
                <w:rPr>
                  <w:rStyle w:val="Hyperlink"/>
                  <w:rFonts w:cs="Tahoma"/>
                  <w:b/>
                  <w:sz w:val="13"/>
                  <w:szCs w:val="13"/>
                </w:rPr>
                <w:t>61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310" w:name="_Toc336337998"/>
            <w:bookmarkStart w:id="311" w:name="_Toc342914638"/>
            <w:bookmarkEnd w:id="310"/>
            <w:r w:rsidRPr="00413E94">
              <w:rPr>
                <w:rFonts w:ascii="Tahoma" w:hAnsi="Tahoma" w:cs="Tahoma"/>
                <w:b w:val="0"/>
                <w:sz w:val="14"/>
                <w:szCs w:val="14"/>
                <w:lang w:val="pt-BR"/>
              </w:rPr>
              <w:t>Lync Online Plano 3A (SL de Usuário)</w:t>
            </w:r>
            <w:bookmarkEnd w:id="311"/>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5LyncOnlinePlan1and2" w:history="1">
              <w:r w:rsidRPr="00EB4D74">
                <w:rPr>
                  <w:rStyle w:val="Hyperlink"/>
                  <w:rFonts w:cs="Tahoma"/>
                  <w:b/>
                  <w:sz w:val="13"/>
                  <w:szCs w:val="13"/>
                </w:rPr>
                <w:t>61</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312" w:name="_Toc336337999"/>
            <w:bookmarkStart w:id="313" w:name="_Toc342914639"/>
            <w:bookmarkEnd w:id="312"/>
            <w:r w:rsidRPr="00413E94">
              <w:rPr>
                <w:rFonts w:ascii="Tahoma" w:hAnsi="Tahoma" w:cs="Tahoma"/>
                <w:b w:val="0"/>
                <w:sz w:val="14"/>
                <w:szCs w:val="14"/>
                <w:lang w:val="pt-BR"/>
              </w:rPr>
              <w:t>Lync Server 2013</w:t>
            </w:r>
            <w:bookmarkEnd w:id="313"/>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2_Lync_Server" w:history="1">
              <w:r w:rsidRPr="00EB4D74">
                <w:rPr>
                  <w:rStyle w:val="Hyperlink"/>
                  <w:rFonts w:cs="Tahoma"/>
                  <w:b/>
                  <w:sz w:val="13"/>
                  <w:szCs w:val="13"/>
                </w:rPr>
                <w:t>62</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Del="006A2F66" w:rsidRDefault="008B1196" w:rsidP="00EA30FC">
            <w:pPr>
              <w:pStyle w:val="Heading2"/>
              <w:spacing w:before="40" w:after="40"/>
              <w:ind w:left="0"/>
              <w:rPr>
                <w:rFonts w:ascii="Tahoma" w:hAnsi="Tahoma" w:cs="Tahoma"/>
                <w:b w:val="0"/>
                <w:sz w:val="14"/>
                <w:szCs w:val="14"/>
              </w:rPr>
            </w:pPr>
            <w:bookmarkStart w:id="314" w:name="_Toc336338000"/>
            <w:bookmarkStart w:id="315" w:name="_Toc342914640"/>
            <w:bookmarkEnd w:id="314"/>
            <w:r w:rsidRPr="00413E94">
              <w:rPr>
                <w:rFonts w:ascii="Tahoma" w:hAnsi="Tahoma" w:cs="Tahoma"/>
                <w:b w:val="0"/>
                <w:sz w:val="14"/>
                <w:szCs w:val="14"/>
                <w:lang w:val="pt-BR"/>
              </w:rPr>
              <w:t>CAL Empresarial do Lync Server 2013</w:t>
            </w:r>
            <w:bookmarkEnd w:id="315"/>
          </w:p>
        </w:tc>
        <w:tc>
          <w:tcPr>
            <w:tcW w:w="450" w:type="dxa"/>
            <w:vAlign w:val="center"/>
          </w:tcPr>
          <w:p w:rsidR="008B1196" w:rsidRPr="00EB4D74" w:rsidDel="006A2F66" w:rsidRDefault="008B1196" w:rsidP="00EA30FC">
            <w:pPr>
              <w:pStyle w:val="TableText"/>
              <w:widowControl w:val="0"/>
              <w:spacing w:before="40" w:after="40"/>
              <w:rPr>
                <w:rFonts w:cs="Tahoma"/>
                <w:b/>
                <w:color w:val="0000FF"/>
                <w:sz w:val="13"/>
                <w:szCs w:val="13"/>
                <w:u w:val="single"/>
              </w:rPr>
            </w:pPr>
          </w:p>
        </w:tc>
        <w:tc>
          <w:tcPr>
            <w:tcW w:w="450" w:type="dxa"/>
            <w:vAlign w:val="center"/>
          </w:tcPr>
          <w:p w:rsidR="008B1196" w:rsidRPr="00EB4D74" w:rsidDel="006A2F6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Del="006A2F66" w:rsidRDefault="008B1196" w:rsidP="00EA30FC">
            <w:pPr>
              <w:pStyle w:val="Heading2"/>
              <w:spacing w:before="40" w:after="40"/>
              <w:ind w:left="0"/>
              <w:rPr>
                <w:rFonts w:ascii="Tahoma" w:hAnsi="Tahoma" w:cs="Tahoma"/>
                <w:b w:val="0"/>
                <w:sz w:val="14"/>
                <w:szCs w:val="14"/>
              </w:rPr>
            </w:pPr>
            <w:bookmarkStart w:id="316" w:name="_Toc336338002"/>
            <w:bookmarkStart w:id="317" w:name="_Toc342914641"/>
            <w:bookmarkEnd w:id="316"/>
            <w:r w:rsidRPr="00413E94">
              <w:rPr>
                <w:rFonts w:ascii="Tahoma" w:hAnsi="Tahoma" w:cs="Tahoma"/>
                <w:b w:val="0"/>
                <w:sz w:val="14"/>
                <w:szCs w:val="14"/>
                <w:lang w:val="pt-BR"/>
              </w:rPr>
              <w:t>CAL do Lync Server Plus 2013</w:t>
            </w:r>
            <w:bookmarkEnd w:id="317"/>
          </w:p>
        </w:tc>
        <w:tc>
          <w:tcPr>
            <w:tcW w:w="450" w:type="dxa"/>
            <w:shd w:val="clear" w:color="auto" w:fill="FABF8F"/>
            <w:vAlign w:val="center"/>
          </w:tcPr>
          <w:p w:rsidR="008B1196" w:rsidRPr="00EB4D74" w:rsidDel="006A2F66" w:rsidRDefault="008B1196" w:rsidP="00EA30FC">
            <w:pPr>
              <w:pStyle w:val="TableText"/>
              <w:widowControl w:val="0"/>
              <w:spacing w:before="40" w:after="40"/>
              <w:rPr>
                <w:rFonts w:cs="Tahoma"/>
                <w:b/>
                <w:color w:val="0000FF"/>
                <w:sz w:val="13"/>
                <w:szCs w:val="13"/>
                <w:u w:val="single"/>
              </w:rPr>
            </w:pPr>
            <w:bookmarkStart w:id="318" w:name="_Hlt335908886"/>
          </w:p>
        </w:tc>
        <w:bookmarkEnd w:id="318"/>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Del="006A2F66" w:rsidRDefault="008B1196" w:rsidP="00EA30FC">
            <w:pPr>
              <w:pStyle w:val="Heading2"/>
              <w:spacing w:before="40" w:after="40"/>
              <w:ind w:left="0"/>
              <w:rPr>
                <w:rFonts w:ascii="Tahoma" w:hAnsi="Tahoma" w:cs="Tahoma"/>
                <w:b w:val="0"/>
                <w:sz w:val="14"/>
                <w:szCs w:val="14"/>
              </w:rPr>
            </w:pPr>
            <w:bookmarkStart w:id="319" w:name="_Toc336338005"/>
            <w:bookmarkStart w:id="320" w:name="_Toc342914642"/>
            <w:bookmarkEnd w:id="319"/>
            <w:r w:rsidRPr="00413E94">
              <w:rPr>
                <w:rFonts w:ascii="Tahoma" w:hAnsi="Tahoma" w:cs="Tahoma"/>
                <w:b w:val="0"/>
                <w:sz w:val="14"/>
                <w:szCs w:val="14"/>
                <w:lang w:val="pt-BR"/>
              </w:rPr>
              <w:t>CAL do Lync Server Standard 2013</w:t>
            </w:r>
            <w:bookmarkEnd w:id="320"/>
          </w:p>
        </w:tc>
        <w:tc>
          <w:tcPr>
            <w:tcW w:w="450" w:type="dxa"/>
            <w:vAlign w:val="center"/>
          </w:tcPr>
          <w:p w:rsidR="008B1196" w:rsidRPr="00EB4D74" w:rsidDel="006A2F66" w:rsidRDefault="008B1196" w:rsidP="00EA30FC">
            <w:pPr>
              <w:pStyle w:val="TableText"/>
              <w:widowControl w:val="0"/>
              <w:spacing w:before="40" w:after="40"/>
              <w:rPr>
                <w:rFonts w:cs="Tahoma"/>
                <w:b/>
                <w:color w:val="0000FF"/>
                <w:sz w:val="13"/>
                <w:szCs w:val="13"/>
                <w:u w:val="single"/>
              </w:rPr>
            </w:pPr>
          </w:p>
        </w:tc>
        <w:tc>
          <w:tcPr>
            <w:tcW w:w="450" w:type="dxa"/>
            <w:vAlign w:val="center"/>
          </w:tcPr>
          <w:p w:rsidR="008B1196" w:rsidRPr="00EB4D74" w:rsidDel="006A2F6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vAlign w:val="center"/>
          </w:tcPr>
          <w:p w:rsidR="008B1196" w:rsidRPr="00EB4D74" w:rsidDel="006A2F6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70"/>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21" w:name="_Toc336338007"/>
            <w:bookmarkStart w:id="322" w:name="_Toc342914643"/>
            <w:bookmarkEnd w:id="321"/>
            <w:r w:rsidRPr="00413E94">
              <w:rPr>
                <w:rFonts w:ascii="Tahoma" w:hAnsi="Tahoma" w:cs="Tahoma"/>
                <w:b w:val="0"/>
                <w:sz w:val="14"/>
                <w:szCs w:val="14"/>
                <w:lang w:val="pt-BR"/>
              </w:rPr>
              <w:t xml:space="preserve">CAL Aditiva </w:t>
            </w:r>
            <w:r>
              <w:rPr>
                <w:rFonts w:ascii="Tahoma" w:hAnsi="Tahoma" w:cs="Tahoma"/>
                <w:b w:val="0"/>
                <w:sz w:val="14"/>
                <w:szCs w:val="14"/>
                <w:lang w:val="pt-BR"/>
              </w:rPr>
              <w:t>do Microsoft Dynamics AX 2012</w:t>
            </w:r>
            <w:r w:rsidRPr="00413E94">
              <w:rPr>
                <w:rFonts w:ascii="Tahoma" w:hAnsi="Tahoma" w:cs="Tahoma"/>
                <w:b w:val="0"/>
                <w:sz w:val="14"/>
                <w:szCs w:val="14"/>
                <w:lang w:val="pt-BR"/>
              </w:rPr>
              <w:t xml:space="preserve"> Enterprise (usuário e Dispositivo)</w:t>
            </w:r>
            <w:bookmarkEnd w:id="322"/>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23" w:name="_Toc336338008"/>
            <w:bookmarkStart w:id="324" w:name="_Toc342914644"/>
            <w:bookmarkEnd w:id="323"/>
            <w:r w:rsidRPr="00413E94">
              <w:rPr>
                <w:rFonts w:ascii="Tahoma" w:hAnsi="Tahoma" w:cs="Tahoma"/>
                <w:b w:val="0"/>
                <w:sz w:val="14"/>
                <w:szCs w:val="14"/>
                <w:lang w:val="pt-BR"/>
              </w:rPr>
              <w:t xml:space="preserve">CAL Empresarial </w:t>
            </w:r>
            <w:r>
              <w:rPr>
                <w:rFonts w:ascii="Tahoma" w:hAnsi="Tahoma" w:cs="Tahoma"/>
                <w:b w:val="0"/>
                <w:sz w:val="14"/>
                <w:szCs w:val="14"/>
                <w:lang w:val="pt-BR"/>
              </w:rPr>
              <w:t>do Microsoft Dynamics AX 2012</w:t>
            </w:r>
            <w:r w:rsidRPr="00413E94">
              <w:rPr>
                <w:rFonts w:ascii="Tahoma" w:hAnsi="Tahoma" w:cs="Tahoma"/>
                <w:b w:val="0"/>
                <w:sz w:val="14"/>
                <w:szCs w:val="14"/>
                <w:lang w:val="pt-BR"/>
              </w:rPr>
              <w:t xml:space="preserve"> (Usuário e Dispositivo)</w:t>
            </w:r>
            <w:bookmarkEnd w:id="324"/>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25" w:name="_Toc336338009"/>
            <w:bookmarkStart w:id="326" w:name="_Toc342914645"/>
            <w:bookmarkEnd w:id="325"/>
            <w:r w:rsidRPr="00413E94">
              <w:rPr>
                <w:rFonts w:ascii="Tahoma" w:hAnsi="Tahoma" w:cs="Tahoma"/>
                <w:b w:val="0"/>
                <w:sz w:val="14"/>
                <w:szCs w:val="14"/>
                <w:lang w:val="pt-BR"/>
              </w:rPr>
              <w:t>CAL Aditiva d</w:t>
            </w:r>
            <w:r>
              <w:rPr>
                <w:rFonts w:ascii="Tahoma" w:hAnsi="Tahoma" w:cs="Tahoma"/>
                <w:b w:val="0"/>
                <w:sz w:val="14"/>
                <w:szCs w:val="14"/>
                <w:lang w:val="pt-BR"/>
              </w:rPr>
              <w:t xml:space="preserve">o Microsoft Dynamics AX 2012 </w:t>
            </w:r>
            <w:r w:rsidRPr="00413E94">
              <w:rPr>
                <w:rFonts w:ascii="Tahoma" w:hAnsi="Tahoma" w:cs="Tahoma"/>
                <w:b w:val="0"/>
                <w:sz w:val="14"/>
                <w:szCs w:val="14"/>
                <w:lang w:val="pt-BR"/>
              </w:rPr>
              <w:t>Funcional (Usuário e Dispositivo)</w:t>
            </w:r>
            <w:bookmarkEnd w:id="326"/>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27" w:name="_Toc336338010"/>
            <w:bookmarkStart w:id="328" w:name="_Toc342914646"/>
            <w:bookmarkEnd w:id="327"/>
            <w:r w:rsidRPr="00413E94">
              <w:rPr>
                <w:rFonts w:ascii="Tahoma" w:hAnsi="Tahoma" w:cs="Tahoma"/>
                <w:b w:val="0"/>
                <w:sz w:val="14"/>
                <w:szCs w:val="14"/>
                <w:lang w:val="pt-BR"/>
              </w:rPr>
              <w:t>CAL Funcional d</w:t>
            </w:r>
            <w:r>
              <w:rPr>
                <w:rFonts w:ascii="Tahoma" w:hAnsi="Tahoma" w:cs="Tahoma"/>
                <w:b w:val="0"/>
                <w:sz w:val="14"/>
                <w:szCs w:val="14"/>
                <w:lang w:val="pt-BR"/>
              </w:rPr>
              <w:t xml:space="preserve">o Microsoft Dynamics AX 2012 </w:t>
            </w:r>
            <w:r w:rsidRPr="00413E94">
              <w:rPr>
                <w:rFonts w:ascii="Tahoma" w:hAnsi="Tahoma" w:cs="Tahoma"/>
                <w:b w:val="0"/>
                <w:sz w:val="14"/>
                <w:szCs w:val="14"/>
                <w:lang w:val="pt-BR"/>
              </w:rPr>
              <w:t>(Usuário e Dispositivo)</w:t>
            </w:r>
            <w:bookmarkEnd w:id="328"/>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42"/>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29" w:name="_Toc336338011"/>
            <w:bookmarkStart w:id="330" w:name="_Toc342914647"/>
            <w:bookmarkEnd w:id="329"/>
            <w:r w:rsidRPr="00413E94">
              <w:rPr>
                <w:rFonts w:ascii="Tahoma" w:hAnsi="Tahoma" w:cs="Tahoma"/>
                <w:b w:val="0"/>
                <w:sz w:val="14"/>
                <w:szCs w:val="14"/>
                <w:lang w:val="pt-BR"/>
              </w:rPr>
              <w:t>CAL de Autoatendimento d</w:t>
            </w:r>
            <w:r>
              <w:rPr>
                <w:rFonts w:ascii="Tahoma" w:hAnsi="Tahoma" w:cs="Tahoma"/>
                <w:b w:val="0"/>
                <w:sz w:val="14"/>
                <w:szCs w:val="14"/>
                <w:lang w:val="pt-BR"/>
              </w:rPr>
              <w:t xml:space="preserve">o Microsoft Dynamics AX 2012 </w:t>
            </w:r>
            <w:r w:rsidRPr="00413E94">
              <w:rPr>
                <w:rFonts w:ascii="Tahoma" w:hAnsi="Tahoma" w:cs="Tahoma"/>
                <w:b w:val="0"/>
                <w:sz w:val="14"/>
                <w:szCs w:val="14"/>
                <w:lang w:val="pt-BR"/>
              </w:rPr>
              <w:t>(Usuário e Dispositivo)</w:t>
            </w:r>
            <w:bookmarkEnd w:id="330"/>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331" w:name="_Toc336338012"/>
            <w:bookmarkStart w:id="332" w:name="_Toc342914648"/>
            <w:bookmarkEnd w:id="331"/>
            <w:r>
              <w:rPr>
                <w:rFonts w:ascii="Tahoma" w:hAnsi="Tahoma" w:cs="Tahoma"/>
                <w:b w:val="0"/>
                <w:sz w:val="14"/>
                <w:szCs w:val="14"/>
                <w:lang w:val="pt-BR"/>
              </w:rPr>
              <w:t xml:space="preserve">Microsoft Dynamics AX 2012 </w:t>
            </w:r>
            <w:r w:rsidRPr="00413E94">
              <w:rPr>
                <w:rFonts w:ascii="Tahoma" w:hAnsi="Tahoma" w:cs="Tahoma"/>
                <w:b w:val="0"/>
                <w:sz w:val="14"/>
                <w:szCs w:val="14"/>
                <w:lang w:val="pt-BR"/>
              </w:rPr>
              <w:t>Server</w:t>
            </w:r>
            <w:bookmarkEnd w:id="332"/>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08/12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278"/>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33" w:name="_Toc336338013"/>
            <w:bookmarkStart w:id="334" w:name="_Toc342914649"/>
            <w:bookmarkEnd w:id="333"/>
            <w:r w:rsidRPr="00413E94">
              <w:rPr>
                <w:rFonts w:ascii="Tahoma" w:hAnsi="Tahoma" w:cs="Tahoma"/>
                <w:b w:val="0"/>
                <w:sz w:val="14"/>
                <w:szCs w:val="14"/>
                <w:lang w:val="pt-BR"/>
              </w:rPr>
              <w:t>CAL Aditiva de Tarefa d</w:t>
            </w:r>
            <w:r>
              <w:rPr>
                <w:rFonts w:ascii="Tahoma" w:hAnsi="Tahoma" w:cs="Tahoma"/>
                <w:b w:val="0"/>
                <w:sz w:val="14"/>
                <w:szCs w:val="14"/>
                <w:lang w:val="pt-BR"/>
              </w:rPr>
              <w:t xml:space="preserve">o Microsoft Dynamics AX 2012 </w:t>
            </w:r>
            <w:r w:rsidRPr="00413E94">
              <w:rPr>
                <w:rFonts w:ascii="Tahoma" w:hAnsi="Tahoma" w:cs="Tahoma"/>
                <w:b w:val="0"/>
                <w:sz w:val="14"/>
                <w:szCs w:val="14"/>
                <w:lang w:val="pt-BR"/>
              </w:rPr>
              <w:t>(Usuário e Dispositivo)</w:t>
            </w:r>
            <w:bookmarkEnd w:id="334"/>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35" w:name="_Toc336338014"/>
            <w:bookmarkStart w:id="336" w:name="_Toc342914650"/>
            <w:bookmarkEnd w:id="335"/>
            <w:r w:rsidRPr="00413E94">
              <w:rPr>
                <w:rFonts w:ascii="Tahoma" w:hAnsi="Tahoma" w:cs="Tahoma"/>
                <w:b w:val="0"/>
                <w:sz w:val="14"/>
                <w:szCs w:val="14"/>
                <w:lang w:val="pt-BR"/>
              </w:rPr>
              <w:t>CAL de Tarefa d</w:t>
            </w:r>
            <w:r>
              <w:rPr>
                <w:rFonts w:ascii="Tahoma" w:hAnsi="Tahoma" w:cs="Tahoma"/>
                <w:b w:val="0"/>
                <w:sz w:val="14"/>
                <w:szCs w:val="14"/>
                <w:lang w:val="pt-BR"/>
              </w:rPr>
              <w:t xml:space="preserve">o Microsoft Dynamics AX 2012 </w:t>
            </w:r>
            <w:r w:rsidRPr="00413E94">
              <w:rPr>
                <w:rFonts w:ascii="Tahoma" w:hAnsi="Tahoma" w:cs="Tahoma"/>
                <w:b w:val="0"/>
                <w:sz w:val="14"/>
                <w:szCs w:val="14"/>
                <w:lang w:val="pt-BR"/>
              </w:rPr>
              <w:t>(Usuário e Dispositivo)</w:t>
            </w:r>
            <w:bookmarkEnd w:id="336"/>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67MicrosoftDynamicsCRM2011" w:history="1">
              <w:r w:rsidRPr="00EB4D74">
                <w:rPr>
                  <w:rStyle w:val="Hyperlink"/>
                  <w:rFonts w:cs="Tahoma"/>
                  <w:b/>
                  <w:sz w:val="13"/>
                  <w:szCs w:val="13"/>
                </w:rPr>
                <w:t>63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(somente EES)</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bl>
    <w:p w:rsidR="008B1196" w:rsidRDefault="008B1196" w:rsidP="008B1196">
      <w:bookmarkStart w:id="337" w:name="_Toc336338015"/>
      <w:bookmarkStart w:id="338" w:name="_Toc342914651"/>
      <w:bookmarkEnd w:id="337"/>
      <w:r>
        <w:rPr>
          <w:b/>
        </w:rP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360"/>
        <w:gridCol w:w="378"/>
        <w:gridCol w:w="459"/>
        <w:gridCol w:w="396"/>
        <w:gridCol w:w="702"/>
        <w:gridCol w:w="495"/>
      </w:tblGrid>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lang w:val="it-IT"/>
              </w:rPr>
            </w:pPr>
            <w:r w:rsidRPr="00413E94">
              <w:rPr>
                <w:rFonts w:ascii="Tahoma" w:hAnsi="Tahoma" w:cs="Tahoma"/>
                <w:b w:val="0"/>
                <w:sz w:val="14"/>
                <w:szCs w:val="14"/>
                <w:lang w:val="pt-BR"/>
              </w:rPr>
              <w:lastRenderedPageBreak/>
              <w:t>CAL do Microsoft Dynamics CRM 2011 (Usuário e Dispositivo)</w:t>
            </w:r>
            <w:bookmarkEnd w:id="338"/>
          </w:p>
        </w:tc>
        <w:bookmarkStart w:id="339" w:name="_Hlt336251084"/>
        <w:bookmarkEnd w:id="339"/>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"_68_Microsoft_Dynamics"</w:instrText>
            </w:r>
            <w:r w:rsidRPr="00EB4D74">
              <w:rPr>
                <w:rFonts w:cs="Tahoma"/>
                <w:sz w:val="13"/>
                <w:szCs w:val="13"/>
              </w:rPr>
              <w:fldChar w:fldCharType="separate"/>
            </w:r>
            <w:r w:rsidRPr="00EB4D74">
              <w:rPr>
                <w:rStyle w:val="Hyperlink"/>
                <w:rFonts w:cs="Tahoma"/>
                <w:b/>
                <w:sz w:val="13"/>
                <w:szCs w:val="13"/>
              </w:rPr>
              <w:t>64</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340" w:name="_Toc336338016"/>
            <w:bookmarkStart w:id="341" w:name="_Toc342914652"/>
            <w:bookmarkEnd w:id="340"/>
            <w:r w:rsidRPr="00413E94">
              <w:rPr>
                <w:rFonts w:ascii="Tahoma" w:hAnsi="Tahoma" w:cs="Tahoma"/>
                <w:b w:val="0"/>
                <w:sz w:val="14"/>
                <w:szCs w:val="14"/>
                <w:lang w:val="pt-BR"/>
              </w:rPr>
              <w:t>CAL do Microsoft Dynamics CRM 2011 Employee Self Service (Usuário e Dispositivo)</w:t>
            </w:r>
            <w:bookmarkEnd w:id="341"/>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342" w:name="_Toc336338017"/>
            <w:bookmarkStart w:id="343" w:name="_Toc342914653"/>
            <w:bookmarkEnd w:id="342"/>
            <w:r w:rsidRPr="00413E94">
              <w:rPr>
                <w:rFonts w:ascii="Tahoma" w:hAnsi="Tahoma" w:cs="Tahoma"/>
                <w:b w:val="0"/>
                <w:sz w:val="14"/>
                <w:szCs w:val="14"/>
                <w:lang w:val="pt-BR"/>
              </w:rPr>
              <w:t>Conector Externo para Microsoft Dynamics CRM 2011</w:t>
            </w:r>
            <w:bookmarkEnd w:id="343"/>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44" w:name="_Toc336338018"/>
            <w:bookmarkStart w:id="345" w:name="_Toc342914654"/>
            <w:bookmarkEnd w:id="344"/>
            <w:r w:rsidRPr="00413E94">
              <w:rPr>
                <w:rFonts w:ascii="Tahoma" w:hAnsi="Tahoma" w:cs="Tahoma"/>
                <w:b w:val="0"/>
                <w:sz w:val="14"/>
                <w:szCs w:val="14"/>
                <w:lang w:val="pt-BR"/>
              </w:rPr>
              <w:t>CAL Adicional de Uso Completo do Microsoft Dynamics CRM 2011 (Usuário e Dispositivo)</w:t>
            </w:r>
            <w:bookmarkEnd w:id="345"/>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46" w:name="_Toc336338019"/>
            <w:bookmarkStart w:id="347" w:name="_Toc342914655"/>
            <w:bookmarkEnd w:id="346"/>
            <w:r w:rsidRPr="00413E94">
              <w:rPr>
                <w:rFonts w:ascii="Tahoma" w:hAnsi="Tahoma" w:cs="Tahoma"/>
                <w:b w:val="0"/>
                <w:sz w:val="14"/>
                <w:szCs w:val="14"/>
                <w:lang w:val="pt-BR"/>
              </w:rPr>
              <w:t>CAL Limitada para Microsoft Dynamics CRM 2011 (Usuários e Dispositivo)</w:t>
            </w:r>
            <w:bookmarkEnd w:id="347"/>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lang w:val="it-IT"/>
              </w:rPr>
            </w:pPr>
            <w:bookmarkStart w:id="348" w:name="_Toc336338020"/>
            <w:bookmarkStart w:id="349" w:name="_Toc342914656"/>
            <w:bookmarkEnd w:id="348"/>
            <w:r w:rsidRPr="00413E94">
              <w:rPr>
                <w:rFonts w:ascii="Tahoma" w:hAnsi="Tahoma" w:cs="Tahoma"/>
                <w:b w:val="0"/>
                <w:sz w:val="14"/>
                <w:szCs w:val="14"/>
                <w:lang w:val="pt-BR"/>
              </w:rPr>
              <w:t>CAL Adicional de Uso Limitado do Microsoft Dynamics CRM 2011 (Usuário e Dispositivo)</w:t>
            </w:r>
            <w:bookmarkEnd w:id="349"/>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350" w:name="_Toc336338021"/>
            <w:bookmarkStart w:id="351" w:name="_Toc342914657"/>
            <w:bookmarkEnd w:id="350"/>
            <w:r w:rsidRPr="00413E94">
              <w:rPr>
                <w:rFonts w:ascii="Tahoma" w:hAnsi="Tahoma" w:cs="Tahoma"/>
                <w:b w:val="0"/>
                <w:sz w:val="14"/>
                <w:szCs w:val="14"/>
                <w:lang w:val="pt-BR"/>
              </w:rPr>
              <w:t>Microsoft Dynamics CRM Server 2011</w:t>
            </w:r>
            <w:bookmarkEnd w:id="351"/>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352" w:name="_Toc336338022"/>
            <w:bookmarkStart w:id="353" w:name="_Toc342914658"/>
            <w:bookmarkEnd w:id="352"/>
            <w:r w:rsidRPr="00413E94">
              <w:rPr>
                <w:rFonts w:ascii="Tahoma" w:hAnsi="Tahoma" w:cs="Tahoma"/>
                <w:b w:val="0"/>
                <w:sz w:val="14"/>
                <w:szCs w:val="14"/>
                <w:lang w:val="pt-BR"/>
              </w:rPr>
              <w:t>Microsoft Dynamics CRM Workgroup Server 2011</w:t>
            </w:r>
            <w:bookmarkEnd w:id="353"/>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8_Microsoft_Dynamics" w:history="1">
              <w:r w:rsidRPr="00EB4D74">
                <w:rPr>
                  <w:rStyle w:val="Hyperlink"/>
                  <w:rFonts w:cs="Tahoma"/>
                  <w:b/>
                  <w:sz w:val="13"/>
                  <w:szCs w:val="13"/>
                </w:rPr>
                <w:t>64</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04/01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Del="00436016" w:rsidTr="00EA30FC">
        <w:trPr>
          <w:trHeight w:val="145"/>
        </w:trPr>
        <w:tc>
          <w:tcPr>
            <w:tcW w:w="2714" w:type="dxa"/>
            <w:shd w:val="clear" w:color="auto" w:fill="FABF8F"/>
            <w:vAlign w:val="center"/>
          </w:tcPr>
          <w:p w:rsidR="008B1196" w:rsidRPr="00413E94" w:rsidRDefault="008B1196" w:rsidP="00EA30FC">
            <w:pPr>
              <w:pStyle w:val="Heading2"/>
              <w:spacing w:before="40" w:after="40"/>
              <w:ind w:left="-15" w:firstLine="15"/>
              <w:rPr>
                <w:rFonts w:ascii="Tahoma" w:hAnsi="Tahoma" w:cs="Tahoma"/>
                <w:b w:val="0"/>
                <w:sz w:val="14"/>
                <w:szCs w:val="14"/>
                <w:lang w:val="it-IT"/>
              </w:rPr>
            </w:pPr>
            <w:bookmarkStart w:id="354" w:name="_Toc336338023"/>
            <w:bookmarkStart w:id="355" w:name="_Toc342914659"/>
            <w:bookmarkEnd w:id="354"/>
            <w:r w:rsidRPr="00413E94">
              <w:rPr>
                <w:rFonts w:ascii="Tahoma" w:hAnsi="Tahoma" w:cs="Tahoma"/>
                <w:b w:val="0"/>
                <w:sz w:val="14"/>
                <w:szCs w:val="14"/>
                <w:lang w:val="pt-BR"/>
              </w:rPr>
              <w:t>API do Tradutor da Microsoft</w:t>
            </w:r>
            <w:bookmarkEnd w:id="355"/>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lang w:val="it-IT"/>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FFFFF"/>
            <w:vAlign w:val="center"/>
          </w:tcPr>
          <w:p w:rsidR="008B1196" w:rsidRPr="00413E94" w:rsidRDefault="008B1196" w:rsidP="00EA30FC">
            <w:pPr>
              <w:pStyle w:val="Heading2"/>
              <w:spacing w:before="40" w:after="40"/>
              <w:ind w:left="-15" w:firstLine="15"/>
              <w:rPr>
                <w:rFonts w:ascii="Tahoma" w:hAnsi="Tahoma" w:cs="Tahoma"/>
                <w:b w:val="0"/>
                <w:sz w:val="14"/>
                <w:szCs w:val="14"/>
              </w:rPr>
            </w:pPr>
            <w:bookmarkStart w:id="356" w:name="_Toc336338024"/>
            <w:bookmarkStart w:id="357" w:name="_Toc342914660"/>
            <w:bookmarkEnd w:id="356"/>
            <w:r w:rsidRPr="00413E94">
              <w:rPr>
                <w:rFonts w:ascii="Tahoma" w:hAnsi="Tahoma" w:cs="Tahoma"/>
                <w:b w:val="0"/>
                <w:sz w:val="14"/>
                <w:szCs w:val="14"/>
                <w:lang w:val="pt-BR"/>
              </w:rPr>
              <w:t>Office 365 Plano A2 (SL de Usuário)</w:t>
            </w:r>
            <w:bookmarkEnd w:id="357"/>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_Office_365" w:history="1">
              <w:r w:rsidRPr="00EB4D74">
                <w:rPr>
                  <w:rStyle w:val="Hyperlink"/>
                  <w:rFonts w:cs="Tahoma"/>
                  <w:b/>
                  <w:sz w:val="13"/>
                  <w:szCs w:val="13"/>
                </w:rPr>
                <w:t>5</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ABF8F"/>
            <w:vAlign w:val="center"/>
          </w:tcPr>
          <w:p w:rsidR="008B1196" w:rsidRPr="00413E94" w:rsidRDefault="008B1196" w:rsidP="00EA30FC">
            <w:pPr>
              <w:pStyle w:val="Heading2"/>
              <w:spacing w:before="40" w:after="40"/>
              <w:ind w:left="-15" w:firstLine="15"/>
              <w:rPr>
                <w:rFonts w:ascii="Tahoma" w:hAnsi="Tahoma" w:cs="Tahoma"/>
                <w:b w:val="0"/>
                <w:sz w:val="14"/>
                <w:szCs w:val="14"/>
              </w:rPr>
            </w:pPr>
            <w:bookmarkStart w:id="358" w:name="_Toc336338025"/>
            <w:bookmarkStart w:id="359" w:name="_Toc342914661"/>
            <w:bookmarkEnd w:id="358"/>
            <w:r w:rsidRPr="00413E94">
              <w:rPr>
                <w:rFonts w:ascii="Tahoma" w:hAnsi="Tahoma" w:cs="Tahoma"/>
                <w:b w:val="0"/>
                <w:sz w:val="14"/>
                <w:szCs w:val="14"/>
                <w:lang w:val="pt-BR"/>
              </w:rPr>
              <w:t>Office 365 Plano A3 (SL de Usuário)</w:t>
            </w:r>
            <w:bookmarkEnd w:id="359"/>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_Office_365" w:history="1">
              <w:r w:rsidRPr="00EB4D74">
                <w:rPr>
                  <w:rStyle w:val="Hyperlink"/>
                  <w:rFonts w:cs="Tahoma"/>
                  <w:b/>
                  <w:sz w:val="13"/>
                  <w:szCs w:val="13"/>
                </w:rPr>
                <w:t>5</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EOLS</w:t>
            </w:r>
          </w:p>
        </w:tc>
        <w:tc>
          <w:tcPr>
            <w:tcW w:w="495"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firstLine="15"/>
              <w:rPr>
                <w:rFonts w:ascii="Tahoma" w:hAnsi="Tahoma" w:cs="Tahoma"/>
                <w:b w:val="0"/>
                <w:sz w:val="14"/>
                <w:szCs w:val="14"/>
              </w:rPr>
            </w:pPr>
            <w:bookmarkStart w:id="360" w:name="_Toc336338026"/>
            <w:bookmarkStart w:id="361" w:name="_Toc342914662"/>
            <w:bookmarkEnd w:id="360"/>
            <w:r w:rsidRPr="00413E94">
              <w:rPr>
                <w:rFonts w:ascii="Tahoma" w:hAnsi="Tahoma" w:cs="Tahoma"/>
                <w:b w:val="0"/>
                <w:sz w:val="14"/>
                <w:szCs w:val="14"/>
                <w:lang w:val="pt-BR"/>
              </w:rPr>
              <w:t>Office 365 Plano A4 (SL de Usuário)</w:t>
            </w:r>
            <w:bookmarkEnd w:id="361"/>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6_Office_365" w:history="1">
              <w:r w:rsidRPr="00EB4D74">
                <w:rPr>
                  <w:rStyle w:val="Hyperlink"/>
                  <w:rFonts w:cs="Tahoma"/>
                  <w:b/>
                  <w:sz w:val="13"/>
                  <w:szCs w:val="13"/>
                </w:rPr>
                <w:t>5</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EOLS</w:t>
            </w:r>
          </w:p>
        </w:tc>
        <w:tc>
          <w:tcPr>
            <w:tcW w:w="495"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ABF8F"/>
            <w:vAlign w:val="center"/>
          </w:tcPr>
          <w:p w:rsidR="008B1196" w:rsidRPr="00413E94" w:rsidDel="00436016" w:rsidRDefault="008B1196" w:rsidP="00EA30FC">
            <w:pPr>
              <w:pStyle w:val="Heading2"/>
              <w:spacing w:before="40" w:after="40"/>
              <w:ind w:left="0" w:firstLine="15"/>
              <w:rPr>
                <w:rFonts w:ascii="Tahoma" w:hAnsi="Tahoma" w:cs="Tahoma"/>
                <w:b w:val="0"/>
                <w:sz w:val="14"/>
                <w:szCs w:val="14"/>
                <w:lang w:val="it-IT"/>
              </w:rPr>
            </w:pPr>
            <w:bookmarkStart w:id="362" w:name="_Toc336338027"/>
            <w:bookmarkStart w:id="363" w:name="_Toc342914663"/>
            <w:bookmarkEnd w:id="362"/>
            <w:r w:rsidRPr="00413E94">
              <w:rPr>
                <w:rFonts w:ascii="Tahoma" w:hAnsi="Tahoma" w:cs="Tahoma"/>
                <w:b w:val="0"/>
                <w:sz w:val="14"/>
                <w:szCs w:val="14"/>
                <w:lang w:val="pt-BR"/>
              </w:rPr>
              <w:t>Office 365 Plano E1 (SL de Usuário)</w:t>
            </w:r>
            <w:bookmarkEnd w:id="363"/>
          </w:p>
        </w:tc>
        <w:tc>
          <w:tcPr>
            <w:tcW w:w="450" w:type="dxa"/>
            <w:shd w:val="clear" w:color="auto" w:fill="FABF8F"/>
            <w:vAlign w:val="center"/>
          </w:tcPr>
          <w:p w:rsidR="008B1196" w:rsidRPr="00EB4D74" w:rsidDel="00436016" w:rsidRDefault="008B1196" w:rsidP="00EA30FC">
            <w:pPr>
              <w:pStyle w:val="TableText"/>
              <w:widowControl w:val="0"/>
              <w:spacing w:before="40" w:after="40"/>
              <w:rPr>
                <w:rFonts w:cs="Tahoma"/>
                <w:b/>
                <w:color w:val="0000FF"/>
                <w:sz w:val="13"/>
                <w:szCs w:val="13"/>
                <w:u w:val="single"/>
              </w:rPr>
            </w:pPr>
            <w:hyperlink w:anchor="_65Office_365_Plano" w:history="1">
              <w:r w:rsidRPr="00EB4D74">
                <w:rPr>
                  <w:rStyle w:val="Hyperlink"/>
                  <w:rFonts w:cs="Tahoma"/>
                  <w:b/>
                  <w:sz w:val="13"/>
                  <w:szCs w:val="13"/>
                </w:rPr>
                <w:t>65</w:t>
              </w:r>
            </w:hyperlink>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06/11</w:t>
            </w: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EOLS</w:t>
            </w:r>
          </w:p>
        </w:tc>
        <w:tc>
          <w:tcPr>
            <w:tcW w:w="396" w:type="dxa"/>
            <w:tcBorders>
              <w:left w:val="single" w:sz="18" w:space="0" w:color="auto"/>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FFFFF"/>
            <w:vAlign w:val="center"/>
          </w:tcPr>
          <w:p w:rsidR="008B1196" w:rsidRPr="00413E94" w:rsidDel="00436016" w:rsidRDefault="008B1196" w:rsidP="00EA30FC">
            <w:pPr>
              <w:pStyle w:val="Heading2"/>
              <w:spacing w:before="40" w:after="40"/>
              <w:ind w:left="0" w:firstLine="15"/>
              <w:rPr>
                <w:rFonts w:ascii="Tahoma" w:hAnsi="Tahoma" w:cs="Tahoma"/>
                <w:b w:val="0"/>
                <w:sz w:val="14"/>
                <w:szCs w:val="14"/>
                <w:lang w:val="it-IT"/>
              </w:rPr>
            </w:pPr>
            <w:bookmarkStart w:id="364" w:name="_Toc336338028"/>
            <w:bookmarkStart w:id="365" w:name="_Toc342914664"/>
            <w:bookmarkEnd w:id="364"/>
            <w:r w:rsidRPr="00413E94">
              <w:rPr>
                <w:rFonts w:ascii="Tahoma" w:hAnsi="Tahoma" w:cs="Tahoma"/>
                <w:b w:val="0"/>
                <w:sz w:val="14"/>
                <w:szCs w:val="14"/>
                <w:lang w:val="pt-BR"/>
              </w:rPr>
              <w:t>Office 365 Plano E2 – E4 (SL de Usuário)</w:t>
            </w:r>
            <w:bookmarkEnd w:id="365"/>
          </w:p>
        </w:tc>
        <w:tc>
          <w:tcPr>
            <w:tcW w:w="450" w:type="dxa"/>
            <w:shd w:val="clear" w:color="auto" w:fill="FFFFFF"/>
            <w:vAlign w:val="center"/>
          </w:tcPr>
          <w:p w:rsidR="008B1196" w:rsidRPr="00EB4D74" w:rsidDel="00436016" w:rsidRDefault="008B1196" w:rsidP="00EA30FC">
            <w:pPr>
              <w:pStyle w:val="TableText"/>
              <w:widowControl w:val="0"/>
              <w:spacing w:before="40" w:after="40"/>
              <w:rPr>
                <w:rFonts w:cs="Tahoma"/>
                <w:b/>
                <w:color w:val="0000FF"/>
                <w:sz w:val="13"/>
                <w:szCs w:val="13"/>
                <w:u w:val="single"/>
              </w:rPr>
            </w:pPr>
            <w:hyperlink w:anchor="_7_Office_365" w:history="1">
              <w:r w:rsidRPr="00EB4D74">
                <w:rPr>
                  <w:rStyle w:val="Hyperlink"/>
                  <w:rFonts w:cs="Tahoma"/>
                  <w:b/>
                  <w:sz w:val="13"/>
                  <w:szCs w:val="13"/>
                </w:rPr>
                <w:t>6</w:t>
              </w:r>
            </w:hyperlink>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06/11</w:t>
            </w: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EOLS</w:t>
            </w:r>
          </w:p>
        </w:tc>
        <w:tc>
          <w:tcPr>
            <w:tcW w:w="396" w:type="dxa"/>
            <w:tcBorders>
              <w:left w:val="single" w:sz="18" w:space="0" w:color="auto"/>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firstLine="15"/>
              <w:rPr>
                <w:rFonts w:ascii="Tahoma" w:hAnsi="Tahoma" w:cs="Tahoma"/>
                <w:b w:val="0"/>
                <w:sz w:val="14"/>
                <w:szCs w:val="14"/>
              </w:rPr>
            </w:pPr>
            <w:bookmarkStart w:id="366" w:name="_Toc336338029"/>
            <w:bookmarkStart w:id="367" w:name="_Toc342914665"/>
            <w:bookmarkEnd w:id="366"/>
            <w:r w:rsidRPr="00413E94">
              <w:rPr>
                <w:rFonts w:ascii="Tahoma" w:hAnsi="Tahoma" w:cs="Tahoma"/>
                <w:b w:val="0"/>
                <w:sz w:val="14"/>
                <w:szCs w:val="14"/>
                <w:lang w:val="pt-BR"/>
              </w:rPr>
              <w:t>Office 365 Plano G1 – G4 (SL de Usuário)</w:t>
            </w:r>
            <w:bookmarkEnd w:id="367"/>
          </w:p>
        </w:tc>
        <w:bookmarkStart w:id="368" w:name="_Hlt335909316"/>
        <w:bookmarkStart w:id="369" w:name="_Hlt336251116"/>
        <w:bookmarkEnd w:id="368"/>
        <w:bookmarkEnd w:id="369"/>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HYPERLINK  \l "_66Office_365_Plano"</w:instrText>
            </w:r>
            <w:r w:rsidRPr="00EB4D74">
              <w:rPr>
                <w:rFonts w:cs="Tahoma"/>
                <w:sz w:val="13"/>
                <w:szCs w:val="13"/>
              </w:rPr>
              <w:fldChar w:fldCharType="separate"/>
            </w:r>
            <w:r w:rsidRPr="00EB4D74">
              <w:rPr>
                <w:rStyle w:val="Hyperlink"/>
                <w:rFonts w:cs="Tahoma"/>
                <w:b/>
                <w:sz w:val="13"/>
                <w:szCs w:val="13"/>
              </w:rPr>
              <w:t>66</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EOLS</w:t>
            </w:r>
          </w:p>
        </w:tc>
        <w:tc>
          <w:tcPr>
            <w:tcW w:w="396" w:type="dxa"/>
            <w:tcBorders>
              <w:left w:val="single" w:sz="18" w:space="0" w:color="auto"/>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FFFFF"/>
            <w:vAlign w:val="center"/>
          </w:tcPr>
          <w:p w:rsidR="008B1196" w:rsidRPr="00413E94" w:rsidDel="00436016" w:rsidRDefault="008B1196" w:rsidP="00EA30FC">
            <w:pPr>
              <w:pStyle w:val="Heading2"/>
              <w:spacing w:before="40" w:after="40"/>
              <w:ind w:left="0" w:firstLine="15"/>
              <w:rPr>
                <w:rFonts w:ascii="Tahoma" w:hAnsi="Tahoma" w:cs="Tahoma"/>
                <w:b w:val="0"/>
                <w:sz w:val="14"/>
                <w:szCs w:val="14"/>
              </w:rPr>
            </w:pPr>
            <w:bookmarkStart w:id="370" w:name="_Toc336338030"/>
            <w:bookmarkStart w:id="371" w:name="_Toc342914666"/>
            <w:bookmarkEnd w:id="370"/>
            <w:r w:rsidRPr="00413E94">
              <w:rPr>
                <w:rFonts w:ascii="Tahoma" w:hAnsi="Tahoma" w:cs="Tahoma"/>
                <w:b w:val="0"/>
                <w:sz w:val="14"/>
                <w:szCs w:val="14"/>
                <w:lang w:val="pt-BR"/>
              </w:rPr>
              <w:t>Office 365 Plano K1 (SL de Usuário)</w:t>
            </w:r>
            <w:bookmarkEnd w:id="371"/>
          </w:p>
        </w:tc>
        <w:bookmarkStart w:id="372" w:name="_Hlt328144697"/>
        <w:bookmarkEnd w:id="372"/>
        <w:tc>
          <w:tcPr>
            <w:tcW w:w="450" w:type="dxa"/>
            <w:shd w:val="clear" w:color="auto" w:fill="FFFFFF"/>
            <w:vAlign w:val="center"/>
          </w:tcPr>
          <w:p w:rsidR="008B1196" w:rsidRPr="00EB4D74" w:rsidDel="00436016"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"Srv_74Office365PlanK1K2"</w:instrText>
            </w:r>
            <w:r w:rsidRPr="00EB4D74">
              <w:rPr>
                <w:rFonts w:cs="Tahoma"/>
                <w:sz w:val="13"/>
                <w:szCs w:val="13"/>
              </w:rPr>
              <w:fldChar w:fldCharType="separate"/>
            </w:r>
            <w:r w:rsidRPr="00EB4D74">
              <w:rPr>
                <w:rStyle w:val="Hyperlink"/>
                <w:rFonts w:cs="Tahoma"/>
                <w:b/>
                <w:sz w:val="13"/>
                <w:szCs w:val="13"/>
              </w:rPr>
              <w:t>67</w:t>
            </w:r>
            <w:r w:rsidRPr="00EB4D74">
              <w:rPr>
                <w:rFonts w:cs="Tahoma"/>
                <w:sz w:val="13"/>
                <w:szCs w:val="13"/>
              </w:rPr>
              <w:fldChar w:fldCharType="end"/>
            </w: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06/11</w:t>
            </w: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Del="00436016" w:rsidTr="00EA30FC">
        <w:trPr>
          <w:trHeight w:val="145"/>
        </w:trPr>
        <w:tc>
          <w:tcPr>
            <w:tcW w:w="2714" w:type="dxa"/>
            <w:shd w:val="clear" w:color="auto" w:fill="FABF8F"/>
            <w:vAlign w:val="center"/>
          </w:tcPr>
          <w:p w:rsidR="008B1196" w:rsidRPr="00413E94" w:rsidDel="00436016" w:rsidRDefault="008B1196" w:rsidP="00EA30FC">
            <w:pPr>
              <w:pStyle w:val="Heading2"/>
              <w:spacing w:before="40" w:after="40"/>
              <w:ind w:left="0" w:firstLine="15"/>
              <w:rPr>
                <w:rFonts w:ascii="Tahoma" w:hAnsi="Tahoma" w:cs="Tahoma"/>
                <w:b w:val="0"/>
                <w:sz w:val="14"/>
                <w:szCs w:val="14"/>
              </w:rPr>
            </w:pPr>
            <w:bookmarkStart w:id="373" w:name="_Toc336338031"/>
            <w:bookmarkStart w:id="374" w:name="_Toc342914667"/>
            <w:bookmarkEnd w:id="373"/>
            <w:r w:rsidRPr="00413E94">
              <w:rPr>
                <w:rFonts w:ascii="Tahoma" w:hAnsi="Tahoma" w:cs="Tahoma"/>
                <w:b w:val="0"/>
                <w:sz w:val="14"/>
                <w:szCs w:val="14"/>
                <w:lang w:val="pt-BR"/>
              </w:rPr>
              <w:t>Office 365 Plano K2 (SL de Usuário)</w:t>
            </w:r>
            <w:bookmarkEnd w:id="374"/>
          </w:p>
        </w:tc>
        <w:bookmarkStart w:id="375" w:name="_Hlt328146149"/>
        <w:bookmarkStart w:id="376" w:name="_Hlt336251124"/>
        <w:bookmarkEnd w:id="375"/>
        <w:bookmarkEnd w:id="376"/>
        <w:tc>
          <w:tcPr>
            <w:tcW w:w="450" w:type="dxa"/>
            <w:shd w:val="clear" w:color="auto" w:fill="FABF8F"/>
            <w:vAlign w:val="center"/>
          </w:tcPr>
          <w:p w:rsidR="008B1196" w:rsidRPr="00EB4D74" w:rsidDel="00436016"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HYPERLINK  \l "_68_SharePoint_Online"</w:instrText>
            </w:r>
            <w:r w:rsidRPr="00EB4D74">
              <w:rPr>
                <w:rFonts w:cs="Tahoma"/>
                <w:sz w:val="13"/>
                <w:szCs w:val="13"/>
              </w:rPr>
              <w:fldChar w:fldCharType="separate"/>
            </w:r>
            <w:r w:rsidRPr="00EB4D74">
              <w:rPr>
                <w:rStyle w:val="Hyperlink"/>
                <w:rFonts w:cs="Tahoma"/>
                <w:b/>
                <w:sz w:val="13"/>
                <w:szCs w:val="13"/>
              </w:rPr>
              <w:t>68</w:t>
            </w:r>
            <w:r w:rsidRPr="00EB4D74">
              <w:rPr>
                <w:rFonts w:cs="Tahoma"/>
                <w:sz w:val="13"/>
                <w:szCs w:val="13"/>
              </w:rPr>
              <w:fldChar w:fldCharType="end"/>
            </w: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06/11</w:t>
            </w: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OSB</w:t>
            </w:r>
          </w:p>
        </w:tc>
        <w:tc>
          <w:tcPr>
            <w:tcW w:w="36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Del="00436016"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377" w:name="_Toc336338032"/>
            <w:bookmarkStart w:id="378" w:name="_Toc342914668"/>
            <w:bookmarkEnd w:id="377"/>
            <w:r w:rsidRPr="00413E94">
              <w:rPr>
                <w:rFonts w:ascii="Tahoma" w:hAnsi="Tahoma" w:cs="Tahoma"/>
                <w:sz w:val="14"/>
                <w:szCs w:val="14"/>
                <w:lang w:val="pt-BR"/>
              </w:rPr>
              <w:t>Aplicativos da Web do Office com SharePoint Plano 2A (SL do Usuário)</w:t>
            </w:r>
            <w:bookmarkEnd w:id="378"/>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379" w:name="_Toc336338033"/>
            <w:bookmarkStart w:id="380" w:name="_Toc342914669"/>
            <w:bookmarkEnd w:id="379"/>
            <w:r w:rsidRPr="00413E94">
              <w:rPr>
                <w:rFonts w:ascii="Tahoma" w:hAnsi="Tahoma" w:cs="Tahoma"/>
                <w:sz w:val="14"/>
                <w:szCs w:val="14"/>
                <w:lang w:val="pt-BR"/>
              </w:rPr>
              <w:t>Project Server 2013</w:t>
            </w:r>
            <w:bookmarkEnd w:id="380"/>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bookmarkStart w:id="381" w:name="_Hlt336249768"/>
          </w:p>
        </w:tc>
        <w:bookmarkEnd w:id="381"/>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25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50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382" w:name="_Toc336338034"/>
            <w:bookmarkStart w:id="383" w:name="_Toc342914670"/>
            <w:bookmarkEnd w:id="382"/>
            <w:r w:rsidRPr="00413E94">
              <w:rPr>
                <w:rFonts w:ascii="Tahoma" w:hAnsi="Tahoma" w:cs="Tahoma"/>
                <w:sz w:val="14"/>
                <w:szCs w:val="14"/>
                <w:lang w:val="pt-BR"/>
              </w:rPr>
              <w:t>CAL do Project Server 2013</w:t>
            </w:r>
            <w:bookmarkEnd w:id="383"/>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4"/>
              </w:rPr>
              <w:t>10/12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firstLine="15"/>
              <w:rPr>
                <w:rFonts w:ascii="Tahoma" w:hAnsi="Tahoma" w:cs="Tahoma"/>
                <w:b w:val="0"/>
                <w:sz w:val="14"/>
                <w:szCs w:val="14"/>
              </w:rPr>
            </w:pPr>
            <w:bookmarkStart w:id="384" w:name="_Toc336338036"/>
            <w:bookmarkStart w:id="385" w:name="_Toc342914671"/>
            <w:bookmarkEnd w:id="384"/>
            <w:r w:rsidRPr="00413E94">
              <w:rPr>
                <w:rFonts w:ascii="Tahoma" w:hAnsi="Tahoma" w:cs="Tahoma"/>
                <w:b w:val="0"/>
                <w:sz w:val="14"/>
                <w:szCs w:val="14"/>
                <w:lang w:val="pt-BR"/>
              </w:rPr>
              <w:t>Armazenamento Extra do SharePoint™ Online de 1 GB (SL Complementar)</w:t>
            </w:r>
            <w:bookmarkEnd w:id="385"/>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FABF8F"/>
            <w:vAlign w:val="center"/>
          </w:tcPr>
          <w:p w:rsidR="008B1196" w:rsidRPr="00EB4D74" w:rsidDel="008F575D"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Heading2"/>
              <w:spacing w:before="40" w:after="40"/>
              <w:ind w:left="0" w:firstLine="15"/>
              <w:rPr>
                <w:rFonts w:ascii="Tahoma" w:hAnsi="Tahoma" w:cs="Tahoma"/>
                <w:b w:val="0"/>
                <w:sz w:val="14"/>
                <w:szCs w:val="14"/>
              </w:rPr>
            </w:pPr>
            <w:bookmarkStart w:id="386" w:name="_Toc336338037"/>
            <w:bookmarkStart w:id="387" w:name="_Toc342914672"/>
            <w:bookmarkEnd w:id="386"/>
            <w:r w:rsidRPr="00413E94">
              <w:rPr>
                <w:rFonts w:ascii="Tahoma" w:hAnsi="Tahoma" w:cs="Tahoma"/>
                <w:b w:val="0"/>
                <w:sz w:val="14"/>
                <w:szCs w:val="14"/>
                <w:lang w:val="pt-BR"/>
              </w:rPr>
              <w:t>Armazenamento Extra do SharePoint™ Online de A 1 GB (SL Complementar)</w:t>
            </w:r>
            <w:bookmarkEnd w:id="387"/>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FF"/>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firstLine="15"/>
              <w:rPr>
                <w:rFonts w:ascii="Tahoma" w:hAnsi="Tahoma" w:cs="Tahoma"/>
                <w:b w:val="0"/>
                <w:sz w:val="14"/>
                <w:szCs w:val="14"/>
              </w:rPr>
            </w:pPr>
            <w:bookmarkStart w:id="388" w:name="_Toc336338038"/>
            <w:bookmarkStart w:id="389" w:name="_Toc342914673"/>
            <w:bookmarkEnd w:id="388"/>
            <w:r w:rsidRPr="00413E94">
              <w:rPr>
                <w:rFonts w:ascii="Tahoma" w:hAnsi="Tahoma" w:cs="Tahoma"/>
                <w:b w:val="0"/>
                <w:sz w:val="14"/>
                <w:szCs w:val="14"/>
                <w:lang w:val="pt-BR"/>
              </w:rPr>
              <w:t xml:space="preserve">SharePoint™ Online Plano 1 </w:t>
            </w:r>
            <w:r w:rsidRPr="00413E94">
              <w:rPr>
                <w:rFonts w:ascii="Tahoma" w:hAnsi="Tahoma" w:cs="Tahoma"/>
                <w:b w:val="0"/>
                <w:sz w:val="14"/>
                <w:szCs w:val="14"/>
                <w:lang w:val="pt-BR"/>
              </w:rPr>
              <w:br/>
              <w:t>(SL de Usuário)</w:t>
            </w:r>
            <w:bookmarkEnd w:id="389"/>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69_SharePoint_Server" w:history="1">
              <w:r w:rsidRPr="00EB4D74">
                <w:rPr>
                  <w:rStyle w:val="Hyperlink"/>
                  <w:rFonts w:cs="Tahoma"/>
                  <w:b/>
                  <w:sz w:val="13"/>
                  <w:szCs w:val="13"/>
                </w:rPr>
                <w:t>69</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390" w:name="_Toc336338039"/>
            <w:bookmarkStart w:id="391" w:name="_Toc342914674"/>
            <w:bookmarkEnd w:id="390"/>
            <w:r w:rsidRPr="00413E94">
              <w:rPr>
                <w:rFonts w:ascii="Tahoma" w:hAnsi="Tahoma" w:cs="Tahoma"/>
                <w:sz w:val="14"/>
                <w:szCs w:val="14"/>
                <w:lang w:val="pt-BR"/>
              </w:rPr>
              <w:t>SharePoint™ Online Plano 2 (SL de Usuário)</w:t>
            </w:r>
            <w:bookmarkEnd w:id="391"/>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_69_SharePoint_Server" w:history="1">
              <w:r w:rsidRPr="00EB4D74">
                <w:rPr>
                  <w:rStyle w:val="Hyperlink"/>
                  <w:rFonts w:cs="Tahoma"/>
                  <w:b/>
                  <w:sz w:val="13"/>
                  <w:szCs w:val="13"/>
                </w:rPr>
                <w:t>69</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06/11</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392" w:name="_Toc336338040"/>
            <w:bookmarkStart w:id="393" w:name="_Toc342914675"/>
            <w:bookmarkEnd w:id="392"/>
            <w:r w:rsidRPr="00413E94">
              <w:rPr>
                <w:rFonts w:ascii="Tahoma" w:hAnsi="Tahoma" w:cs="Tahoma"/>
                <w:sz w:val="14"/>
                <w:szCs w:val="14"/>
                <w:lang w:val="pt-BR"/>
              </w:rPr>
              <w:t>SharePoint™ Server 2013</w:t>
            </w:r>
            <w:bookmarkEnd w:id="393"/>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394" w:name="_Toc336338041"/>
            <w:bookmarkStart w:id="395" w:name="_Toc342914676"/>
            <w:bookmarkEnd w:id="394"/>
            <w:r w:rsidRPr="00413E94">
              <w:rPr>
                <w:rFonts w:ascii="Tahoma" w:hAnsi="Tahoma" w:cs="Tahoma"/>
                <w:sz w:val="14"/>
                <w:szCs w:val="14"/>
                <w:lang w:val="pt-BR"/>
              </w:rPr>
              <w:t>CAL Empresarial do SharePoint™ Server 2013</w:t>
            </w:r>
            <w:bookmarkEnd w:id="395"/>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D</w:t>
            </w: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60"/>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396" w:name="_Toc336338044"/>
            <w:bookmarkStart w:id="397" w:name="_Toc342914677"/>
            <w:bookmarkEnd w:id="396"/>
            <w:r w:rsidRPr="00413E94">
              <w:rPr>
                <w:rFonts w:ascii="Tahoma" w:hAnsi="Tahoma" w:cs="Tahoma"/>
                <w:sz w:val="14"/>
                <w:szCs w:val="14"/>
                <w:lang w:val="pt-BR"/>
              </w:rPr>
              <w:t>CAL Padrão do SharePoint™ Server 2013</w:t>
            </w:r>
            <w:bookmarkEnd w:id="39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lang w:val="pt-BR"/>
              </w:rPr>
            </w:pPr>
            <w:bookmarkStart w:id="398" w:name="_Toc336338045"/>
            <w:bookmarkStart w:id="399" w:name="_Toc342914678"/>
            <w:bookmarkEnd w:id="398"/>
            <w:r w:rsidRPr="00413E94">
              <w:rPr>
                <w:rFonts w:ascii="Tahoma" w:hAnsi="Tahoma" w:cs="Tahoma"/>
                <w:position w:val="-6"/>
                <w:sz w:val="14"/>
                <w:szCs w:val="14"/>
                <w:lang w:val="pt-BR"/>
              </w:rPr>
              <w:t>Licença para um processador do 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Datacenter</w:t>
            </w:r>
            <w:bookmarkEnd w:id="399"/>
          </w:p>
        </w:tc>
        <w:tc>
          <w:tcPr>
            <w:tcW w:w="450" w:type="dxa"/>
            <w:shd w:val="clear" w:color="auto" w:fill="auto"/>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Srv_81SQLSvr08R2DataCenter" w:history="1">
              <w:r w:rsidRPr="00EB4D74">
                <w:rPr>
                  <w:rStyle w:val="Hyperlink"/>
                  <w:rFonts w:cs="Tahoma"/>
                  <w:b/>
                  <w:sz w:val="13"/>
                  <w:szCs w:val="13"/>
                </w:rPr>
                <w:t>70</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00" w:name="_Toc336338046"/>
            <w:bookmarkStart w:id="401" w:name="_Toc342914679"/>
            <w:bookmarkEnd w:id="400"/>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Parallel Data Warehouse</w:t>
            </w:r>
            <w:bookmarkEnd w:id="40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82SQL2008Paralleldata" w:history="1">
              <w:r w:rsidRPr="00EB4D74">
                <w:rPr>
                  <w:rStyle w:val="Hyperlink"/>
                  <w:rFonts w:cs="Tahoma"/>
                  <w:b/>
                  <w:sz w:val="13"/>
                  <w:szCs w:val="13"/>
                </w:rPr>
                <w:t>71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400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402" w:name="_Toc336338047"/>
            <w:bookmarkStart w:id="403" w:name="_Toc342914680"/>
            <w:bookmarkEnd w:id="402"/>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Parallel Data Warehouse Developer</w:t>
            </w:r>
            <w:bookmarkEnd w:id="403"/>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11/10</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position w:val="-6"/>
                <w:sz w:val="14"/>
                <w:szCs w:val="14"/>
                <w:vertAlign w:val="superscript"/>
                <w:lang w:val="pt-BR"/>
              </w:rPr>
            </w:pPr>
            <w:bookmarkStart w:id="404" w:name="_Toc336338048"/>
            <w:bookmarkStart w:id="405" w:name="_Toc342914681"/>
            <w:bookmarkEnd w:id="404"/>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Small Business</w:t>
            </w:r>
            <w:bookmarkEnd w:id="405"/>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83SQL2008R2Smallbiz" w:history="1">
              <w:r w:rsidRPr="00EB4D74">
                <w:rPr>
                  <w:rStyle w:val="Hyperlink"/>
                  <w:rFonts w:cs="Tahoma"/>
                  <w:b/>
                  <w:sz w:val="13"/>
                  <w:szCs w:val="13"/>
                </w:rPr>
                <w:t>72</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406" w:name="_Toc336338049"/>
            <w:bookmarkStart w:id="407" w:name="_Toc342914682"/>
            <w:bookmarkEnd w:id="406"/>
            <w:r w:rsidRPr="00413E94">
              <w:rPr>
                <w:rFonts w:ascii="Tahoma" w:hAnsi="Tahoma" w:cs="Tahoma"/>
                <w:position w:val="-6"/>
                <w:sz w:val="14"/>
                <w:szCs w:val="14"/>
                <w:lang w:val="pt-BR"/>
              </w:rPr>
              <w:t>CAL do 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Small Business</w:t>
            </w:r>
            <w:bookmarkEnd w:id="407"/>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08" w:name="_Toc336338050"/>
            <w:bookmarkStart w:id="409" w:name="_Toc342914683"/>
            <w:bookmarkEnd w:id="408"/>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Web por Processador</w:t>
            </w:r>
            <w:bookmarkEnd w:id="409"/>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84SQL2008R2Webproc" w:history="1">
              <w:r w:rsidRPr="00EB4D74">
                <w:rPr>
                  <w:rStyle w:val="Hyperlink"/>
                  <w:rFonts w:cs="Tahoma"/>
                  <w:b/>
                  <w:sz w:val="13"/>
                  <w:szCs w:val="13"/>
                </w:rPr>
                <w:t>73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auto"/>
            <w:vAlign w:val="center"/>
          </w:tcPr>
          <w:p w:rsidR="008B1196" w:rsidRPr="00413E94" w:rsidRDefault="008B1196" w:rsidP="00EA30FC">
            <w:pPr>
              <w:pStyle w:val="ProductNames"/>
              <w:spacing w:before="40" w:after="40"/>
              <w:rPr>
                <w:rFonts w:ascii="Tahoma" w:hAnsi="Tahoma" w:cs="Tahoma"/>
                <w:sz w:val="14"/>
                <w:szCs w:val="14"/>
              </w:rPr>
            </w:pPr>
            <w:bookmarkStart w:id="410" w:name="_Toc336338051"/>
            <w:bookmarkStart w:id="411" w:name="_Toc342914684"/>
            <w:bookmarkEnd w:id="410"/>
            <w:r w:rsidRPr="00413E94">
              <w:rPr>
                <w:rFonts w:ascii="Tahoma" w:hAnsi="Tahoma" w:cs="Tahoma"/>
                <w:position w:val="-6"/>
                <w:sz w:val="14"/>
                <w:szCs w:val="14"/>
                <w:lang w:val="pt-BR"/>
              </w:rPr>
              <w:t>CAL do 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Workgroup</w:t>
            </w:r>
            <w:bookmarkEnd w:id="411"/>
          </w:p>
        </w:tc>
        <w:tc>
          <w:tcPr>
            <w:tcW w:w="450" w:type="dxa"/>
            <w:shd w:val="clear" w:color="auto" w:fill="auto"/>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84SQL2008R2Webproc" w:history="1">
              <w:r w:rsidRPr="00EB4D74">
                <w:rPr>
                  <w:rStyle w:val="Hyperlink"/>
                  <w:rFonts w:cs="Tahoma"/>
                  <w:b/>
                  <w:sz w:val="13"/>
                  <w:szCs w:val="13"/>
                </w:rPr>
                <w:t>73</w:t>
              </w:r>
            </w:hyperlink>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auto"/>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12" w:name="_Toc336338052"/>
            <w:bookmarkStart w:id="413" w:name="_Toc342914685"/>
            <w:bookmarkEnd w:id="412"/>
            <w:r w:rsidRPr="00413E94">
              <w:rPr>
                <w:rFonts w:ascii="Tahoma" w:hAnsi="Tahoma" w:cs="Tahoma"/>
                <w:position w:val="-6"/>
                <w:sz w:val="14"/>
                <w:szCs w:val="14"/>
                <w:lang w:val="pt-BR"/>
              </w:rPr>
              <w:t>Licença para um Processador do 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2008 R2 Workgroup</w:t>
            </w:r>
            <w:bookmarkEnd w:id="413"/>
          </w:p>
        </w:tc>
        <w:bookmarkStart w:id="414" w:name="_Hlt336251145"/>
        <w:bookmarkStart w:id="415" w:name="_Hlt336251184"/>
        <w:bookmarkEnd w:id="414"/>
        <w:bookmarkEnd w:id="415"/>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r w:rsidRPr="00EB4D74">
              <w:rPr>
                <w:rFonts w:cs="Tahoma"/>
                <w:sz w:val="13"/>
                <w:szCs w:val="13"/>
              </w:rPr>
              <w:fldChar w:fldCharType="begin"/>
            </w:r>
            <w:r w:rsidRPr="00EB4D74">
              <w:rPr>
                <w:rFonts w:cs="Tahoma"/>
                <w:sz w:val="13"/>
                <w:szCs w:val="13"/>
              </w:rPr>
              <w:instrText xml:space="preserve"> HYPERLINK  \l "Srv_85SQL2008R2Workgroup5ClientAddon"</w:instrText>
            </w:r>
            <w:r w:rsidRPr="00EB4D74">
              <w:rPr>
                <w:rFonts w:cs="Tahoma"/>
                <w:sz w:val="13"/>
                <w:szCs w:val="13"/>
              </w:rPr>
              <w:fldChar w:fldCharType="separate"/>
            </w:r>
            <w:r w:rsidRPr="00EB4D74">
              <w:rPr>
                <w:rStyle w:val="Hyperlink"/>
                <w:rFonts w:cs="Tahoma"/>
                <w:b/>
                <w:sz w:val="13"/>
                <w:szCs w:val="13"/>
              </w:rPr>
              <w:t>74</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16" w:name="_Toc336338053"/>
            <w:bookmarkStart w:id="417" w:name="_Toc342914686"/>
            <w:bookmarkEnd w:id="416"/>
            <w:r w:rsidRPr="00413E94">
              <w:rPr>
                <w:rFonts w:ascii="Tahoma" w:hAnsi="Tahoma" w:cs="Tahoma"/>
                <w:sz w:val="14"/>
                <w:szCs w:val="14"/>
                <w:lang w:val="pt-BR"/>
              </w:rPr>
              <w:lastRenderedPageBreak/>
              <w:t>SQL Server</w:t>
            </w:r>
            <w:r w:rsidRPr="00413E94">
              <w:rPr>
                <w:rFonts w:ascii="Tahoma" w:hAnsi="Tahoma" w:cs="Tahoma"/>
                <w:sz w:val="14"/>
                <w:szCs w:val="14"/>
                <w:vertAlign w:val="superscript"/>
                <w:lang w:val="pt-BR"/>
              </w:rPr>
              <w:t>®</w:t>
            </w:r>
            <w:r w:rsidRPr="00413E94">
              <w:rPr>
                <w:rFonts w:ascii="Tahoma" w:hAnsi="Tahoma" w:cs="Tahoma"/>
                <w:sz w:val="14"/>
                <w:szCs w:val="14"/>
                <w:lang w:val="pt-BR"/>
              </w:rPr>
              <w:t xml:space="preserve"> 2008 R2 Workgroup (Complementar para 5 Clientes)</w:t>
            </w:r>
            <w:bookmarkEnd w:id="417"/>
          </w:p>
        </w:tc>
        <w:bookmarkStart w:id="418" w:name="_Hlt336249754"/>
        <w:bookmarkStart w:id="419" w:name="_Hlt336251139"/>
        <w:bookmarkStart w:id="420" w:name="_Hlt336251161"/>
        <w:bookmarkEnd w:id="418"/>
        <w:bookmarkEnd w:id="419"/>
        <w:bookmarkEnd w:id="420"/>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r w:rsidRPr="00EB4D74">
              <w:rPr>
                <w:rFonts w:cs="Tahoma"/>
                <w:sz w:val="13"/>
                <w:szCs w:val="13"/>
              </w:rPr>
              <w:fldChar w:fldCharType="begin"/>
            </w:r>
            <w:r w:rsidRPr="00EB4D74">
              <w:rPr>
                <w:rFonts w:cs="Tahoma"/>
                <w:sz w:val="13"/>
                <w:szCs w:val="13"/>
              </w:rPr>
              <w:instrText>HYPERLINK  \l "_75_SQL_Server®"</w:instrText>
            </w:r>
            <w:r w:rsidRPr="00EB4D74">
              <w:rPr>
                <w:rFonts w:cs="Tahoma"/>
                <w:sz w:val="13"/>
                <w:szCs w:val="13"/>
              </w:rPr>
              <w:fldChar w:fldCharType="separate"/>
            </w:r>
            <w:r w:rsidRPr="00EB4D74">
              <w:rPr>
                <w:rStyle w:val="Hyperlink"/>
                <w:rFonts w:cs="Tahoma"/>
                <w:b/>
                <w:sz w:val="13"/>
                <w:szCs w:val="13"/>
              </w:rPr>
              <w:t>75</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21" w:name="_Toc336338054"/>
            <w:bookmarkStart w:id="422" w:name="_Toc342914687"/>
            <w:bookmarkEnd w:id="421"/>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2012 Business Intelligence</w:t>
            </w:r>
            <w:bookmarkEnd w:id="422"/>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u w:val="single"/>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75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38</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75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75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lang w:val="it-IT"/>
              </w:rPr>
            </w:pPr>
            <w:bookmarkStart w:id="423" w:name="_Toc336338055"/>
            <w:bookmarkStart w:id="424" w:name="_Toc342914688"/>
            <w:bookmarkEnd w:id="423"/>
            <w:r w:rsidRPr="00413E94">
              <w:rPr>
                <w:rFonts w:ascii="Tahoma" w:hAnsi="Tahoma" w:cs="Tahoma"/>
                <w:position w:val="-6"/>
                <w:sz w:val="14"/>
                <w:szCs w:val="14"/>
                <w:lang w:val="pt-BR"/>
              </w:rPr>
              <w:t>CAL do 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2012 (SL de Dispositivo e Usuário)</w:t>
            </w:r>
            <w:bookmarkEnd w:id="424"/>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lang w:val="it-IT"/>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A,S,D</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60"/>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25" w:name="_Toc336338056"/>
            <w:bookmarkStart w:id="426" w:name="_Toc342914689"/>
            <w:bookmarkEnd w:id="425"/>
            <w:r w:rsidRPr="00413E94">
              <w:rPr>
                <w:rFonts w:ascii="Tahoma" w:hAnsi="Tahoma" w:cs="Tahoma"/>
                <w:position w:val="-6"/>
                <w:sz w:val="14"/>
                <w:szCs w:val="14"/>
                <w:lang w:val="pt-BR"/>
              </w:rPr>
              <w:t>SQL Server</w:t>
            </w:r>
            <w:r w:rsidRPr="00413E94">
              <w:rPr>
                <w:rFonts w:ascii="Tahoma" w:hAnsi="Tahoma" w:cs="Tahoma"/>
                <w:color w:val="000000"/>
                <w:position w:val="-6"/>
                <w:sz w:val="14"/>
                <w:szCs w:val="14"/>
                <w:vertAlign w:val="superscript"/>
                <w:lang w:val="pt-BR"/>
              </w:rPr>
              <w:t>®</w:t>
            </w:r>
            <w:r w:rsidRPr="00413E94">
              <w:rPr>
                <w:rFonts w:ascii="Tahoma" w:hAnsi="Tahoma" w:cs="Tahoma"/>
                <w:position w:val="-6"/>
                <w:sz w:val="14"/>
                <w:szCs w:val="14"/>
                <w:lang w:val="pt-BR"/>
              </w:rPr>
              <w:t xml:space="preserve"> 2012 Developer</w:t>
            </w:r>
            <w:bookmarkEnd w:id="426"/>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87SQLServer2012Developer" w:history="1">
              <w:r w:rsidRPr="00EB4D74">
                <w:rPr>
                  <w:rStyle w:val="Hyperlink"/>
                  <w:rFonts w:cs="Tahoma"/>
                  <w:b/>
                  <w:sz w:val="13"/>
                  <w:szCs w:val="13"/>
                </w:rPr>
                <w:t>76</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27" w:name="_Toc336338057"/>
            <w:bookmarkStart w:id="428" w:name="_Toc342914690"/>
            <w:bookmarkEnd w:id="427"/>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2012 Enterprise</w:t>
            </w:r>
            <w:bookmarkEnd w:id="428"/>
          </w:p>
        </w:tc>
        <w:bookmarkStart w:id="429" w:name="_Hlt336251217"/>
        <w:bookmarkEnd w:id="429"/>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r w:rsidRPr="00EB4D74">
              <w:rPr>
                <w:rFonts w:cs="Tahoma"/>
                <w:sz w:val="13"/>
                <w:szCs w:val="13"/>
              </w:rPr>
              <w:fldChar w:fldCharType="begin"/>
            </w:r>
            <w:r w:rsidRPr="00EB4D74">
              <w:rPr>
                <w:rFonts w:cs="Tahoma"/>
                <w:sz w:val="13"/>
                <w:szCs w:val="13"/>
              </w:rPr>
              <w:instrText xml:space="preserve"> HYPERLINK  \l "Srv_88SQLServer2012Enterprise"</w:instrText>
            </w:r>
            <w:r w:rsidRPr="00EB4D74">
              <w:rPr>
                <w:rFonts w:cs="Tahoma"/>
                <w:sz w:val="13"/>
                <w:szCs w:val="13"/>
              </w:rPr>
              <w:fldChar w:fldCharType="separate"/>
            </w:r>
            <w:r w:rsidRPr="00EB4D74">
              <w:rPr>
                <w:rStyle w:val="Hyperlink"/>
                <w:rFonts w:cs="Tahoma"/>
                <w:b/>
                <w:sz w:val="13"/>
                <w:szCs w:val="13"/>
              </w:rPr>
              <w:t>77</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30" w:name="_Toc336338058"/>
            <w:bookmarkStart w:id="431" w:name="_Toc342914691"/>
            <w:bookmarkEnd w:id="430"/>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2012 Enterprise Core (duas Licenças Principais de pacote)</w:t>
            </w:r>
            <w:bookmarkEnd w:id="431"/>
          </w:p>
        </w:tc>
        <w:bookmarkStart w:id="432" w:name="_Hlt336251224"/>
        <w:bookmarkEnd w:id="432"/>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"Srv_89SQLServer2012EnterpriseCore"</w:instrText>
            </w:r>
            <w:r w:rsidRPr="00EB4D74">
              <w:rPr>
                <w:rFonts w:cs="Tahoma"/>
                <w:sz w:val="13"/>
                <w:szCs w:val="13"/>
              </w:rPr>
              <w:fldChar w:fldCharType="separate"/>
            </w:r>
            <w:r w:rsidRPr="00EB4D74">
              <w:rPr>
                <w:rStyle w:val="Hyperlink"/>
                <w:rFonts w:cs="Tahoma"/>
                <w:b/>
                <w:sz w:val="13"/>
                <w:szCs w:val="13"/>
              </w:rPr>
              <w:t>78</w:t>
            </w:r>
            <w:r w:rsidRPr="00EB4D74">
              <w:rPr>
                <w:rFonts w:cs="Tahoma"/>
                <w:sz w:val="13"/>
                <w:szCs w:val="13"/>
              </w:rPr>
              <w:fldChar w:fldCharType="end"/>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33" w:name="_Toc336338059"/>
            <w:bookmarkStart w:id="434" w:name="_Toc342914692"/>
            <w:bookmarkEnd w:id="433"/>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2012 Standard</w:t>
            </w:r>
            <w:bookmarkEnd w:id="434"/>
          </w:p>
        </w:tc>
        <w:bookmarkStart w:id="435" w:name="_Hlt336251233"/>
        <w:bookmarkEnd w:id="435"/>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"Srv_90SQLServer2012Standard"</w:instrText>
            </w:r>
            <w:r w:rsidRPr="00EB4D74">
              <w:rPr>
                <w:rFonts w:cs="Tahoma"/>
                <w:sz w:val="13"/>
                <w:szCs w:val="13"/>
              </w:rPr>
              <w:fldChar w:fldCharType="separate"/>
            </w:r>
            <w:r w:rsidRPr="00EB4D74">
              <w:rPr>
                <w:rStyle w:val="Hyperlink"/>
                <w:rFonts w:cs="Tahoma"/>
                <w:b/>
                <w:sz w:val="13"/>
                <w:szCs w:val="13"/>
              </w:rPr>
              <w:t>79</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36" w:name="_Toc336338060"/>
            <w:bookmarkStart w:id="437" w:name="_Toc342914693"/>
            <w:bookmarkEnd w:id="436"/>
            <w:r w:rsidRPr="00413E94">
              <w:rPr>
                <w:rFonts w:ascii="Tahoma" w:hAnsi="Tahoma" w:cs="Tahoma"/>
                <w:position w:val="-6"/>
                <w:sz w:val="14"/>
                <w:szCs w:val="14"/>
                <w:lang w:val="pt-BR"/>
              </w:rPr>
              <w:t>SQL Server</w:t>
            </w:r>
            <w:r w:rsidRPr="00413E94">
              <w:rPr>
                <w:rFonts w:ascii="Tahoma" w:hAnsi="Tahoma" w:cs="Tahoma"/>
                <w:position w:val="-6"/>
                <w:sz w:val="14"/>
                <w:szCs w:val="14"/>
                <w:vertAlign w:val="superscript"/>
                <w:lang w:val="pt-BR"/>
              </w:rPr>
              <w:t>®</w:t>
            </w:r>
            <w:r w:rsidRPr="00413E94">
              <w:rPr>
                <w:rFonts w:ascii="Tahoma" w:hAnsi="Tahoma" w:cs="Tahoma"/>
                <w:position w:val="-6"/>
                <w:sz w:val="14"/>
                <w:szCs w:val="14"/>
                <w:lang w:val="pt-BR"/>
              </w:rPr>
              <w:t xml:space="preserve"> 2012 Standard Core (duas Licenças Principais de pacote)</w:t>
            </w:r>
            <w:bookmarkEnd w:id="437"/>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91SQLServer2012StandardCore" w:history="1">
              <w:r w:rsidRPr="00EB4D74">
                <w:rPr>
                  <w:rStyle w:val="Hyperlink"/>
                  <w:rFonts w:cs="Tahoma"/>
                  <w:b/>
                  <w:sz w:val="13"/>
                  <w:szCs w:val="13"/>
                </w:rPr>
                <w:t>80</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38" w:name="_Toc336338061"/>
            <w:bookmarkStart w:id="439" w:name="_Toc342914694"/>
            <w:bookmarkEnd w:id="438"/>
            <w:r w:rsidRPr="00413E94">
              <w:rPr>
                <w:rFonts w:ascii="Tahoma" w:hAnsi="Tahoma" w:cs="Tahoma"/>
                <w:sz w:val="14"/>
                <w:szCs w:val="14"/>
                <w:lang w:val="pt-BR"/>
              </w:rPr>
              <w:t>System Center Configuration Manager 2007 R3</w:t>
            </w:r>
            <w:bookmarkEnd w:id="439"/>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hyperlink w:anchor="Srv_76SysCtrConfigMgr07R2" w:history="1">
              <w:r w:rsidRPr="00EB4D74">
                <w:rPr>
                  <w:rStyle w:val="Hyperlink"/>
                  <w:rFonts w:cs="Tahoma"/>
                  <w:b/>
                  <w:sz w:val="13"/>
                  <w:szCs w:val="13"/>
                </w:rPr>
                <w:t>81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40" w:name="_Toc336338062"/>
            <w:bookmarkStart w:id="441" w:name="_Toc342914695"/>
            <w:bookmarkEnd w:id="440"/>
            <w:r w:rsidRPr="00413E94">
              <w:rPr>
                <w:rFonts w:ascii="Tahoma" w:hAnsi="Tahoma" w:cs="Tahoma"/>
                <w:sz w:val="14"/>
                <w:szCs w:val="14"/>
                <w:lang w:val="pt-BR"/>
              </w:rPr>
              <w:t>Licença de Gerenciamento de Servidor Enterprise do System Center Configuration Manager 2007 R3</w:t>
            </w:r>
            <w:bookmarkEnd w:id="441"/>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11/10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42" w:name="_Toc336338063"/>
            <w:bookmarkStart w:id="443" w:name="_Toc342914696"/>
            <w:bookmarkEnd w:id="442"/>
            <w:r w:rsidRPr="00413E94">
              <w:rPr>
                <w:rFonts w:ascii="Tahoma" w:hAnsi="Tahoma" w:cs="Tahoma"/>
                <w:sz w:val="14"/>
                <w:szCs w:val="14"/>
                <w:lang w:val="pt-BR"/>
              </w:rPr>
              <w:t>Licença de Gerenciamento de Servidor Standard (ML de Servidor Standard) do System Center Configuration Manager 2007 R3)</w:t>
            </w:r>
            <w:bookmarkEnd w:id="443"/>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11/10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44" w:name="_Toc336338064"/>
            <w:bookmarkStart w:id="445" w:name="_Toc342914697"/>
            <w:bookmarkEnd w:id="444"/>
            <w:r w:rsidRPr="00413E94">
              <w:rPr>
                <w:rFonts w:ascii="Tahoma" w:hAnsi="Tahoma" w:cs="Tahoma"/>
                <w:sz w:val="14"/>
                <w:szCs w:val="14"/>
                <w:lang w:val="pt-BR"/>
              </w:rPr>
              <w:t>System Center Configuration Manager 2007 R3 com Tecnologia SQL Server 2008</w:t>
            </w:r>
            <w:bookmarkEnd w:id="445"/>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11/10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46" w:name="_Toc257333901"/>
            <w:bookmarkStart w:id="447" w:name="_Toc336338065"/>
            <w:bookmarkStart w:id="448" w:name="_Toc342914698"/>
            <w:bookmarkEnd w:id="446"/>
            <w:bookmarkEnd w:id="447"/>
            <w:r w:rsidRPr="00413E94">
              <w:rPr>
                <w:rFonts w:ascii="Tahoma" w:hAnsi="Tahoma" w:cs="Tahoma"/>
                <w:sz w:val="14"/>
                <w:szCs w:val="14"/>
                <w:lang w:val="pt-BR"/>
              </w:rPr>
              <w:t>Licença de Gerenciamento de Cliente do System Center Data Protection Manager 2010 por Usuário</w:t>
            </w:r>
            <w:bookmarkEnd w:id="448"/>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Srv_94SystemsCenterDataProEtal" w:history="1">
              <w:r w:rsidRPr="00EB4D74">
                <w:rPr>
                  <w:rStyle w:val="Hyperlink"/>
                  <w:rFonts w:cs="Tahoma"/>
                  <w:b/>
                  <w:sz w:val="13"/>
                  <w:szCs w:val="13"/>
                </w:rPr>
                <w:t>82</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06/10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49" w:name="_Toc257333902"/>
            <w:bookmarkStart w:id="450" w:name="_Toc336338066"/>
            <w:bookmarkStart w:id="451" w:name="_Toc342914699"/>
            <w:bookmarkEnd w:id="449"/>
            <w:bookmarkEnd w:id="450"/>
            <w:r w:rsidRPr="00413E94">
              <w:rPr>
                <w:rFonts w:ascii="Tahoma" w:hAnsi="Tahoma" w:cs="Tahoma"/>
                <w:sz w:val="14"/>
                <w:szCs w:val="14"/>
                <w:lang w:val="pt-BR"/>
              </w:rPr>
              <w:t>Licença de Gerenciamento de Cliente do System Center Data Protection Manager 2010 por OSE</w:t>
            </w:r>
            <w:bookmarkEnd w:id="451"/>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06/10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AO, 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52" w:name="_Toc257333903"/>
            <w:bookmarkStart w:id="453" w:name="_Toc336338067"/>
            <w:bookmarkStart w:id="454" w:name="_Toc342914700"/>
            <w:bookmarkEnd w:id="452"/>
            <w:bookmarkEnd w:id="453"/>
            <w:r w:rsidRPr="00413E94">
              <w:rPr>
                <w:rFonts w:ascii="Tahoma" w:hAnsi="Tahoma" w:cs="Tahoma"/>
                <w:sz w:val="14"/>
                <w:szCs w:val="14"/>
                <w:lang w:val="pt-BR"/>
              </w:rPr>
              <w:t>Licença de Gerenciamento de Servidor Enterprise do System Center Data Protection Manager 2010</w:t>
            </w:r>
            <w:bookmarkEnd w:id="454"/>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06/10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55" w:name="_Toc257333904"/>
            <w:bookmarkStart w:id="456" w:name="_Toc336338068"/>
            <w:bookmarkStart w:id="457" w:name="_Toc342914701"/>
            <w:bookmarkEnd w:id="455"/>
            <w:bookmarkEnd w:id="456"/>
            <w:r w:rsidRPr="00413E94">
              <w:rPr>
                <w:rFonts w:ascii="Tahoma" w:hAnsi="Tahoma" w:cs="Tahoma"/>
                <w:sz w:val="14"/>
                <w:szCs w:val="14"/>
                <w:lang w:val="pt-BR"/>
              </w:rPr>
              <w:t>Licença de Gerenciamento de Servidor Standard do System Center Data Protection Manager 2010</w:t>
            </w:r>
            <w:bookmarkEnd w:id="457"/>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06/10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AO, 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58" w:name="_Toc336338069"/>
            <w:bookmarkStart w:id="459" w:name="_Toc257333905"/>
            <w:bookmarkStart w:id="460" w:name="_Toc342914702"/>
            <w:bookmarkEnd w:id="458"/>
            <w:bookmarkEnd w:id="459"/>
            <w:r w:rsidRPr="00413E94">
              <w:rPr>
                <w:rFonts w:ascii="Tahoma" w:hAnsi="Tahoma" w:cs="Tahoma"/>
                <w:sz w:val="14"/>
                <w:szCs w:val="14"/>
                <w:lang w:val="pt-BR"/>
              </w:rPr>
              <w:t>System Center Essentials 2010</w:t>
            </w:r>
            <w:bookmarkEnd w:id="460"/>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Srv_79SystemCenterEssentials07" w:history="1">
              <w:r w:rsidRPr="00EB4D74">
                <w:rPr>
                  <w:rStyle w:val="Hyperlink"/>
                  <w:rFonts w:cs="Tahoma"/>
                  <w:b/>
                  <w:sz w:val="13"/>
                  <w:szCs w:val="13"/>
                </w:rPr>
                <w:t>83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04/10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cantSplit/>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61" w:name="_Toc257333906"/>
            <w:bookmarkStart w:id="462" w:name="_Toc336338070"/>
            <w:bookmarkStart w:id="463" w:name="_Toc342914703"/>
            <w:bookmarkEnd w:id="461"/>
            <w:bookmarkEnd w:id="462"/>
            <w:r w:rsidRPr="00413E94">
              <w:rPr>
                <w:rFonts w:ascii="Tahoma" w:hAnsi="Tahoma" w:cs="Tahoma"/>
                <w:sz w:val="14"/>
                <w:szCs w:val="14"/>
                <w:lang w:val="pt-BR"/>
              </w:rPr>
              <w:t>ML de Cliente do System Center Essentials 2010</w:t>
            </w:r>
            <w:bookmarkEnd w:id="463"/>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04/10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64" w:name="_Toc257333908"/>
            <w:bookmarkStart w:id="465" w:name="_Toc336338071"/>
            <w:bookmarkStart w:id="466" w:name="_Toc342914704"/>
            <w:bookmarkEnd w:id="464"/>
            <w:bookmarkEnd w:id="465"/>
            <w:r w:rsidRPr="00413E94">
              <w:rPr>
                <w:rFonts w:ascii="Tahoma" w:hAnsi="Tahoma" w:cs="Tahoma"/>
                <w:sz w:val="14"/>
                <w:szCs w:val="14"/>
                <w:lang w:val="pt-BR"/>
              </w:rPr>
              <w:t>ML de Servidor do System Center Essentials 2010</w:t>
            </w:r>
            <w:bookmarkEnd w:id="466"/>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04/10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cantSplit/>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67" w:name="_Toc336338072"/>
            <w:bookmarkStart w:id="468" w:name="_Toc257333910"/>
            <w:bookmarkStart w:id="469" w:name="_Toc342914705"/>
            <w:bookmarkEnd w:id="467"/>
            <w:bookmarkEnd w:id="468"/>
            <w:r w:rsidRPr="00413E94">
              <w:rPr>
                <w:rFonts w:ascii="Tahoma" w:hAnsi="Tahoma" w:cs="Tahoma"/>
                <w:sz w:val="14"/>
                <w:szCs w:val="14"/>
                <w:lang w:val="pt-BR"/>
              </w:rPr>
              <w:t>System Center Essentials 2010 com Tecnologia SQL Server 2008</w:t>
            </w:r>
            <w:bookmarkEnd w:id="469"/>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04/10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70" w:name="_Toc336338073"/>
            <w:bookmarkStart w:id="471" w:name="_Toc342914706"/>
            <w:bookmarkEnd w:id="470"/>
            <w:r w:rsidRPr="00413E94">
              <w:rPr>
                <w:rFonts w:ascii="Tahoma" w:hAnsi="Tahoma" w:cs="Tahoma"/>
                <w:sz w:val="14"/>
                <w:szCs w:val="14"/>
                <w:lang w:val="pt-BR"/>
              </w:rPr>
              <w:t>Management License Suite do System Center Essentials Plus 2010 Client</w:t>
            </w:r>
            <w:bookmarkEnd w:id="47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P</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cantSplit/>
          <w:trHeight w:val="145"/>
        </w:trPr>
        <w:tc>
          <w:tcPr>
            <w:tcW w:w="2714" w:type="dxa"/>
            <w:shd w:val="clear" w:color="auto" w:fill="FFFFFF"/>
            <w:vAlign w:val="center"/>
          </w:tcPr>
          <w:p w:rsidR="008B1196" w:rsidRPr="00413E94" w:rsidRDefault="008B1196" w:rsidP="00EA30FC">
            <w:pPr>
              <w:pStyle w:val="ProductNames"/>
              <w:spacing w:before="40" w:after="40"/>
              <w:rPr>
                <w:rFonts w:ascii="Tahoma" w:hAnsi="Tahoma" w:cs="Tahoma"/>
                <w:sz w:val="14"/>
                <w:szCs w:val="14"/>
              </w:rPr>
            </w:pPr>
            <w:bookmarkStart w:id="472" w:name="_Toc336338074"/>
            <w:bookmarkStart w:id="473" w:name="_Toc342914707"/>
            <w:bookmarkEnd w:id="472"/>
            <w:r w:rsidRPr="00413E94">
              <w:rPr>
                <w:rFonts w:ascii="Tahoma" w:hAnsi="Tahoma" w:cs="Tahoma"/>
                <w:sz w:val="14"/>
                <w:szCs w:val="14"/>
                <w:lang w:val="pt-BR"/>
              </w:rPr>
              <w:t>Management License Suite do System Center Essentials Plus 2010 Server</w:t>
            </w:r>
            <w:bookmarkEnd w:id="473"/>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P</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74" w:name="_Toc272832015"/>
            <w:bookmarkStart w:id="475" w:name="_Toc336338075"/>
            <w:bookmarkStart w:id="476" w:name="_Toc342914708"/>
            <w:bookmarkEnd w:id="474"/>
            <w:bookmarkEnd w:id="475"/>
            <w:r w:rsidRPr="00413E94">
              <w:rPr>
                <w:rFonts w:ascii="Tahoma" w:hAnsi="Tahoma" w:cs="Tahoma"/>
                <w:sz w:val="14"/>
                <w:szCs w:val="14"/>
                <w:lang w:val="pt-BR"/>
              </w:rPr>
              <w:t>System Center Operations Manager 2007 R2</w:t>
            </w:r>
            <w:bookmarkEnd w:id="476"/>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_84_System_Center" w:history="1">
              <w:r w:rsidRPr="00EB4D74">
                <w:rPr>
                  <w:rStyle w:val="Hyperlink"/>
                  <w:rFonts w:cs="Tahoma"/>
                  <w:b/>
                  <w:sz w:val="13"/>
                  <w:szCs w:val="13"/>
                </w:rPr>
                <w:t>84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477" w:name="_Toc272832016"/>
            <w:bookmarkStart w:id="478" w:name="_Toc336338076"/>
            <w:bookmarkStart w:id="479" w:name="_Toc342914709"/>
            <w:bookmarkEnd w:id="477"/>
            <w:bookmarkEnd w:id="478"/>
            <w:r w:rsidRPr="00413E94">
              <w:rPr>
                <w:rFonts w:ascii="Tahoma" w:hAnsi="Tahoma" w:cs="Tahoma"/>
                <w:sz w:val="14"/>
                <w:szCs w:val="14"/>
                <w:lang w:val="pt-BR"/>
              </w:rPr>
              <w:t>System Center Operations Manager 2007 R2 com Tecnologia SQL Server 2008</w:t>
            </w:r>
            <w:bookmarkEnd w:id="479"/>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07/09</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25</w:t>
            </w: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25</w:t>
            </w: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80" w:name="_Toc336338077"/>
            <w:bookmarkStart w:id="481" w:name="_Toc342914710"/>
            <w:bookmarkEnd w:id="480"/>
            <w:r w:rsidRPr="00413E94">
              <w:rPr>
                <w:rFonts w:ascii="Tahoma" w:hAnsi="Tahoma" w:cs="Tahoma"/>
                <w:sz w:val="14"/>
                <w:szCs w:val="14"/>
                <w:lang w:val="pt-BR"/>
              </w:rPr>
              <w:t>Licença de Gerenciamento de Servidor Standard do System Center Operations Manager 2007 R2</w:t>
            </w:r>
            <w:bookmarkEnd w:id="48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482" w:name="_Toc336338078"/>
            <w:bookmarkStart w:id="483" w:name="_Toc342914711"/>
            <w:bookmarkEnd w:id="482"/>
            <w:r w:rsidRPr="00413E94">
              <w:rPr>
                <w:rFonts w:ascii="Tahoma" w:hAnsi="Tahoma" w:cs="Tahoma"/>
                <w:sz w:val="14"/>
                <w:szCs w:val="14"/>
                <w:lang w:val="pt-BR"/>
              </w:rPr>
              <w:t>Licença de Gerenciamento de Servidor Enterprise do System Center Operations Manager 2007 R2</w:t>
            </w:r>
            <w:bookmarkEnd w:id="483"/>
          </w:p>
        </w:tc>
        <w:tc>
          <w:tcPr>
            <w:tcW w:w="450" w:type="dxa"/>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07/09</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5</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84" w:name="_Toc336338079"/>
            <w:bookmarkStart w:id="485" w:name="_Toc342914712"/>
            <w:bookmarkEnd w:id="484"/>
            <w:r w:rsidRPr="00413E94">
              <w:rPr>
                <w:rFonts w:ascii="Tahoma" w:hAnsi="Tahoma" w:cs="Tahoma"/>
                <w:sz w:val="14"/>
                <w:szCs w:val="14"/>
                <w:lang w:val="pt-BR"/>
              </w:rPr>
              <w:t>Licença de Gerenciamento de Cliente do System Center Operations Manager 2007 R2 por OSE</w:t>
            </w:r>
            <w:bookmarkEnd w:id="485"/>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07/09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bl>
    <w:p w:rsidR="008B1196" w:rsidRDefault="008B1196" w:rsidP="008B1196">
      <w:bookmarkStart w:id="486" w:name="_Toc336338080"/>
      <w:bookmarkStart w:id="487" w:name="_Toc342914713"/>
      <w:bookmarkEnd w:id="486"/>
      <w:r>
        <w:br w:type="page"/>
      </w: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360"/>
        <w:gridCol w:w="378"/>
        <w:gridCol w:w="459"/>
        <w:gridCol w:w="396"/>
        <w:gridCol w:w="702"/>
        <w:gridCol w:w="495"/>
      </w:tblGrid>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r w:rsidRPr="00413E94">
              <w:rPr>
                <w:rFonts w:ascii="Tahoma" w:hAnsi="Tahoma" w:cs="Tahoma"/>
                <w:sz w:val="14"/>
                <w:szCs w:val="14"/>
                <w:lang w:val="pt-BR"/>
              </w:rPr>
              <w:lastRenderedPageBreak/>
              <w:t>Licença de Gerenciamento de Cliente do System Center Operations Manager 2007 R2 por Usuário</w:t>
            </w:r>
            <w:bookmarkEnd w:id="487"/>
          </w:p>
        </w:tc>
        <w:tc>
          <w:tcPr>
            <w:tcW w:w="450" w:type="dxa"/>
            <w:vAlign w:val="center"/>
          </w:tcPr>
          <w:p w:rsidR="008B1196" w:rsidRPr="00EB4D74" w:rsidRDefault="008B1196" w:rsidP="00EA30FC">
            <w:pPr>
              <w:pStyle w:val="TableText"/>
              <w:widowControl w:val="0"/>
              <w:spacing w:before="40" w:after="40"/>
              <w:rPr>
                <w:rStyle w:val="EndnoteReference"/>
                <w:rFonts w:cs="Tahoma"/>
                <w:color w:val="000000"/>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07/09</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rPr>
            </w:pPr>
          </w:p>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488" w:name="_Toc336338081"/>
            <w:bookmarkStart w:id="489" w:name="_Toc342914714"/>
            <w:bookmarkEnd w:id="488"/>
            <w:r w:rsidRPr="00413E94">
              <w:rPr>
                <w:rFonts w:ascii="Tahoma" w:hAnsi="Tahoma" w:cs="Tahoma"/>
                <w:sz w:val="14"/>
                <w:szCs w:val="14"/>
                <w:lang w:val="pt-BR"/>
              </w:rPr>
              <w:t>System Center Reporting Manager 2006</w:t>
            </w:r>
            <w:bookmarkEnd w:id="489"/>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Srv_88SystemCtrReportMgr2006" w:history="1">
              <w:r w:rsidRPr="00EB4D74">
                <w:rPr>
                  <w:rStyle w:val="Hyperlink"/>
                  <w:rFonts w:cs="Tahoma"/>
                  <w:b/>
                  <w:sz w:val="13"/>
                  <w:szCs w:val="13"/>
                </w:rPr>
                <w:t>85</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490" w:name="_Toc336338082"/>
            <w:bookmarkStart w:id="491" w:name="_Toc342914715"/>
            <w:bookmarkEnd w:id="490"/>
            <w:r w:rsidRPr="00413E94">
              <w:rPr>
                <w:rFonts w:ascii="Tahoma" w:hAnsi="Tahoma" w:cs="Tahoma"/>
                <w:sz w:val="14"/>
                <w:szCs w:val="14"/>
                <w:lang w:val="pt-BR"/>
              </w:rPr>
              <w:t>System Center Server Management Suite Enterprise</w:t>
            </w:r>
            <w:bookmarkEnd w:id="491"/>
          </w:p>
        </w:tc>
        <w:tc>
          <w:tcPr>
            <w:tcW w:w="450" w:type="dxa"/>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98_System_Center" w:history="1">
              <w:r w:rsidRPr="00EB4D74">
                <w:rPr>
                  <w:rStyle w:val="Hyperlink"/>
                  <w:rFonts w:cs="Tahoma"/>
                  <w:b/>
                  <w:sz w:val="13"/>
                  <w:szCs w:val="13"/>
                </w:rPr>
                <w:t>86</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10/07</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4"/>
              <w:spacing w:before="40" w:after="40"/>
              <w:ind w:left="0" w:firstLine="0"/>
              <w:rPr>
                <w:rFonts w:ascii="Tahoma" w:hAnsi="Tahoma" w:cs="Tahoma"/>
                <w:b w:val="0"/>
                <w:sz w:val="14"/>
                <w:szCs w:val="14"/>
              </w:rPr>
            </w:pPr>
            <w:bookmarkStart w:id="492" w:name="_Toc336338083"/>
            <w:bookmarkStart w:id="493" w:name="_Toc342914716"/>
            <w:bookmarkEnd w:id="492"/>
            <w:r w:rsidRPr="00413E94">
              <w:rPr>
                <w:rFonts w:ascii="Tahoma" w:hAnsi="Tahoma" w:cs="Tahoma"/>
                <w:b w:val="0"/>
                <w:sz w:val="14"/>
                <w:szCs w:val="14"/>
                <w:lang w:val="pt-BR"/>
              </w:rPr>
              <w:t>System Center Server Management Suite Datacenter</w:t>
            </w:r>
            <w:bookmarkEnd w:id="493"/>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Srv_90SysCtrSvrMgmtSuiteDatacenter" w:history="1">
              <w:r w:rsidRPr="00EB4D74">
                <w:rPr>
                  <w:rStyle w:val="Hyperlink"/>
                  <w:rFonts w:cs="Tahoma"/>
                  <w:b/>
                  <w:sz w:val="13"/>
                  <w:szCs w:val="13"/>
                </w:rPr>
                <w:t>87</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07/09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Heading3"/>
              <w:spacing w:before="40" w:after="40"/>
              <w:rPr>
                <w:rFonts w:ascii="Tahoma" w:hAnsi="Tahoma" w:cs="Tahoma"/>
                <w:b w:val="0"/>
                <w:sz w:val="14"/>
                <w:szCs w:val="14"/>
              </w:rPr>
            </w:pPr>
            <w:bookmarkStart w:id="494" w:name="_Toc336338084"/>
            <w:bookmarkStart w:id="495" w:name="_Toc342914717"/>
            <w:bookmarkEnd w:id="494"/>
            <w:r w:rsidRPr="00413E94">
              <w:rPr>
                <w:rFonts w:ascii="Tahoma" w:hAnsi="Tahoma" w:cs="Tahoma"/>
                <w:b w:val="0"/>
                <w:sz w:val="14"/>
                <w:szCs w:val="14"/>
                <w:lang w:val="pt-BR"/>
              </w:rPr>
              <w:t>System Center Service Manager 2010</w:t>
            </w:r>
            <w:bookmarkEnd w:id="495"/>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Srv_99SystemCtrServiceMgr2010" w:history="1">
              <w:r w:rsidRPr="00EB4D74">
                <w:rPr>
                  <w:rStyle w:val="Hyperlink"/>
                  <w:rFonts w:cs="Tahoma"/>
                  <w:b/>
                  <w:sz w:val="13"/>
                  <w:szCs w:val="13"/>
                </w:rPr>
                <w:t>88</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3"/>
              <w:spacing w:before="40" w:after="40"/>
              <w:rPr>
                <w:rFonts w:ascii="Tahoma" w:hAnsi="Tahoma" w:cs="Tahoma"/>
                <w:b w:val="0"/>
                <w:sz w:val="14"/>
                <w:szCs w:val="14"/>
              </w:rPr>
            </w:pPr>
            <w:bookmarkStart w:id="496" w:name="_Toc336338085"/>
            <w:bookmarkStart w:id="497" w:name="_Toc342914718"/>
            <w:bookmarkEnd w:id="496"/>
            <w:r w:rsidRPr="00413E94">
              <w:rPr>
                <w:rFonts w:ascii="Tahoma" w:hAnsi="Tahoma" w:cs="Tahoma"/>
                <w:b w:val="0"/>
                <w:sz w:val="14"/>
                <w:szCs w:val="14"/>
                <w:lang w:val="pt-BR"/>
              </w:rPr>
              <w:t>System Center Service Manager 2010 com Tecnologia SQL Server 2008</w:t>
            </w:r>
            <w:bookmarkEnd w:id="49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Heading3"/>
              <w:spacing w:before="40" w:after="40"/>
              <w:rPr>
                <w:rFonts w:ascii="Tahoma" w:hAnsi="Tahoma" w:cs="Tahoma"/>
                <w:b w:val="0"/>
                <w:sz w:val="14"/>
                <w:szCs w:val="14"/>
              </w:rPr>
            </w:pPr>
            <w:bookmarkStart w:id="498" w:name="_Toc336338086"/>
            <w:bookmarkStart w:id="499" w:name="_Toc342914719"/>
            <w:bookmarkEnd w:id="498"/>
            <w:r w:rsidRPr="00413E94">
              <w:rPr>
                <w:rFonts w:ascii="Tahoma" w:hAnsi="Tahoma" w:cs="Tahoma"/>
                <w:b w:val="0"/>
                <w:sz w:val="14"/>
                <w:szCs w:val="14"/>
                <w:lang w:val="pt-BR"/>
              </w:rPr>
              <w:t>Licença de Gerenciamento de Cliente (ML de Cliente) do System Center Service Manager 2010 por OSE</w:t>
            </w:r>
            <w:bookmarkEnd w:id="499"/>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rPr>
            </w:pPr>
          </w:p>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3"/>
              <w:spacing w:before="40" w:after="40"/>
              <w:rPr>
                <w:rFonts w:ascii="Tahoma" w:hAnsi="Tahoma" w:cs="Tahoma"/>
                <w:b w:val="0"/>
                <w:sz w:val="14"/>
                <w:szCs w:val="14"/>
              </w:rPr>
            </w:pPr>
            <w:bookmarkStart w:id="500" w:name="_Toc336338087"/>
            <w:bookmarkStart w:id="501" w:name="_Toc342914720"/>
            <w:bookmarkEnd w:id="500"/>
            <w:r w:rsidRPr="00413E94">
              <w:rPr>
                <w:rFonts w:ascii="Tahoma" w:hAnsi="Tahoma" w:cs="Tahoma"/>
                <w:b w:val="0"/>
                <w:sz w:val="14"/>
                <w:szCs w:val="14"/>
                <w:lang w:val="pt-BR"/>
              </w:rPr>
              <w:t>Licença de Gerenciamento de Cliente (ML de Cliente) do System Center Service Manager 2010 por Usuário</w:t>
            </w:r>
            <w:bookmarkEnd w:id="50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rPr>
            </w:pPr>
          </w:p>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vAlign w:val="center"/>
          </w:tcPr>
          <w:p w:rsidR="008B1196" w:rsidRPr="00413E94" w:rsidRDefault="008B1196" w:rsidP="00EA30FC">
            <w:pPr>
              <w:pStyle w:val="Heading3"/>
              <w:spacing w:before="40" w:after="40"/>
              <w:rPr>
                <w:rFonts w:ascii="Tahoma" w:hAnsi="Tahoma" w:cs="Tahoma"/>
                <w:b w:val="0"/>
                <w:sz w:val="14"/>
                <w:szCs w:val="14"/>
              </w:rPr>
            </w:pPr>
            <w:bookmarkStart w:id="502" w:name="_Toc336338088"/>
            <w:bookmarkStart w:id="503" w:name="_Toc342914721"/>
            <w:bookmarkEnd w:id="502"/>
            <w:r w:rsidRPr="00413E94">
              <w:rPr>
                <w:rFonts w:ascii="Tahoma" w:hAnsi="Tahoma" w:cs="Tahoma"/>
                <w:b w:val="0"/>
                <w:sz w:val="14"/>
                <w:szCs w:val="14"/>
                <w:lang w:val="pt-BR"/>
              </w:rPr>
              <w:t>Licença de Gerenciamento de Servidor (ML de Servidor) do System Center Service Manager 2010 por OSE</w:t>
            </w:r>
            <w:bookmarkEnd w:id="503"/>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rPr>
            </w:pPr>
          </w:p>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04" w:name="_Toc336338089"/>
            <w:bookmarkStart w:id="505" w:name="_Toc342914722"/>
            <w:bookmarkEnd w:id="504"/>
            <w:r w:rsidRPr="00413E94">
              <w:rPr>
                <w:rFonts w:ascii="Tahoma" w:hAnsi="Tahoma" w:cs="Tahoma"/>
                <w:b w:val="0"/>
                <w:sz w:val="14"/>
                <w:szCs w:val="14"/>
                <w:lang w:val="pt-BR"/>
              </w:rPr>
              <w:t>Licença de Gerenciamento de Cliente do System Center Virtual Machine Manager 2008 R2 por OSE</w:t>
            </w:r>
            <w:bookmarkEnd w:id="505"/>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u w:val="single"/>
              </w:rPr>
            </w:pPr>
            <w:hyperlink w:anchor="_89_System_Center" w:history="1">
              <w:r w:rsidRPr="00EB4D74">
                <w:rPr>
                  <w:rStyle w:val="Hyperlink"/>
                  <w:rFonts w:cs="Tahoma"/>
                  <w:b/>
                  <w:sz w:val="13"/>
                  <w:szCs w:val="13"/>
                </w:rPr>
                <w:t>89</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11/09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r>
      <w:tr w:rsidR="008B1196" w:rsidRPr="00EB4D74" w:rsidTr="00EA30FC">
        <w:trPr>
          <w:trHeight w:val="145"/>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506" w:name="_Toc336338090"/>
            <w:bookmarkStart w:id="507" w:name="_Toc342914723"/>
            <w:bookmarkEnd w:id="506"/>
            <w:r w:rsidRPr="00413E94">
              <w:rPr>
                <w:rFonts w:ascii="Tahoma" w:hAnsi="Tahoma" w:cs="Tahoma"/>
                <w:b w:val="0"/>
                <w:sz w:val="14"/>
                <w:szCs w:val="14"/>
                <w:lang w:val="pt-BR"/>
              </w:rPr>
              <w:t>Licença de Gerenciamento de Cliente do System Center Virtual Machine Manager 2008 R2 por Usuário</w:t>
            </w:r>
            <w:bookmarkEnd w:id="507"/>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Srv_100SysCenterVMM2008R2" w:history="1">
              <w:r w:rsidRPr="00EB4D74">
                <w:rPr>
                  <w:rStyle w:val="Hyperlink"/>
                  <w:rFonts w:cs="Tahoma"/>
                  <w:b/>
                  <w:sz w:val="13"/>
                  <w:szCs w:val="13"/>
                </w:rPr>
                <w:t>89</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11/09</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702" w:type="dxa"/>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3"/>
                <w:lang w:val="pt-BR"/>
              </w:rPr>
              <w:t>A, ST</w:t>
            </w:r>
          </w:p>
        </w:tc>
        <w:tc>
          <w:tcPr>
            <w:tcW w:w="495" w:type="dxa"/>
            <w:vAlign w:val="center"/>
          </w:tcPr>
          <w:p w:rsidR="008B1196" w:rsidRPr="00EB4D74" w:rsidRDefault="008B1196" w:rsidP="00EA30FC">
            <w:pPr>
              <w:pStyle w:val="TableText"/>
              <w:widowControl w:val="0"/>
              <w:spacing w:before="40" w:after="40"/>
              <w:rPr>
                <w:rFonts w:ascii="Tahoma" w:hAnsi="Tahoma" w:cs="Tahoma"/>
                <w:sz w:val="14"/>
                <w:szCs w:val="14"/>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508" w:name="_Toc336338091"/>
            <w:bookmarkStart w:id="509" w:name="_Toc342914724"/>
            <w:bookmarkEnd w:id="508"/>
            <w:r w:rsidRPr="00413E94">
              <w:rPr>
                <w:rFonts w:ascii="Tahoma" w:hAnsi="Tahoma" w:cs="Tahoma"/>
                <w:color w:val="000000"/>
                <w:sz w:val="14"/>
                <w:szCs w:val="14"/>
                <w:lang w:val="pt-BR"/>
              </w:rPr>
              <w:t>Licença de Gerenciamento de Servidor Enterprise do System Center Virtual Machine Manager 2008 R2</w:t>
            </w:r>
            <w:bookmarkEnd w:id="509"/>
          </w:p>
        </w:tc>
        <w:bookmarkStart w:id="510" w:name="_Hlt336251310"/>
        <w:bookmarkEnd w:id="510"/>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r w:rsidRPr="00EB4D74">
              <w:rPr>
                <w:rFonts w:cs="Tahoma"/>
                <w:sz w:val="13"/>
                <w:szCs w:val="13"/>
              </w:rPr>
              <w:fldChar w:fldCharType="begin"/>
            </w:r>
            <w:r w:rsidRPr="00EB4D74">
              <w:rPr>
                <w:rFonts w:cs="Tahoma"/>
                <w:sz w:val="13"/>
                <w:szCs w:val="13"/>
              </w:rPr>
              <w:instrText xml:space="preserve"> HYPERLINK  \l "Srv_100SysCenterVMM2008R2"</w:instrText>
            </w:r>
            <w:r w:rsidRPr="00EB4D74">
              <w:rPr>
                <w:rFonts w:cs="Tahoma"/>
                <w:sz w:val="13"/>
                <w:szCs w:val="13"/>
              </w:rPr>
              <w:fldChar w:fldCharType="separate"/>
            </w:r>
            <w:r w:rsidRPr="00EB4D74">
              <w:rPr>
                <w:rStyle w:val="Hyperlink"/>
                <w:rFonts w:cs="Tahoma"/>
                <w:b/>
                <w:sz w:val="13"/>
                <w:szCs w:val="13"/>
              </w:rPr>
              <w:t>89</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10/08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4"/>
                <w:szCs w:val="14"/>
              </w:rPr>
              <w:t>10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4"/>
                <w:szCs w:val="14"/>
              </w:rPr>
            </w:pPr>
          </w:p>
        </w:tc>
      </w:tr>
      <w:tr w:rsidR="008B1196" w:rsidRPr="00EB4D74" w:rsidTr="00EA30FC">
        <w:trPr>
          <w:trHeight w:val="145"/>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511" w:name="_Toc336338092"/>
            <w:bookmarkStart w:id="512" w:name="_Toc342914725"/>
            <w:bookmarkEnd w:id="511"/>
            <w:r w:rsidRPr="00413E94">
              <w:rPr>
                <w:rFonts w:ascii="Tahoma" w:hAnsi="Tahoma" w:cs="Tahoma"/>
                <w:sz w:val="14"/>
                <w:szCs w:val="14"/>
                <w:lang w:val="pt-BR"/>
              </w:rPr>
              <w:t>System Center Virtual Machine Manager 2008 R2 Workgroup Edition</w:t>
            </w:r>
            <w:bookmarkEnd w:id="512"/>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10/08</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368"/>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513" w:name="_Toc336338093"/>
            <w:bookmarkStart w:id="514" w:name="_Toc342914726"/>
            <w:bookmarkEnd w:id="513"/>
            <w:r w:rsidRPr="00413E94">
              <w:rPr>
                <w:rFonts w:ascii="Tahoma" w:hAnsi="Tahoma" w:cs="Tahoma"/>
                <w:sz w:val="14"/>
                <w:szCs w:val="14"/>
                <w:lang w:val="pt-BR"/>
              </w:rPr>
              <w:t>System Center 2012 Client Management Suite (ML de Cliente) por OSE</w:t>
            </w:r>
            <w:bookmarkEnd w:id="514"/>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1SystemCenter2012" w:history="1">
              <w:r w:rsidRPr="00EB4D74">
                <w:rPr>
                  <w:rStyle w:val="Hyperlink"/>
                  <w:rFonts w:cs="Tahoma"/>
                  <w:b/>
                  <w:sz w:val="13"/>
                  <w:szCs w:val="13"/>
                </w:rPr>
                <w:t>90</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Arial" w:hAnsi="Arial" w:cs="Arial"/>
                <w:sz w:val="13"/>
                <w:szCs w:val="13"/>
              </w:rPr>
            </w:pPr>
            <w:r w:rsidRPr="00EB4D74">
              <w:rPr>
                <w:rFonts w:ascii="Arial" w:hAnsi="Arial" w:cs="Arial"/>
                <w:sz w:val="13"/>
                <w:lang w:val="pt-BR"/>
              </w:rPr>
              <w:t>A, E</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Arial" w:hAnsi="Arial" w:cs="Arial"/>
                <w:sz w:val="13"/>
                <w:szCs w:val="13"/>
              </w:rPr>
            </w:pPr>
            <w:r w:rsidRPr="00EB4D74">
              <w:rPr>
                <w:rFonts w:ascii="Arial" w:hAnsi="Arial" w:cs="Arial"/>
                <w:sz w:val="13"/>
                <w:lang w:val="pt-BR"/>
              </w:rPr>
              <w:t>P</w:t>
            </w:r>
          </w:p>
        </w:tc>
        <w:tc>
          <w:tcPr>
            <w:tcW w:w="702" w:type="dxa"/>
            <w:shd w:val="clear" w:color="auto" w:fill="FABF8F"/>
            <w:vAlign w:val="center"/>
          </w:tcPr>
          <w:p w:rsidR="008B1196" w:rsidRPr="00EB4D74" w:rsidRDefault="008B1196" w:rsidP="00EA30FC">
            <w:pPr>
              <w:spacing w:before="40" w:after="40"/>
              <w:jc w:val="center"/>
              <w:rPr>
                <w:rFonts w:ascii="Arial" w:hAnsi="Arial" w:cs="Arial"/>
                <w:sz w:val="13"/>
                <w:szCs w:val="13"/>
              </w:rPr>
            </w:pPr>
            <w:r w:rsidRPr="00EB4D74">
              <w:rPr>
                <w:rFonts w:ascii="Arial" w:hAnsi="Arial" w:cs="Arial"/>
                <w:sz w:val="13"/>
                <w:szCs w:val="13"/>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34"/>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515" w:name="_Toc336338094"/>
            <w:bookmarkStart w:id="516" w:name="_Toc342914727"/>
            <w:bookmarkEnd w:id="515"/>
            <w:r w:rsidRPr="00413E94">
              <w:rPr>
                <w:rFonts w:ascii="Tahoma" w:hAnsi="Tahoma" w:cs="Tahoma"/>
                <w:sz w:val="14"/>
                <w:szCs w:val="14"/>
                <w:lang w:val="pt-BR"/>
              </w:rPr>
              <w:t>System Center 2012 Client Management Suite (ML de Cliente) por Usuário</w:t>
            </w:r>
            <w:bookmarkEnd w:id="516"/>
          </w:p>
        </w:tc>
        <w:tc>
          <w:tcPr>
            <w:tcW w:w="450" w:type="dxa"/>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1SystemCenter2012" w:history="1">
              <w:r w:rsidRPr="00EB4D74">
                <w:rPr>
                  <w:rStyle w:val="Hyperlink"/>
                  <w:rFonts w:cs="Tahoma"/>
                  <w:b/>
                  <w:sz w:val="13"/>
                  <w:szCs w:val="13"/>
                </w:rPr>
                <w:t>90</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34"/>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lang w:val="it-IT"/>
              </w:rPr>
            </w:pPr>
            <w:bookmarkStart w:id="517" w:name="_Toc336338095"/>
            <w:bookmarkStart w:id="518" w:name="_Toc342914728"/>
            <w:bookmarkEnd w:id="517"/>
            <w:r w:rsidRPr="00413E94">
              <w:rPr>
                <w:rFonts w:ascii="Tahoma" w:hAnsi="Tahoma" w:cs="Tahoma"/>
                <w:sz w:val="14"/>
                <w:szCs w:val="14"/>
                <w:lang w:val="pt-BR"/>
              </w:rPr>
              <w:t>Licença de Gerenciamento de Cliente (ML de Cliente) do System Center 2012 Configuration Manager (Somente para Aluno)</w:t>
            </w:r>
            <w:bookmarkEnd w:id="518"/>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1SystemCenter2012" w:history="1">
              <w:r w:rsidRPr="00EB4D74">
                <w:rPr>
                  <w:rStyle w:val="Hyperlink"/>
                  <w:rFonts w:cs="Tahoma"/>
                  <w:b/>
                  <w:sz w:val="13"/>
                  <w:szCs w:val="13"/>
                </w:rPr>
                <w:t>90</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34"/>
        </w:trPr>
        <w:tc>
          <w:tcPr>
            <w:tcW w:w="2714" w:type="dxa"/>
            <w:vAlign w:val="center"/>
          </w:tcPr>
          <w:p w:rsidR="008B1196" w:rsidRPr="00413E94" w:rsidRDefault="008B1196" w:rsidP="00EA30FC">
            <w:pPr>
              <w:pStyle w:val="ProductNames"/>
              <w:spacing w:before="40" w:after="40"/>
              <w:rPr>
                <w:rFonts w:ascii="Tahoma" w:hAnsi="Tahoma" w:cs="Tahoma"/>
                <w:sz w:val="14"/>
                <w:szCs w:val="14"/>
              </w:rPr>
            </w:pPr>
            <w:bookmarkStart w:id="519" w:name="_Toc336338096"/>
            <w:bookmarkStart w:id="520" w:name="_Toc342914729"/>
            <w:bookmarkEnd w:id="519"/>
            <w:r w:rsidRPr="00413E94">
              <w:rPr>
                <w:rFonts w:ascii="Tahoma" w:hAnsi="Tahoma" w:cs="Tahoma"/>
                <w:sz w:val="14"/>
                <w:szCs w:val="14"/>
                <w:lang w:val="pt-BR"/>
              </w:rPr>
              <w:t>Licença de Gerenciamento de Cliente do System Center 2012 Configuration Manager por OSE</w:t>
            </w:r>
            <w:bookmarkEnd w:id="520"/>
          </w:p>
        </w:tc>
        <w:tc>
          <w:tcPr>
            <w:tcW w:w="450" w:type="dxa"/>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1SystemCenter2012" w:history="1">
              <w:r w:rsidRPr="00EB4D74">
                <w:rPr>
                  <w:rStyle w:val="Hyperlink"/>
                  <w:rFonts w:cs="Tahoma"/>
                  <w:b/>
                  <w:sz w:val="13"/>
                  <w:szCs w:val="13"/>
                </w:rPr>
                <w:t>90</w:t>
              </w:r>
            </w:hyperlink>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134"/>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521" w:name="_Toc336338097"/>
            <w:bookmarkStart w:id="522" w:name="_Toc342914730"/>
            <w:bookmarkEnd w:id="521"/>
            <w:r w:rsidRPr="00413E94">
              <w:rPr>
                <w:rFonts w:ascii="Tahoma" w:hAnsi="Tahoma" w:cs="Tahoma"/>
                <w:sz w:val="14"/>
                <w:szCs w:val="14"/>
                <w:lang w:val="pt-BR"/>
              </w:rPr>
              <w:t>Licença de Gerenciamento de Cliente do System Center 2012 Configuration Manager por Usuário</w:t>
            </w:r>
            <w:bookmarkEnd w:id="522"/>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1SystemCenter2012" w:history="1">
              <w:r w:rsidRPr="00EB4D74">
                <w:rPr>
                  <w:rStyle w:val="Hyperlink"/>
                  <w:rFonts w:cs="Tahoma"/>
                  <w:b/>
                  <w:sz w:val="13"/>
                  <w:szCs w:val="13"/>
                </w:rPr>
                <w:t>90</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E</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34"/>
        </w:trPr>
        <w:tc>
          <w:tcPr>
            <w:tcW w:w="2714" w:type="dxa"/>
            <w:shd w:val="clear" w:color="auto" w:fill="FFFFFF" w:themeFill="background1"/>
            <w:vAlign w:val="center"/>
          </w:tcPr>
          <w:p w:rsidR="008B1196" w:rsidRPr="00413E94" w:rsidRDefault="008B1196" w:rsidP="00EA30FC">
            <w:pPr>
              <w:pStyle w:val="ProductNames"/>
              <w:spacing w:before="40" w:after="40"/>
              <w:rPr>
                <w:rFonts w:ascii="Tahoma" w:hAnsi="Tahoma" w:cs="Tahoma"/>
                <w:sz w:val="14"/>
                <w:szCs w:val="14"/>
              </w:rPr>
            </w:pPr>
            <w:bookmarkStart w:id="523" w:name="_Toc336338098"/>
            <w:bookmarkStart w:id="524" w:name="_Toc342914731"/>
            <w:bookmarkEnd w:id="523"/>
            <w:r w:rsidRPr="00413E94">
              <w:rPr>
                <w:rFonts w:ascii="Tahoma" w:hAnsi="Tahoma" w:cs="Tahoma"/>
                <w:sz w:val="14"/>
                <w:szCs w:val="14"/>
                <w:lang w:val="pt-BR"/>
              </w:rPr>
              <w:t>Licença de Gerenciamento do System Center 2012 Datacenter Server (2 processadores)</w:t>
            </w:r>
            <w:bookmarkEnd w:id="524"/>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1SystemCenter2012" w:history="1">
              <w:r w:rsidRPr="00EB4D74">
                <w:rPr>
                  <w:rStyle w:val="Hyperlink"/>
                  <w:rFonts w:cs="Tahoma"/>
                  <w:b/>
                  <w:sz w:val="13"/>
                  <w:szCs w:val="13"/>
                </w:rPr>
                <w:t>90</w:t>
              </w:r>
            </w:hyperlink>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63</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50</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38</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38</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13</w:t>
            </w:r>
          </w:p>
        </w:tc>
        <w:tc>
          <w:tcPr>
            <w:tcW w:w="45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50</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378"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25</w:t>
            </w:r>
          </w:p>
        </w:tc>
        <w:tc>
          <w:tcPr>
            <w:tcW w:w="459"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Pr>
                <w:rFonts w:ascii="Tahoma" w:hAnsi="Tahoma" w:cs="Tahoma"/>
                <w:sz w:val="13"/>
                <w:lang w:val="pt-BR"/>
              </w:rPr>
              <w:t>OL/</w:t>
            </w:r>
            <w:r w:rsidRPr="00EB4D74">
              <w:rPr>
                <w:rFonts w:ascii="Tahoma" w:hAnsi="Tahoma" w:cs="Tahoma"/>
                <w:sz w:val="13"/>
                <w:lang w:val="pt-BR"/>
              </w:rPr>
              <w:t>OV</w:t>
            </w:r>
          </w:p>
        </w:tc>
      </w:tr>
      <w:tr w:rsidR="008B1196" w:rsidRPr="00EB4D74" w:rsidTr="00EA30FC">
        <w:trPr>
          <w:trHeight w:val="134"/>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525" w:name="_Toc336338099"/>
            <w:bookmarkStart w:id="526" w:name="_Toc342914732"/>
            <w:bookmarkEnd w:id="525"/>
            <w:r w:rsidRPr="00413E94">
              <w:rPr>
                <w:rFonts w:ascii="Tahoma" w:hAnsi="Tahoma" w:cs="Tahoma"/>
                <w:sz w:val="14"/>
                <w:szCs w:val="14"/>
                <w:lang w:val="pt-BR"/>
              </w:rPr>
              <w:t>System Center 2012 Endpoint Protection</w:t>
            </w:r>
            <w:bookmarkEnd w:id="526"/>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00"/>
                <w:sz w:val="13"/>
                <w:szCs w:val="13"/>
                <w:u w:val="single"/>
              </w:rPr>
            </w:pPr>
            <w:hyperlink w:anchor="Srv_102SysCtr2012EndpointProt" w:history="1">
              <w:r w:rsidRPr="00EB4D74">
                <w:rPr>
                  <w:rStyle w:val="Hyperlink"/>
                  <w:rFonts w:cs="Tahoma"/>
                  <w:b/>
                  <w:sz w:val="13"/>
                  <w:szCs w:val="13"/>
                </w:rPr>
                <w:t>91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1 ponto</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AO, 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34"/>
        </w:trPr>
        <w:tc>
          <w:tcPr>
            <w:tcW w:w="2714" w:type="dxa"/>
            <w:shd w:val="clear" w:color="auto" w:fill="FFFFFF" w:themeFill="background1"/>
            <w:vAlign w:val="center"/>
          </w:tcPr>
          <w:p w:rsidR="008B1196" w:rsidRPr="00413E94" w:rsidRDefault="008B1196" w:rsidP="00EA30FC">
            <w:pPr>
              <w:pStyle w:val="ProductNames"/>
              <w:spacing w:before="40" w:after="40"/>
              <w:rPr>
                <w:rFonts w:ascii="Tahoma" w:hAnsi="Tahoma" w:cs="Tahoma"/>
                <w:sz w:val="14"/>
                <w:szCs w:val="14"/>
              </w:rPr>
            </w:pPr>
            <w:bookmarkStart w:id="527" w:name="_Toc336338100"/>
            <w:bookmarkStart w:id="528" w:name="_Toc342914733"/>
            <w:bookmarkEnd w:id="527"/>
            <w:r w:rsidRPr="00413E94">
              <w:rPr>
                <w:rFonts w:ascii="Tahoma" w:hAnsi="Tahoma" w:cs="Tahoma"/>
                <w:sz w:val="14"/>
                <w:szCs w:val="14"/>
                <w:lang w:val="pt-BR"/>
              </w:rPr>
              <w:t>Licença de Gerenciamento do System Center 2012 Standard Server (2 processadores)</w:t>
            </w:r>
            <w:bookmarkEnd w:id="528"/>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cs="Tahoma"/>
                <w:b/>
                <w:color w:val="000000"/>
                <w:sz w:val="13"/>
                <w:szCs w:val="13"/>
                <w:u w:val="single"/>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38</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30</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23</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23</w:t>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15</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8</w:t>
            </w:r>
          </w:p>
        </w:tc>
        <w:tc>
          <w:tcPr>
            <w:tcW w:w="45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30</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15</w:t>
            </w:r>
          </w:p>
        </w:tc>
        <w:tc>
          <w:tcPr>
            <w:tcW w:w="378"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15</w:t>
            </w:r>
          </w:p>
        </w:tc>
        <w:tc>
          <w:tcPr>
            <w:tcW w:w="459"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Pr>
                <w:rFonts w:ascii="Tahoma" w:hAnsi="Tahoma" w:cs="Tahoma"/>
                <w:sz w:val="13"/>
                <w:lang w:val="pt-BR"/>
              </w:rPr>
              <w:t>OL/</w:t>
            </w:r>
            <w:r w:rsidRPr="00EB4D74">
              <w:rPr>
                <w:rFonts w:ascii="Tahoma" w:hAnsi="Tahoma" w:cs="Tahoma"/>
                <w:sz w:val="13"/>
                <w:lang w:val="pt-BR"/>
              </w:rPr>
              <w:t>OV</w:t>
            </w:r>
          </w:p>
        </w:tc>
      </w:tr>
      <w:tr w:rsidR="008B1196" w:rsidRPr="00EB4D74" w:rsidTr="00EA30FC">
        <w:trPr>
          <w:trHeight w:val="134"/>
        </w:trPr>
        <w:tc>
          <w:tcPr>
            <w:tcW w:w="2714" w:type="dxa"/>
            <w:shd w:val="clear" w:color="auto" w:fill="FABF8F"/>
            <w:vAlign w:val="center"/>
          </w:tcPr>
          <w:p w:rsidR="008B1196" w:rsidRPr="00413E94" w:rsidRDefault="008B1196" w:rsidP="00EA30FC">
            <w:pPr>
              <w:pStyle w:val="ProductNames"/>
              <w:spacing w:before="40" w:after="40"/>
              <w:rPr>
                <w:rFonts w:ascii="Tahoma" w:hAnsi="Tahoma" w:cs="Tahoma"/>
                <w:sz w:val="14"/>
                <w:szCs w:val="14"/>
              </w:rPr>
            </w:pPr>
            <w:bookmarkStart w:id="529" w:name="_Toc336338101"/>
            <w:bookmarkStart w:id="530" w:name="_Toc342914734"/>
            <w:bookmarkEnd w:id="529"/>
            <w:r w:rsidRPr="00413E94">
              <w:rPr>
                <w:rFonts w:ascii="Tahoma" w:hAnsi="Tahoma" w:cs="Tahoma"/>
                <w:sz w:val="14"/>
                <w:szCs w:val="14"/>
                <w:lang w:val="pt-BR"/>
              </w:rPr>
              <w:t>TechNet Plus Single User</w:t>
            </w:r>
            <w:bookmarkEnd w:id="530"/>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color w:val="000000"/>
                <w:sz w:val="13"/>
                <w:szCs w:val="13"/>
                <w:u w:val="single"/>
              </w:rPr>
            </w:pPr>
            <w:hyperlink w:anchor="Srv_103TechNetPlusSingleUser" w:history="1">
              <w:r w:rsidRPr="00EB4D74">
                <w:rPr>
                  <w:rStyle w:val="Hyperlink"/>
                  <w:rFonts w:cs="Tahoma"/>
                  <w:b/>
                  <w:sz w:val="13"/>
                  <w:szCs w:val="13"/>
                </w:rPr>
                <w:t>92</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145"/>
        </w:trPr>
        <w:tc>
          <w:tcPr>
            <w:tcW w:w="2714" w:type="dxa"/>
            <w:shd w:val="clear" w:color="auto" w:fill="FFFFFF" w:themeFill="background1"/>
            <w:vAlign w:val="center"/>
          </w:tcPr>
          <w:p w:rsidR="008B1196" w:rsidRPr="00413E94" w:rsidRDefault="008B1196" w:rsidP="00EA30FC">
            <w:pPr>
              <w:pStyle w:val="Heading2"/>
              <w:spacing w:before="40" w:after="40"/>
              <w:ind w:left="0"/>
              <w:rPr>
                <w:rFonts w:ascii="Tahoma" w:hAnsi="Tahoma" w:cs="Tahoma"/>
                <w:b w:val="0"/>
                <w:sz w:val="14"/>
                <w:szCs w:val="14"/>
              </w:rPr>
            </w:pPr>
            <w:bookmarkStart w:id="531" w:name="_Toc336338102"/>
            <w:bookmarkStart w:id="532" w:name="_Toc342914735"/>
            <w:bookmarkEnd w:id="531"/>
            <w:r w:rsidRPr="00413E94">
              <w:rPr>
                <w:rFonts w:ascii="Tahoma" w:hAnsi="Tahoma" w:cs="Tahoma"/>
                <w:b w:val="0"/>
                <w:sz w:val="14"/>
                <w:szCs w:val="14"/>
                <w:lang w:val="pt-BR"/>
              </w:rPr>
              <w:t>VDI Suite</w:t>
            </w:r>
            <w:bookmarkEnd w:id="532"/>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cs="Tahoma"/>
                <w:b/>
                <w:sz w:val="13"/>
                <w:szCs w:val="13"/>
                <w:u w:val="single"/>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1 ponto</w:t>
            </w:r>
          </w:p>
        </w:tc>
        <w:tc>
          <w:tcPr>
            <w:tcW w:w="450" w:type="dxa"/>
            <w:tcBorders>
              <w:left w:val="single" w:sz="18" w:space="0" w:color="auto"/>
            </w:tcBorders>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p>
        </w:tc>
        <w:tc>
          <w:tcPr>
            <w:tcW w:w="450" w:type="dxa"/>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p>
        </w:tc>
        <w:tc>
          <w:tcPr>
            <w:tcW w:w="378" w:type="dxa"/>
            <w:tcBorders>
              <w:left w:val="single" w:sz="18" w:space="0" w:color="auto"/>
            </w:tcBorders>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rPr>
              <w:t>1</w:t>
            </w:r>
          </w:p>
        </w:tc>
        <w:tc>
          <w:tcPr>
            <w:tcW w:w="459" w:type="dxa"/>
            <w:tcBorders>
              <w:right w:val="single" w:sz="18" w:space="0" w:color="auto"/>
            </w:tcBorders>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A</w:t>
            </w:r>
          </w:p>
        </w:tc>
        <w:tc>
          <w:tcPr>
            <w:tcW w:w="396" w:type="dxa"/>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P</w:t>
            </w:r>
          </w:p>
        </w:tc>
        <w:tc>
          <w:tcPr>
            <w:tcW w:w="702" w:type="dxa"/>
            <w:shd w:val="clear" w:color="auto" w:fill="FFFFFF" w:themeFill="background1"/>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A,ST</w:t>
            </w:r>
          </w:p>
        </w:tc>
        <w:tc>
          <w:tcPr>
            <w:tcW w:w="495"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1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33" w:name="_Toc336338103"/>
            <w:bookmarkStart w:id="534" w:name="_Toc342914736"/>
            <w:bookmarkEnd w:id="533"/>
            <w:r w:rsidRPr="00413E94">
              <w:rPr>
                <w:rFonts w:ascii="Tahoma" w:hAnsi="Tahoma" w:cs="Tahoma"/>
                <w:b w:val="0"/>
                <w:sz w:val="14"/>
                <w:szCs w:val="14"/>
                <w:lang w:val="pt-BR"/>
              </w:rPr>
              <w:t>VDI Suite com MDOP</w:t>
            </w:r>
            <w:bookmarkEnd w:id="534"/>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04/12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1 ponto</w:t>
            </w:r>
          </w:p>
        </w:tc>
        <w:tc>
          <w:tcPr>
            <w:tcW w:w="450" w:type="dxa"/>
            <w:tcBorders>
              <w:left w:val="single" w:sz="18" w:space="0" w:color="auto"/>
            </w:tcBorders>
            <w:shd w:val="clear" w:color="auto" w:fill="FABF8F"/>
            <w:vAlign w:val="center"/>
          </w:tcPr>
          <w:p w:rsidR="008B1196" w:rsidRPr="00EB4D74" w:rsidRDefault="008B1196" w:rsidP="00EA30FC">
            <w:pPr>
              <w:pStyle w:val="TableText"/>
              <w:spacing w:before="40" w:after="40"/>
              <w:rPr>
                <w:rFonts w:ascii="Tahoma" w:hAnsi="Tahoma" w:cs="Tahoma"/>
                <w:sz w:val="13"/>
                <w:szCs w:val="13"/>
              </w:rPr>
            </w:pPr>
          </w:p>
        </w:tc>
        <w:tc>
          <w:tcPr>
            <w:tcW w:w="450" w:type="dxa"/>
            <w:shd w:val="clear" w:color="auto" w:fill="FABF8F"/>
            <w:vAlign w:val="center"/>
          </w:tcPr>
          <w:p w:rsidR="008B1196" w:rsidRPr="00EB4D74" w:rsidRDefault="008B1196" w:rsidP="00EA30FC">
            <w:pPr>
              <w:pStyle w:val="TableText"/>
              <w:spacing w:before="40" w:after="40"/>
              <w:rPr>
                <w:rFonts w:ascii="Tahoma" w:hAnsi="Tahoma" w:cs="Tahoma"/>
                <w:sz w:val="13"/>
                <w:szCs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spacing w:before="40" w:after="40"/>
              <w:rPr>
                <w:rFonts w:ascii="Tahoma" w:hAnsi="Tahoma" w:cs="Tahoma"/>
                <w:sz w:val="13"/>
                <w:szCs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lang w:val="pt-BR"/>
              </w:rPr>
              <w:t>E, P</w:t>
            </w:r>
          </w:p>
        </w:tc>
        <w:tc>
          <w:tcPr>
            <w:tcW w:w="702" w:type="dxa"/>
            <w:shd w:val="clear" w:color="auto" w:fill="FABF8F"/>
            <w:vAlign w:val="center"/>
          </w:tcPr>
          <w:p w:rsidR="008B1196" w:rsidRPr="00EB4D74" w:rsidRDefault="008B1196" w:rsidP="00EA30FC">
            <w:pPr>
              <w:pStyle w:val="TableText"/>
              <w:spacing w:before="40" w:after="40"/>
              <w:rPr>
                <w:rFonts w:ascii="Tahoma" w:hAnsi="Tahoma" w:cs="Tahoma"/>
                <w:sz w:val="13"/>
                <w:szCs w:val="13"/>
              </w:rPr>
            </w:pPr>
            <w:r w:rsidRPr="00EB4D74">
              <w:rPr>
                <w:rFonts w:ascii="Tahoma" w:hAnsi="Tahoma" w:cs="Tahoma"/>
                <w:sz w:val="13"/>
                <w:szCs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60"/>
        </w:trPr>
        <w:tc>
          <w:tcPr>
            <w:tcW w:w="2714" w:type="dxa"/>
            <w:shd w:val="clear" w:color="auto" w:fill="FFFFFF" w:themeFill="background1"/>
            <w:vAlign w:val="center"/>
          </w:tcPr>
          <w:p w:rsidR="008B1196" w:rsidRPr="00413E94" w:rsidRDefault="008B1196" w:rsidP="00EA30FC">
            <w:pPr>
              <w:pStyle w:val="Heading2"/>
              <w:spacing w:before="40" w:after="40"/>
              <w:ind w:left="0"/>
              <w:rPr>
                <w:rFonts w:ascii="Tahoma" w:hAnsi="Tahoma" w:cs="Tahoma"/>
                <w:b w:val="0"/>
                <w:sz w:val="14"/>
                <w:szCs w:val="14"/>
              </w:rPr>
            </w:pPr>
            <w:bookmarkStart w:id="535" w:name="_Toc336338104"/>
            <w:bookmarkStart w:id="536" w:name="_Toc342914737"/>
            <w:bookmarkEnd w:id="535"/>
            <w:r w:rsidRPr="00413E94">
              <w:rPr>
                <w:rFonts w:ascii="Tahoma" w:hAnsi="Tahoma" w:cs="Tahoma"/>
                <w:b w:val="0"/>
                <w:sz w:val="14"/>
                <w:szCs w:val="14"/>
                <w:lang w:val="pt-BR"/>
              </w:rPr>
              <w:t>VDI Standard Suite</w:t>
            </w:r>
            <w:bookmarkEnd w:id="536"/>
          </w:p>
        </w:tc>
        <w:bookmarkStart w:id="537" w:name="_Hlt336250272"/>
        <w:bookmarkEnd w:id="537"/>
        <w:tc>
          <w:tcPr>
            <w:tcW w:w="450" w:type="dxa"/>
            <w:shd w:val="clear" w:color="auto" w:fill="FFFFFF" w:themeFill="background1"/>
            <w:vAlign w:val="center"/>
          </w:tcPr>
          <w:p w:rsidR="008B1196" w:rsidRPr="00EB4D74" w:rsidRDefault="008B1196" w:rsidP="00EA30FC">
            <w:pPr>
              <w:pStyle w:val="TableText"/>
              <w:widowControl w:val="0"/>
              <w:spacing w:before="40" w:after="40"/>
              <w:rPr>
                <w:rStyle w:val="EndnoteReference"/>
                <w:rFonts w:cs="Tahoma"/>
                <w:sz w:val="13"/>
                <w:szCs w:val="13"/>
                <w:u w:val="single"/>
              </w:rPr>
            </w:pPr>
            <w:r w:rsidRPr="00EB4D74">
              <w:rPr>
                <w:rFonts w:cs="Tahoma"/>
                <w:sz w:val="13"/>
                <w:szCs w:val="13"/>
              </w:rPr>
              <w:fldChar w:fldCharType="begin"/>
            </w:r>
            <w:r w:rsidRPr="00EB4D74">
              <w:rPr>
                <w:rFonts w:cs="Tahoma"/>
                <w:sz w:val="13"/>
                <w:szCs w:val="13"/>
              </w:rPr>
              <w:instrText xml:space="preserve"> HYPERLINK  \l "Srv_105VDIStandardandPremiumSuites"</w:instrText>
            </w:r>
            <w:r w:rsidRPr="00EB4D74">
              <w:rPr>
                <w:rFonts w:cs="Tahoma"/>
                <w:sz w:val="13"/>
                <w:szCs w:val="13"/>
              </w:rPr>
              <w:fldChar w:fldCharType="separate"/>
            </w:r>
            <w:r w:rsidRPr="00EB4D74">
              <w:rPr>
                <w:rStyle w:val="Hyperlink"/>
                <w:rFonts w:cs="Tahoma"/>
                <w:b/>
                <w:sz w:val="13"/>
                <w:szCs w:val="13"/>
              </w:rPr>
              <w:t>93</w:t>
            </w:r>
            <w:r w:rsidRPr="00EB4D74">
              <w:rPr>
                <w:rFonts w:cs="Tahoma"/>
                <w:sz w:val="13"/>
                <w:szCs w:val="13"/>
              </w:rPr>
              <w:fldChar w:fldCharType="end"/>
            </w: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60"/>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38" w:name="_Toc336338105"/>
            <w:bookmarkStart w:id="539" w:name="_Toc342914738"/>
            <w:bookmarkEnd w:id="538"/>
            <w:r w:rsidRPr="00413E94">
              <w:rPr>
                <w:rFonts w:ascii="Tahoma" w:hAnsi="Tahoma" w:cs="Tahoma"/>
                <w:b w:val="0"/>
                <w:sz w:val="14"/>
                <w:szCs w:val="14"/>
                <w:lang w:val="pt-BR"/>
              </w:rPr>
              <w:t>VDI Standard Suite com MDOP</w:t>
            </w:r>
            <w:bookmarkEnd w:id="539"/>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Srv_105VDIStandardandPremiumSuites" w:history="1">
              <w:r w:rsidRPr="00EB4D74">
                <w:rPr>
                  <w:rStyle w:val="Hyperlink"/>
                  <w:rFonts w:cs="Tahoma"/>
                  <w:b/>
                  <w:sz w:val="13"/>
                  <w:szCs w:val="13"/>
                </w:rPr>
                <w:t>93</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60"/>
        </w:trPr>
        <w:tc>
          <w:tcPr>
            <w:tcW w:w="2714" w:type="dxa"/>
            <w:shd w:val="clear" w:color="auto" w:fill="FFFFFF" w:themeFill="background1"/>
            <w:vAlign w:val="center"/>
          </w:tcPr>
          <w:p w:rsidR="008B1196" w:rsidRPr="00413E94" w:rsidRDefault="008B1196" w:rsidP="00EA30FC">
            <w:pPr>
              <w:pStyle w:val="Heading2"/>
              <w:spacing w:before="40" w:after="40"/>
              <w:ind w:left="0"/>
              <w:rPr>
                <w:rFonts w:ascii="Tahoma" w:hAnsi="Tahoma" w:cs="Tahoma"/>
                <w:b w:val="0"/>
                <w:sz w:val="14"/>
                <w:szCs w:val="14"/>
              </w:rPr>
            </w:pPr>
            <w:bookmarkStart w:id="540" w:name="_Toc336338106"/>
            <w:bookmarkStart w:id="541" w:name="_Toc342914739"/>
            <w:bookmarkEnd w:id="540"/>
            <w:r w:rsidRPr="00413E94">
              <w:rPr>
                <w:rFonts w:ascii="Tahoma" w:hAnsi="Tahoma" w:cs="Tahoma"/>
                <w:b w:val="0"/>
                <w:sz w:val="14"/>
                <w:szCs w:val="14"/>
                <w:lang w:val="pt-BR"/>
              </w:rPr>
              <w:t>VDI Premium Suite</w:t>
            </w:r>
            <w:bookmarkEnd w:id="541"/>
          </w:p>
        </w:tc>
        <w:tc>
          <w:tcPr>
            <w:tcW w:w="450" w:type="dxa"/>
            <w:shd w:val="clear" w:color="auto" w:fill="FFFFFF" w:themeFill="background1"/>
            <w:vAlign w:val="center"/>
          </w:tcPr>
          <w:p w:rsidR="008B1196" w:rsidRPr="00EB4D74" w:rsidRDefault="008B1196" w:rsidP="00EA30FC">
            <w:pPr>
              <w:pStyle w:val="TableText"/>
              <w:widowControl w:val="0"/>
              <w:spacing w:before="40" w:after="40"/>
              <w:rPr>
                <w:rStyle w:val="EndnoteReference"/>
                <w:rFonts w:cs="Tahoma"/>
                <w:sz w:val="13"/>
                <w:szCs w:val="13"/>
                <w:u w:val="single"/>
              </w:rPr>
            </w:pPr>
            <w:hyperlink w:anchor="Srv_105VDIStandardandPremiumSuites" w:history="1">
              <w:r w:rsidRPr="00EB4D74">
                <w:rPr>
                  <w:rStyle w:val="Hyperlink"/>
                  <w:rFonts w:cs="Tahoma"/>
                  <w:b/>
                  <w:sz w:val="13"/>
                  <w:szCs w:val="13"/>
                </w:rPr>
                <w:t>93</w:t>
              </w:r>
            </w:hyperlink>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60"/>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42" w:name="_Toc336338107"/>
            <w:bookmarkStart w:id="543" w:name="_Toc342914740"/>
            <w:bookmarkEnd w:id="542"/>
            <w:r w:rsidRPr="00413E94">
              <w:rPr>
                <w:rFonts w:ascii="Tahoma" w:hAnsi="Tahoma" w:cs="Tahoma"/>
                <w:b w:val="0"/>
                <w:sz w:val="14"/>
                <w:szCs w:val="14"/>
                <w:lang w:val="pt-BR"/>
              </w:rPr>
              <w:t>VDI Premium Suite com MDOP</w:t>
            </w:r>
            <w:bookmarkEnd w:id="543"/>
          </w:p>
        </w:tc>
        <w:bookmarkStart w:id="544" w:name="_Hlt336251370"/>
        <w:bookmarkEnd w:id="544"/>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r w:rsidRPr="00EB4D74">
              <w:rPr>
                <w:rFonts w:cs="Tahoma"/>
                <w:sz w:val="13"/>
                <w:szCs w:val="13"/>
              </w:rPr>
              <w:fldChar w:fldCharType="begin"/>
            </w:r>
            <w:r w:rsidRPr="00EB4D74">
              <w:rPr>
                <w:rFonts w:cs="Tahoma"/>
                <w:sz w:val="13"/>
                <w:szCs w:val="13"/>
              </w:rPr>
              <w:instrText xml:space="preserve"> HYPERLINK  \l "Srv_105VDIStandardandPremiumSuites"</w:instrText>
            </w:r>
            <w:r w:rsidRPr="00EB4D74">
              <w:rPr>
                <w:rFonts w:cs="Tahoma"/>
                <w:sz w:val="13"/>
                <w:szCs w:val="13"/>
              </w:rPr>
              <w:fldChar w:fldCharType="separate"/>
            </w:r>
            <w:r w:rsidRPr="00EB4D74">
              <w:rPr>
                <w:rStyle w:val="Hyperlink"/>
                <w:rFonts w:cs="Tahoma"/>
                <w:b/>
                <w:sz w:val="13"/>
                <w:szCs w:val="13"/>
              </w:rPr>
              <w:t>93</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2970" w:type="dxa"/>
            <w:gridSpan w:val="7"/>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themeFill="background1"/>
            <w:vAlign w:val="center"/>
          </w:tcPr>
          <w:p w:rsidR="008B1196" w:rsidRPr="00413E94" w:rsidRDefault="008B1196" w:rsidP="00EA30FC">
            <w:pPr>
              <w:pStyle w:val="Heading2"/>
              <w:spacing w:before="40" w:after="40"/>
              <w:ind w:left="0"/>
              <w:rPr>
                <w:rFonts w:ascii="Tahoma" w:hAnsi="Tahoma" w:cs="Tahoma"/>
                <w:b w:val="0"/>
                <w:sz w:val="14"/>
                <w:szCs w:val="14"/>
              </w:rPr>
            </w:pPr>
            <w:bookmarkStart w:id="545" w:name="_Toc336338108"/>
            <w:bookmarkStart w:id="546" w:name="_Toc342914741"/>
            <w:bookmarkEnd w:id="545"/>
            <w:r w:rsidRPr="00413E94">
              <w:rPr>
                <w:rFonts w:ascii="Tahoma" w:hAnsi="Tahoma" w:cs="Tahoma"/>
                <w:b w:val="0"/>
                <w:sz w:val="14"/>
                <w:szCs w:val="14"/>
                <w:lang w:val="pt-BR"/>
              </w:rPr>
              <w:t>Virtual Server 2005 R2 Enterprise Edition</w:t>
            </w:r>
            <w:bookmarkEnd w:id="546"/>
          </w:p>
        </w:tc>
        <w:tc>
          <w:tcPr>
            <w:tcW w:w="450" w:type="dxa"/>
            <w:shd w:val="clear" w:color="auto" w:fill="FFFFFF" w:themeFill="background1"/>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12/05</w:t>
            </w: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themeFill="background1"/>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47" w:name="_Toc336338109"/>
            <w:bookmarkStart w:id="548" w:name="_Toc342914742"/>
            <w:bookmarkEnd w:id="547"/>
            <w:r w:rsidRPr="00413E94">
              <w:rPr>
                <w:rFonts w:ascii="Tahoma" w:hAnsi="Tahoma" w:cs="Tahoma"/>
                <w:b w:val="0"/>
                <w:sz w:val="14"/>
                <w:szCs w:val="14"/>
                <w:lang w:val="pt-BR"/>
              </w:rPr>
              <w:lastRenderedPageBreak/>
              <w:t>Visual Studio</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Team Foundation Server 2012 com Tecnologia SQL Server 2012</w:t>
            </w:r>
            <w:bookmarkEnd w:id="548"/>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rPr>
              <w:t>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49" w:name="_Toc254805933"/>
            <w:bookmarkStart w:id="550" w:name="_Toc336338110"/>
            <w:bookmarkStart w:id="551" w:name="_Toc342914743"/>
            <w:bookmarkEnd w:id="549"/>
            <w:bookmarkEnd w:id="550"/>
            <w:r w:rsidRPr="00413E94">
              <w:rPr>
                <w:rFonts w:ascii="Tahoma" w:hAnsi="Tahoma" w:cs="Tahoma"/>
                <w:b w:val="0"/>
                <w:sz w:val="14"/>
                <w:szCs w:val="14"/>
                <w:lang w:val="pt-BR"/>
              </w:rPr>
              <w:t>CAL do Dispositivo do Visual Studio</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Team Foundation Server 2012</w:t>
            </w:r>
            <w:bookmarkEnd w:id="55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3</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52" w:name="_Toc254805934"/>
            <w:bookmarkStart w:id="553" w:name="_Toc336338111"/>
            <w:bookmarkStart w:id="554" w:name="_Toc342914744"/>
            <w:bookmarkEnd w:id="552"/>
            <w:bookmarkEnd w:id="553"/>
            <w:r w:rsidRPr="00413E94">
              <w:rPr>
                <w:rFonts w:ascii="Tahoma" w:hAnsi="Tahoma" w:cs="Tahoma"/>
                <w:b w:val="0"/>
                <w:sz w:val="14"/>
                <w:szCs w:val="14"/>
                <w:lang w:val="pt-BR"/>
              </w:rPr>
              <w:t>CAL do Usuário do Visual Studio</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Team Foundation Server 2012</w:t>
            </w:r>
            <w:bookmarkEnd w:id="554"/>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55" w:name="_Toc254805935"/>
            <w:bookmarkStart w:id="556" w:name="_Toc336338112"/>
            <w:bookmarkStart w:id="557" w:name="_Toc342914745"/>
            <w:bookmarkEnd w:id="555"/>
            <w:bookmarkEnd w:id="556"/>
            <w:r w:rsidRPr="00413E94">
              <w:rPr>
                <w:rFonts w:ascii="Tahoma" w:hAnsi="Tahoma" w:cs="Tahoma"/>
                <w:b w:val="0"/>
                <w:sz w:val="14"/>
                <w:szCs w:val="14"/>
                <w:lang w:val="pt-BR"/>
              </w:rPr>
              <w:t>External Connector do Visual Studio</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Team Foundation Server 2012</w:t>
            </w:r>
            <w:bookmarkEnd w:id="55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188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113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75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38</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150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szCs w:val="13"/>
              </w:rPr>
            </w:pPr>
            <w:r w:rsidRPr="00EB4D74">
              <w:rPr>
                <w:rFonts w:ascii="Tahoma" w:hAnsi="Tahoma" w:cs="Tahoma"/>
                <w:sz w:val="13"/>
                <w:szCs w:val="13"/>
              </w:rPr>
              <w:t>75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S</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494"/>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58" w:name="_Toc336338113"/>
            <w:bookmarkStart w:id="559" w:name="_Toc342914746"/>
            <w:bookmarkEnd w:id="558"/>
            <w:r w:rsidRPr="00413E94">
              <w:rPr>
                <w:rFonts w:ascii="Tahoma" w:hAnsi="Tahoma" w:cs="Tahoma"/>
                <w:b w:val="0"/>
                <w:sz w:val="14"/>
                <w:szCs w:val="14"/>
                <w:lang w:val="pt-BR"/>
              </w:rPr>
              <w:t>Assinatura do Web Antimalware para Forefront Threat Management Gateway Medium Business Edition (Dispositivo e Usuário)</w:t>
            </w:r>
            <w:bookmarkEnd w:id="559"/>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60" w:name="_Toc336338114"/>
            <w:bookmarkStart w:id="561" w:name="_Toc342914747"/>
            <w:bookmarkEnd w:id="560"/>
            <w:r w:rsidRPr="00413E94">
              <w:rPr>
                <w:rFonts w:ascii="Tahoma" w:hAnsi="Tahoma" w:cs="Tahoma"/>
                <w:b w:val="0"/>
                <w:sz w:val="14"/>
                <w:szCs w:val="14"/>
                <w:lang w:val="pt-BR"/>
              </w:rPr>
              <w:t>Serviços do Windows Azure</w:t>
            </w:r>
            <w:bookmarkEnd w:id="561"/>
          </w:p>
        </w:tc>
        <w:bookmarkStart w:id="562" w:name="_Hlt335906200"/>
        <w:bookmarkStart w:id="563" w:name="_Hlt335906300"/>
        <w:bookmarkStart w:id="564" w:name="_Hlt336249818"/>
        <w:bookmarkStart w:id="565" w:name="_Hlt336250114"/>
        <w:bookmarkStart w:id="566" w:name="_Hlt336250148"/>
        <w:bookmarkStart w:id="567" w:name="_Hlt336251394"/>
        <w:bookmarkEnd w:id="562"/>
        <w:bookmarkEnd w:id="563"/>
        <w:bookmarkEnd w:id="564"/>
        <w:bookmarkEnd w:id="565"/>
        <w:bookmarkEnd w:id="566"/>
        <w:bookmarkEnd w:id="567"/>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"_105_Windows_Azure"</w:instrText>
            </w:r>
            <w:r w:rsidRPr="00EB4D74">
              <w:rPr>
                <w:rFonts w:cs="Tahoma"/>
                <w:sz w:val="13"/>
                <w:szCs w:val="13"/>
              </w:rPr>
              <w:fldChar w:fldCharType="separate"/>
            </w:r>
            <w:r w:rsidRPr="00EB4D74">
              <w:rPr>
                <w:rStyle w:val="Hyperlink"/>
                <w:rFonts w:cs="Tahoma"/>
                <w:b/>
                <w:sz w:val="13"/>
                <w:szCs w:val="13"/>
              </w:rPr>
              <w:t>94</w:t>
            </w:r>
            <w:r w:rsidRPr="00EB4D74">
              <w:rPr>
                <w:rFonts w:cs="Tahoma"/>
                <w:sz w:val="13"/>
                <w:szCs w:val="13"/>
              </w:rPr>
              <w:fldChar w:fldCharType="end"/>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52"/>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68" w:name="_Toc336338115"/>
            <w:bookmarkStart w:id="569" w:name="_Toc342914748"/>
            <w:bookmarkEnd w:id="568"/>
            <w:r w:rsidRPr="00413E94">
              <w:rPr>
                <w:rFonts w:ascii="Tahoma" w:hAnsi="Tahoma" w:cs="Tahoma"/>
                <w:b w:val="0"/>
                <w:sz w:val="14"/>
                <w:szCs w:val="14"/>
                <w:lang w:val="pt-BR"/>
              </w:rPr>
              <w:t>Windows</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Embedded Device Manager 2011</w:t>
            </w:r>
            <w:bookmarkEnd w:id="569"/>
          </w:p>
        </w:tc>
        <w:bookmarkStart w:id="570" w:name="_Hlt336251405"/>
        <w:bookmarkStart w:id="571" w:name="_Hlt336251494"/>
        <w:bookmarkEnd w:id="570"/>
        <w:bookmarkEnd w:id="571"/>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u w:val="single"/>
              </w:rPr>
            </w:pPr>
            <w:r w:rsidRPr="00EB4D74">
              <w:rPr>
                <w:rFonts w:cs="Tahoma"/>
                <w:sz w:val="13"/>
                <w:szCs w:val="13"/>
              </w:rPr>
              <w:fldChar w:fldCharType="begin"/>
            </w:r>
            <w:r w:rsidRPr="00EB4D74">
              <w:rPr>
                <w:rFonts w:cs="Tahoma"/>
                <w:sz w:val="13"/>
                <w:szCs w:val="13"/>
              </w:rPr>
              <w:instrText xml:space="preserve"> HYPERLINK  \l "Srv_107WindowsEmbeddedDeviceMgr2011"</w:instrText>
            </w:r>
            <w:r w:rsidRPr="00EB4D74">
              <w:rPr>
                <w:rFonts w:cs="Tahoma"/>
                <w:sz w:val="13"/>
                <w:szCs w:val="13"/>
              </w:rPr>
              <w:fldChar w:fldCharType="separate"/>
            </w:r>
            <w:r w:rsidRPr="00EB4D74">
              <w:rPr>
                <w:rStyle w:val="Hyperlink"/>
                <w:rFonts w:cs="Tahoma"/>
                <w:b/>
                <w:sz w:val="13"/>
                <w:szCs w:val="13"/>
              </w:rPr>
              <w:t>95</w:t>
            </w:r>
            <w:r w:rsidRPr="00EB4D74">
              <w:rPr>
                <w:rFonts w:cs="Tahoma"/>
                <w:sz w:val="13"/>
                <w:szCs w:val="13"/>
              </w:rPr>
              <w:fldChar w:fldCharType="end"/>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72" w:name="_Toc336338116"/>
            <w:bookmarkStart w:id="573" w:name="_Toc342914749"/>
            <w:bookmarkEnd w:id="572"/>
            <w:r w:rsidRPr="00413E94">
              <w:rPr>
                <w:rFonts w:ascii="Tahoma" w:hAnsi="Tahoma" w:cs="Tahoma"/>
                <w:b w:val="0"/>
                <w:sz w:val="14"/>
                <w:szCs w:val="14"/>
                <w:lang w:val="pt-BR"/>
              </w:rPr>
              <w:t>Licença de Gerenciamento de Cliente do Windows</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Embedded Device Manager 2011 por OSE</w:t>
            </w:r>
            <w:bookmarkEnd w:id="573"/>
          </w:p>
        </w:tc>
        <w:tc>
          <w:tcPr>
            <w:tcW w:w="450" w:type="dxa"/>
            <w:shd w:val="clear" w:color="auto" w:fill="FABF8F"/>
            <w:vAlign w:val="center"/>
          </w:tcPr>
          <w:p w:rsidR="008B1196" w:rsidRPr="00EB4D74" w:rsidRDefault="008B1196" w:rsidP="00EA30FC">
            <w:pPr>
              <w:pStyle w:val="TableText"/>
              <w:widowControl w:val="0"/>
              <w:spacing w:before="40" w:after="40"/>
              <w:rPr>
                <w:rFonts w:cs="Tahoma"/>
                <w:color w:val="0000FF"/>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74" w:name="_Toc336338117"/>
            <w:bookmarkStart w:id="575" w:name="_Toc342914750"/>
            <w:bookmarkEnd w:id="574"/>
            <w:r w:rsidRPr="00413E94">
              <w:rPr>
                <w:rFonts w:ascii="Tahoma" w:hAnsi="Tahoma" w:cs="Tahoma"/>
                <w:b w:val="0"/>
                <w:sz w:val="14"/>
                <w:szCs w:val="14"/>
                <w:lang w:val="pt-BR"/>
              </w:rPr>
              <w:t>Licença de Gerenciamento de Cliente do Windows</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Embedded Device Manager 2011 por Usuário</w:t>
            </w:r>
            <w:bookmarkEnd w:id="575"/>
          </w:p>
        </w:tc>
        <w:tc>
          <w:tcPr>
            <w:tcW w:w="450" w:type="dxa"/>
            <w:shd w:val="clear" w:color="auto" w:fill="FFFFFF"/>
            <w:vAlign w:val="center"/>
          </w:tcPr>
          <w:p w:rsidR="008B1196" w:rsidRPr="00EB4D74" w:rsidRDefault="008B1196" w:rsidP="00EA30FC">
            <w:pPr>
              <w:pStyle w:val="TableText"/>
              <w:widowControl w:val="0"/>
              <w:spacing w:before="40" w:after="40"/>
              <w:rPr>
                <w:rFonts w:cs="Tahoma"/>
                <w:b/>
                <w:color w:val="0000FF"/>
                <w:sz w:val="13"/>
                <w:szCs w:val="13"/>
              </w:rPr>
            </w:pPr>
            <w:hyperlink w:anchor="_96_Windows_Embedded" w:history="1">
              <w:r w:rsidRPr="00EB4D74">
                <w:rPr>
                  <w:rStyle w:val="Hyperlink"/>
                  <w:rFonts w:cs="Tahoma"/>
                  <w:b/>
                  <w:sz w:val="13"/>
                  <w:szCs w:val="13"/>
                </w:rPr>
                <w:t>96</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76" w:name="_Toc336338118"/>
            <w:bookmarkStart w:id="577" w:name="_Toc342914751"/>
            <w:bookmarkEnd w:id="576"/>
            <w:r w:rsidRPr="00413E94">
              <w:rPr>
                <w:rFonts w:ascii="Tahoma" w:hAnsi="Tahoma" w:cs="Tahoma"/>
                <w:b w:val="0"/>
                <w:sz w:val="14"/>
                <w:szCs w:val="14"/>
                <w:lang w:val="pt-BR"/>
              </w:rPr>
              <w:t>Windows</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Embedded Device Manager 2011 com Tecnologia SQL Server</w:t>
            </w:r>
            <w:r w:rsidRPr="00413E94">
              <w:rPr>
                <w:rFonts w:ascii="Tahoma" w:hAnsi="Tahoma" w:cs="Tahoma"/>
                <w:b w:val="0"/>
                <w:sz w:val="14"/>
                <w:szCs w:val="14"/>
                <w:vertAlign w:val="superscript"/>
                <w:lang w:val="pt-BR"/>
              </w:rPr>
              <w:t>®</w:t>
            </w:r>
            <w:r w:rsidRPr="00413E94">
              <w:rPr>
                <w:rFonts w:ascii="Tahoma" w:hAnsi="Tahoma" w:cs="Tahoma"/>
                <w:b w:val="0"/>
                <w:sz w:val="14"/>
                <w:szCs w:val="14"/>
                <w:lang w:val="pt-BR"/>
              </w:rPr>
              <w:t xml:space="preserve"> 2008</w:t>
            </w:r>
            <w:bookmarkEnd w:id="577"/>
          </w:p>
        </w:tc>
        <w:tc>
          <w:tcPr>
            <w:tcW w:w="450" w:type="dxa"/>
            <w:shd w:val="clear" w:color="auto" w:fill="FABF8F"/>
            <w:vAlign w:val="center"/>
          </w:tcPr>
          <w:p w:rsidR="008B1196" w:rsidRPr="00EB4D74" w:rsidRDefault="008B1196" w:rsidP="00EA30FC">
            <w:pPr>
              <w:pStyle w:val="TableText"/>
              <w:widowControl w:val="0"/>
              <w:spacing w:before="40" w:after="40"/>
              <w:rPr>
                <w:rFonts w:cs="Tahoma"/>
                <w:b/>
                <w:color w:val="0000FF"/>
                <w:sz w:val="13"/>
                <w:szCs w:val="13"/>
                <w:u w:val="single"/>
              </w:rPr>
            </w:pPr>
            <w:hyperlink w:anchor="_96Windows_Embedded_Device" w:history="1">
              <w:r w:rsidRPr="00EB4D74">
                <w:rPr>
                  <w:rStyle w:val="Hyperlink"/>
                  <w:rFonts w:cs="Tahoma"/>
                  <w:b/>
                  <w:sz w:val="13"/>
                  <w:szCs w:val="13"/>
                </w:rPr>
                <w:t>96</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287"/>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78" w:name="_Toc336338119"/>
            <w:bookmarkStart w:id="579" w:name="_Toc342914752"/>
            <w:bookmarkEnd w:id="578"/>
            <w:r w:rsidRPr="00413E94">
              <w:rPr>
                <w:rFonts w:ascii="Tahoma" w:hAnsi="Tahoma" w:cs="Tahoma"/>
                <w:b w:val="0"/>
                <w:sz w:val="14"/>
                <w:szCs w:val="14"/>
                <w:lang w:val="pt-BR"/>
              </w:rPr>
              <w:t>Windows Essential Business Server 2008 Standard</w:t>
            </w:r>
            <w:bookmarkEnd w:id="579"/>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_107_EBS_2008" w:history="1">
              <w:r w:rsidRPr="00EB4D74">
                <w:rPr>
                  <w:rStyle w:val="Hyperlink"/>
                  <w:rFonts w:cs="Tahoma"/>
                  <w:b/>
                  <w:sz w:val="13"/>
                  <w:szCs w:val="13"/>
                </w:rPr>
                <w:t>97</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80" w:name="_Toc336338120"/>
            <w:bookmarkStart w:id="581" w:name="_Toc342914753"/>
            <w:bookmarkEnd w:id="580"/>
            <w:r w:rsidRPr="00413E94">
              <w:rPr>
                <w:rFonts w:ascii="Tahoma" w:hAnsi="Tahoma" w:cs="Tahoma"/>
                <w:b w:val="0"/>
                <w:sz w:val="14"/>
                <w:szCs w:val="14"/>
                <w:lang w:val="pt-BR"/>
              </w:rPr>
              <w:t>Windows Essential Business Server 2008 CAL Suite</w:t>
            </w:r>
            <w:bookmarkEnd w:id="581"/>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82" w:name="_Toc336338121"/>
            <w:bookmarkStart w:id="583" w:name="_Toc342914754"/>
            <w:bookmarkEnd w:id="582"/>
            <w:r w:rsidRPr="00413E94">
              <w:rPr>
                <w:rFonts w:ascii="Tahoma" w:hAnsi="Tahoma" w:cs="Tahoma"/>
                <w:b w:val="0"/>
                <w:sz w:val="14"/>
                <w:szCs w:val="14"/>
                <w:lang w:val="pt-BR"/>
              </w:rPr>
              <w:t>Windows Essential Business Server 2008 CAL Suite (5 clientes)</w:t>
            </w:r>
            <w:bookmarkEnd w:id="583"/>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FF"/>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84" w:name="_Toc336338122"/>
            <w:bookmarkStart w:id="585" w:name="_Toc342914755"/>
            <w:bookmarkEnd w:id="584"/>
            <w:r w:rsidRPr="00413E94">
              <w:rPr>
                <w:rFonts w:ascii="Tahoma" w:hAnsi="Tahoma" w:cs="Tahoma"/>
                <w:b w:val="0"/>
                <w:color w:val="000000"/>
                <w:sz w:val="14"/>
                <w:szCs w:val="14"/>
                <w:lang w:val="pt-BR"/>
              </w:rPr>
              <w:t>Windows Essential Business Server 2008 CAL Suite (20 clientes)</w:t>
            </w:r>
            <w:bookmarkEnd w:id="585"/>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287"/>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86" w:name="_Toc336338123"/>
            <w:bookmarkStart w:id="587" w:name="_Toc342914756"/>
            <w:bookmarkEnd w:id="586"/>
            <w:r w:rsidRPr="00413E94">
              <w:rPr>
                <w:rFonts w:ascii="Tahoma" w:hAnsi="Tahoma" w:cs="Tahoma"/>
                <w:b w:val="0"/>
                <w:sz w:val="14"/>
                <w:szCs w:val="14"/>
                <w:lang w:val="pt-BR"/>
              </w:rPr>
              <w:t>Windows Essential Business Server 2008 CAL Suite (50 clientes)</w:t>
            </w:r>
            <w:bookmarkEnd w:id="587"/>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color w:val="0000FF"/>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88" w:name="_Toc336338124"/>
            <w:bookmarkStart w:id="589" w:name="_Toc342914757"/>
            <w:bookmarkEnd w:id="588"/>
            <w:r w:rsidRPr="00413E94">
              <w:rPr>
                <w:rFonts w:ascii="Tahoma" w:hAnsi="Tahoma" w:cs="Tahoma"/>
                <w:b w:val="0"/>
                <w:sz w:val="14"/>
                <w:szCs w:val="14"/>
                <w:lang w:val="pt-BR"/>
              </w:rPr>
              <w:t>Windows Essential Business Server 2008 Premium</w:t>
            </w:r>
            <w:bookmarkEnd w:id="589"/>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_107_EBS_2008" w:history="1">
              <w:r w:rsidRPr="00EB4D74">
                <w:rPr>
                  <w:rStyle w:val="Hyperlink"/>
                  <w:rFonts w:cs="Tahoma"/>
                  <w:b/>
                  <w:sz w:val="13"/>
                  <w:szCs w:val="13"/>
                </w:rPr>
                <w:t>97</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cantSplit/>
          <w:trHeight w:val="287"/>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90" w:name="_Toc336338125"/>
            <w:bookmarkStart w:id="591" w:name="_Toc342914758"/>
            <w:bookmarkEnd w:id="590"/>
            <w:r w:rsidRPr="00413E94">
              <w:rPr>
                <w:rFonts w:ascii="Tahoma" w:hAnsi="Tahoma" w:cs="Tahoma"/>
                <w:b w:val="0"/>
                <w:sz w:val="14"/>
                <w:szCs w:val="14"/>
                <w:lang w:val="pt-BR"/>
              </w:rPr>
              <w:t>Windows Essential Business Server 2008 CAL Suite para Usuários ou Dispositivos Premium</w:t>
            </w:r>
            <w:bookmarkEnd w:id="591"/>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92" w:name="_Toc336338126"/>
            <w:bookmarkStart w:id="593" w:name="_Toc342914759"/>
            <w:bookmarkEnd w:id="592"/>
            <w:r w:rsidRPr="00413E94">
              <w:rPr>
                <w:rFonts w:ascii="Tahoma" w:hAnsi="Tahoma" w:cs="Tahoma"/>
                <w:b w:val="0"/>
                <w:sz w:val="14"/>
                <w:szCs w:val="14"/>
                <w:lang w:val="pt-BR"/>
              </w:rPr>
              <w:t>Windows Essential Business Server 2008 CAL Suite para Usuários ou Dispositivos Premium (5 clientes)</w:t>
            </w:r>
            <w:bookmarkEnd w:id="593"/>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287"/>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94" w:name="_Toc336338127"/>
            <w:bookmarkStart w:id="595" w:name="_Toc342914760"/>
            <w:bookmarkEnd w:id="594"/>
            <w:r w:rsidRPr="00413E94">
              <w:rPr>
                <w:rFonts w:ascii="Tahoma" w:hAnsi="Tahoma" w:cs="Tahoma"/>
                <w:b w:val="0"/>
                <w:sz w:val="14"/>
                <w:szCs w:val="14"/>
                <w:lang w:val="pt-BR"/>
              </w:rPr>
              <w:t>Windows Essential Business Server 2008 CAL Suite para Usuários ou Dispositivos Premium (20 clientes)</w:t>
            </w:r>
            <w:bookmarkEnd w:id="595"/>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287"/>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596" w:name="_Toc336338128"/>
            <w:bookmarkStart w:id="597" w:name="_Toc342914761"/>
            <w:bookmarkEnd w:id="596"/>
            <w:r w:rsidRPr="00413E94">
              <w:rPr>
                <w:rFonts w:ascii="Tahoma" w:hAnsi="Tahoma" w:cs="Tahoma"/>
                <w:b w:val="0"/>
                <w:sz w:val="14"/>
                <w:szCs w:val="14"/>
                <w:lang w:val="pt-BR"/>
              </w:rPr>
              <w:t>Windows Essential Business Server 2008 CAL Suite para Usuários ou Dispositivos Premium (50 clientes)</w:t>
            </w:r>
            <w:bookmarkEnd w:id="597"/>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color w:val="0000FF"/>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11/08</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598" w:name="_Toc336338129"/>
            <w:bookmarkStart w:id="599" w:name="_Toc342914762"/>
            <w:bookmarkEnd w:id="598"/>
            <w:r w:rsidRPr="00413E94">
              <w:rPr>
                <w:rFonts w:ascii="Tahoma" w:hAnsi="Tahoma" w:cs="Tahoma"/>
                <w:b w:val="0"/>
                <w:sz w:val="14"/>
                <w:szCs w:val="14"/>
                <w:lang w:val="pt-BR"/>
              </w:rPr>
              <w:t>Windows HPC Server 2008 R2 Suite</w:t>
            </w:r>
            <w:bookmarkEnd w:id="599"/>
          </w:p>
        </w:tc>
        <w:tc>
          <w:tcPr>
            <w:tcW w:w="450" w:type="dxa"/>
            <w:shd w:val="clear" w:color="auto" w:fill="FFFFFF"/>
            <w:vAlign w:val="center"/>
          </w:tcPr>
          <w:p w:rsidR="008B1196" w:rsidRPr="00EB4D74" w:rsidRDefault="008B1196" w:rsidP="00EA30FC">
            <w:pPr>
              <w:pStyle w:val="TableText"/>
              <w:widowControl w:val="0"/>
              <w:spacing w:before="40" w:after="40"/>
              <w:rPr>
                <w:rFonts w:cs="Tahoma"/>
                <w:b/>
                <w:sz w:val="13"/>
                <w:szCs w:val="13"/>
                <w:u w:val="single"/>
              </w:rPr>
            </w:pPr>
            <w:hyperlink w:anchor="Srv_106HPCServer2008_R2Suite" w:history="1">
              <w:r w:rsidRPr="00EB4D74">
                <w:rPr>
                  <w:rStyle w:val="Hyperlink"/>
                  <w:rFonts w:cs="Tahoma"/>
                  <w:b/>
                  <w:sz w:val="13"/>
                  <w:szCs w:val="13"/>
                </w:rPr>
                <w:t>98</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4B083"/>
            <w:vAlign w:val="center"/>
          </w:tcPr>
          <w:p w:rsidR="008B1196" w:rsidRPr="00413E94" w:rsidRDefault="008B1196" w:rsidP="00EA30FC">
            <w:pPr>
              <w:pStyle w:val="Heading2"/>
              <w:spacing w:before="40" w:after="40"/>
              <w:ind w:left="0"/>
              <w:rPr>
                <w:rFonts w:ascii="Tahoma" w:hAnsi="Tahoma" w:cs="Tahoma"/>
                <w:b w:val="0"/>
                <w:sz w:val="14"/>
                <w:szCs w:val="14"/>
              </w:rPr>
            </w:pPr>
            <w:bookmarkStart w:id="600" w:name="_Toc342914763"/>
            <w:r w:rsidRPr="00413E94">
              <w:rPr>
                <w:rFonts w:ascii="Tahoma" w:hAnsi="Tahoma" w:cs="Tahoma"/>
                <w:b w:val="0"/>
                <w:sz w:val="14"/>
                <w:szCs w:val="14"/>
                <w:lang w:val="pt-BR"/>
              </w:rPr>
              <w:t>Complemento do Windows Intune (por Dispositivo)</w:t>
            </w:r>
            <w:bookmarkEnd w:id="600"/>
          </w:p>
        </w:tc>
        <w:tc>
          <w:tcPr>
            <w:tcW w:w="450" w:type="dxa"/>
            <w:shd w:val="clear" w:color="auto" w:fill="F4B083"/>
            <w:vAlign w:val="center"/>
          </w:tcPr>
          <w:p w:rsidR="008B1196" w:rsidRPr="00EB4D74" w:rsidRDefault="008B1196" w:rsidP="00EA30FC">
            <w:pPr>
              <w:pStyle w:val="TableText"/>
              <w:widowControl w:val="0"/>
              <w:spacing w:before="40" w:after="40"/>
              <w:rPr>
                <w:rFonts w:cs="Tahoma"/>
                <w:b/>
                <w:sz w:val="13"/>
                <w:szCs w:val="13"/>
                <w:u w:val="single"/>
              </w:rPr>
            </w:pPr>
            <w:hyperlink w:anchor="_98_Windows_Multipoint" w:history="1">
              <w:r w:rsidRPr="00EB4D74">
                <w:rPr>
                  <w:rStyle w:val="Hyperlink"/>
                  <w:rFonts w:cs="Tahoma"/>
                  <w:b/>
                  <w:sz w:val="13"/>
                  <w:szCs w:val="13"/>
                </w:rPr>
                <w:t>99</w:t>
              </w:r>
            </w:hyperlink>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04/11</w:t>
            </w: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601" w:name="_Toc342914764"/>
            <w:r w:rsidRPr="00413E94">
              <w:rPr>
                <w:rFonts w:ascii="Tahoma" w:hAnsi="Tahoma" w:cs="Tahoma"/>
                <w:b w:val="0"/>
                <w:sz w:val="14"/>
                <w:szCs w:val="14"/>
                <w:lang w:val="pt-BR"/>
              </w:rPr>
              <w:t>Windows Intune (por Dispositivo)</w:t>
            </w:r>
            <w:bookmarkEnd w:id="601"/>
          </w:p>
        </w:tc>
        <w:tc>
          <w:tcPr>
            <w:tcW w:w="450" w:type="dxa"/>
            <w:vAlign w:val="center"/>
          </w:tcPr>
          <w:p w:rsidR="008B1196" w:rsidRPr="00EB4D74" w:rsidRDefault="008B1196" w:rsidP="00EA30FC">
            <w:pPr>
              <w:pStyle w:val="TableText"/>
              <w:widowControl w:val="0"/>
              <w:spacing w:before="40" w:after="40"/>
              <w:rPr>
                <w:rFonts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04/11</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4B083"/>
            <w:vAlign w:val="center"/>
          </w:tcPr>
          <w:p w:rsidR="008B1196" w:rsidRPr="00413E94" w:rsidRDefault="008B1196" w:rsidP="00EA30FC">
            <w:pPr>
              <w:pStyle w:val="Heading2"/>
              <w:spacing w:before="40" w:after="40"/>
              <w:ind w:left="0"/>
              <w:rPr>
                <w:rFonts w:ascii="Tahoma" w:hAnsi="Tahoma" w:cs="Tahoma"/>
                <w:b w:val="0"/>
                <w:sz w:val="14"/>
                <w:szCs w:val="14"/>
              </w:rPr>
            </w:pPr>
            <w:bookmarkStart w:id="602" w:name="_Toc342914765"/>
            <w:r w:rsidRPr="00413E94">
              <w:rPr>
                <w:rFonts w:ascii="Tahoma" w:hAnsi="Tahoma" w:cs="Tahoma"/>
                <w:b w:val="0"/>
                <w:sz w:val="14"/>
                <w:szCs w:val="14"/>
                <w:lang w:val="pt-BR"/>
              </w:rPr>
              <w:t>Complemento do Windows Intune para System Center Configuration Manager e System Center Endppoint Protection (por usuário)</w:t>
            </w:r>
            <w:bookmarkEnd w:id="602"/>
          </w:p>
        </w:tc>
        <w:tc>
          <w:tcPr>
            <w:tcW w:w="450" w:type="dxa"/>
            <w:shd w:val="clear" w:color="auto" w:fill="F4B083"/>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603" w:name="_Toc342914766"/>
            <w:r w:rsidRPr="00413E94">
              <w:rPr>
                <w:rFonts w:ascii="Tahoma" w:hAnsi="Tahoma" w:cs="Tahoma"/>
                <w:b w:val="0"/>
                <w:sz w:val="14"/>
                <w:szCs w:val="14"/>
                <w:lang w:val="pt-BR"/>
              </w:rPr>
              <w:t>Windows Intune (por usuário)</w:t>
            </w:r>
            <w:bookmarkEnd w:id="603"/>
          </w:p>
        </w:tc>
        <w:tc>
          <w:tcPr>
            <w:tcW w:w="450" w:type="dxa"/>
            <w:vAlign w:val="center"/>
          </w:tcPr>
          <w:p w:rsidR="008B1196" w:rsidRPr="00EB4D74" w:rsidRDefault="008B1196" w:rsidP="00EA30FC">
            <w:pPr>
              <w:pStyle w:val="TableText"/>
              <w:widowControl w:val="0"/>
              <w:spacing w:before="40" w:after="40"/>
              <w:rPr>
                <w:rFonts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70"/>
        </w:trPr>
        <w:tc>
          <w:tcPr>
            <w:tcW w:w="2714" w:type="dxa"/>
            <w:shd w:val="clear" w:color="auto" w:fill="F4B083"/>
            <w:vAlign w:val="center"/>
          </w:tcPr>
          <w:p w:rsidR="008B1196" w:rsidRPr="00413E94" w:rsidRDefault="008B1196" w:rsidP="00EA30FC">
            <w:pPr>
              <w:pStyle w:val="Heading2"/>
              <w:spacing w:before="40" w:after="40"/>
              <w:ind w:left="0"/>
              <w:rPr>
                <w:rFonts w:ascii="Tahoma" w:hAnsi="Tahoma" w:cs="Tahoma"/>
                <w:b w:val="0"/>
                <w:sz w:val="14"/>
                <w:szCs w:val="14"/>
              </w:rPr>
            </w:pPr>
            <w:bookmarkStart w:id="604" w:name="_Toc336338130"/>
            <w:bookmarkStart w:id="605" w:name="_Toc342914767"/>
            <w:bookmarkEnd w:id="604"/>
            <w:r w:rsidRPr="00413E94">
              <w:rPr>
                <w:rFonts w:ascii="Tahoma" w:hAnsi="Tahoma" w:cs="Tahoma"/>
                <w:b w:val="0"/>
                <w:sz w:val="14"/>
                <w:szCs w:val="14"/>
                <w:lang w:val="pt-BR"/>
              </w:rPr>
              <w:t>Armazenamento Extra de 1 GB do Windows Intune</w:t>
            </w:r>
            <w:bookmarkEnd w:id="605"/>
          </w:p>
        </w:tc>
        <w:tc>
          <w:tcPr>
            <w:tcW w:w="450" w:type="dxa"/>
            <w:shd w:val="clear" w:color="auto" w:fill="F4B083"/>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10/11</w:t>
            </w: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9" w:type="dxa"/>
            <w:tcBorders>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4B083"/>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4B083"/>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606" w:name="_Toc342914768"/>
            <w:r w:rsidRPr="00413E94">
              <w:rPr>
                <w:rFonts w:ascii="Tahoma" w:hAnsi="Tahoma" w:cs="Tahoma"/>
                <w:b w:val="0"/>
                <w:sz w:val="14"/>
                <w:szCs w:val="14"/>
                <w:lang w:val="pt-BR"/>
              </w:rPr>
              <w:t>SL do Usuário do Windows Intune</w:t>
            </w:r>
            <w:bookmarkEnd w:id="606"/>
          </w:p>
        </w:tc>
        <w:tc>
          <w:tcPr>
            <w:tcW w:w="450" w:type="dxa"/>
            <w:vAlign w:val="center"/>
          </w:tcPr>
          <w:p w:rsidR="008B1196" w:rsidRPr="00EB4D74" w:rsidRDefault="008B1196" w:rsidP="00EA30FC">
            <w:pPr>
              <w:pStyle w:val="TableText"/>
              <w:widowControl w:val="0"/>
              <w:spacing w:before="40" w:after="40"/>
              <w:rPr>
                <w:rFonts w:cs="Tahoma"/>
                <w:sz w:val="13"/>
                <w:szCs w:val="13"/>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w:t>
            </w: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07" w:name="_Toc336338131"/>
            <w:bookmarkStart w:id="608" w:name="_Toc342914769"/>
            <w:bookmarkEnd w:id="607"/>
            <w:r w:rsidRPr="00413E94">
              <w:rPr>
                <w:rFonts w:ascii="Tahoma" w:hAnsi="Tahoma" w:cs="Tahoma"/>
                <w:b w:val="0"/>
                <w:sz w:val="14"/>
                <w:szCs w:val="14"/>
                <w:lang w:val="pt-BR"/>
              </w:rPr>
              <w:t>Complemento da SL do Usuário do Windows Intune</w:t>
            </w:r>
            <w:bookmarkEnd w:id="608"/>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hyperlink w:anchor="_99_Complemento_do" w:history="1">
              <w:r w:rsidRPr="00EB4D74">
                <w:rPr>
                  <w:rStyle w:val="Hyperlink"/>
                  <w:rFonts w:cs="Tahoma"/>
                  <w:b/>
                  <w:sz w:val="13"/>
                  <w:szCs w:val="13"/>
                </w:rPr>
                <w:t>99</w:t>
              </w:r>
            </w:hyperlink>
          </w:p>
        </w:tc>
        <w:tc>
          <w:tcPr>
            <w:tcW w:w="450" w:type="dxa"/>
            <w:shd w:val="clear" w:color="auto" w:fill="FABF8F"/>
            <w:vAlign w:val="center"/>
          </w:tcPr>
          <w:p w:rsidR="008B1196" w:rsidRPr="00EB4D74" w:rsidDel="00FA1B15"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09" w:name="_Toc336338132"/>
            <w:bookmarkStart w:id="610" w:name="_Toc342914770"/>
            <w:bookmarkEnd w:id="609"/>
            <w:r w:rsidRPr="00413E94">
              <w:rPr>
                <w:rFonts w:ascii="Tahoma" w:hAnsi="Tahoma" w:cs="Tahoma"/>
                <w:b w:val="0"/>
                <w:sz w:val="14"/>
                <w:szCs w:val="14"/>
                <w:lang w:val="pt-BR"/>
              </w:rPr>
              <w:lastRenderedPageBreak/>
              <w:t>Armazenamento Extra de 1 GB de SL do Usuário do Windows Intune</w:t>
            </w:r>
            <w:bookmarkEnd w:id="610"/>
          </w:p>
        </w:tc>
        <w:tc>
          <w:tcPr>
            <w:tcW w:w="450" w:type="dxa"/>
            <w:shd w:val="clear" w:color="auto" w:fill="FABF8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ABF8F"/>
            <w:vAlign w:val="center"/>
          </w:tcPr>
          <w:p w:rsidR="008B1196" w:rsidRPr="00EB4D74" w:rsidDel="00FA1B15"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11" w:name="_Toc336338133"/>
            <w:bookmarkStart w:id="612" w:name="_Toc342914771"/>
            <w:bookmarkEnd w:id="611"/>
            <w:r w:rsidRPr="00413E94">
              <w:rPr>
                <w:rFonts w:ascii="Tahoma" w:hAnsi="Tahoma" w:cs="Tahoma"/>
                <w:b w:val="0"/>
                <w:sz w:val="14"/>
                <w:szCs w:val="14"/>
                <w:lang w:val="pt-BR"/>
              </w:rPr>
              <w:t>Windows MultiPoint Server 2012 Standard</w:t>
            </w:r>
            <w:bookmarkEnd w:id="612"/>
          </w:p>
        </w:tc>
        <w:tc>
          <w:tcPr>
            <w:tcW w:w="450" w:type="dxa"/>
            <w:shd w:val="clear" w:color="auto" w:fill="FFFFFF"/>
            <w:vAlign w:val="center"/>
          </w:tcPr>
          <w:p w:rsidR="008B1196" w:rsidRPr="00EB4D74" w:rsidRDefault="008B1196" w:rsidP="00EA30FC">
            <w:pPr>
              <w:pStyle w:val="TableText"/>
              <w:widowControl w:val="0"/>
              <w:spacing w:before="40" w:after="40"/>
              <w:rPr>
                <w:rFonts w:cs="Tahoma"/>
                <w:b/>
                <w:sz w:val="13"/>
                <w:szCs w:val="13"/>
                <w:u w:val="single"/>
              </w:rPr>
            </w:pPr>
            <w:hyperlink w:anchor="_100Windows_Multipoint_Server" w:history="1">
              <w:r w:rsidRPr="00EB4D74">
                <w:rPr>
                  <w:rStyle w:val="Hyperlink"/>
                  <w:rFonts w:cs="Tahoma"/>
                  <w:b/>
                  <w:sz w:val="13"/>
                  <w:szCs w:val="13"/>
                </w:rPr>
                <w:t>100</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13" w:name="_Toc336338134"/>
            <w:bookmarkStart w:id="614" w:name="_Toc342914772"/>
            <w:bookmarkEnd w:id="613"/>
            <w:r w:rsidRPr="00413E94">
              <w:rPr>
                <w:rFonts w:ascii="Tahoma" w:hAnsi="Tahoma" w:cs="Tahoma"/>
                <w:b w:val="0"/>
                <w:sz w:val="14"/>
                <w:szCs w:val="14"/>
                <w:lang w:val="pt-BR"/>
              </w:rPr>
              <w:t>Windows MultiPoint Server 2012 Premium</w:t>
            </w:r>
            <w:bookmarkEnd w:id="614"/>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hyperlink w:anchor="Srv_107WinMultipointSvr2011Premium" w:history="1">
              <w:r w:rsidRPr="00EB4D74">
                <w:rPr>
                  <w:rStyle w:val="Hyperlink"/>
                  <w:rFonts w:cs="Tahoma"/>
                  <w:b/>
                  <w:sz w:val="13"/>
                  <w:szCs w:val="13"/>
                </w:rPr>
                <w:t>101</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15" w:name="_Toc336338135"/>
            <w:bookmarkStart w:id="616" w:name="_Toc342914773"/>
            <w:bookmarkEnd w:id="615"/>
            <w:r w:rsidRPr="00413E94">
              <w:rPr>
                <w:rFonts w:ascii="Tahoma" w:hAnsi="Tahoma" w:cs="Tahoma"/>
                <w:b w:val="0"/>
                <w:sz w:val="14"/>
                <w:szCs w:val="14"/>
                <w:lang w:val="pt-BR"/>
              </w:rPr>
              <w:t>CAL do Windows MultiPoint Server 2012</w:t>
            </w:r>
            <w:bookmarkEnd w:id="616"/>
          </w:p>
        </w:tc>
        <w:tc>
          <w:tcPr>
            <w:tcW w:w="450" w:type="dxa"/>
            <w:shd w:val="clear" w:color="auto" w:fill="FFFFFF"/>
            <w:vAlign w:val="center"/>
          </w:tcPr>
          <w:p w:rsidR="008B1196" w:rsidRPr="00EB4D74" w:rsidRDefault="008B1196" w:rsidP="00EA30FC">
            <w:pPr>
              <w:pStyle w:val="TableText"/>
              <w:widowControl w:val="0"/>
              <w:spacing w:before="40" w:after="40"/>
              <w:rPr>
                <w:rFonts w:cs="Tahoma"/>
                <w:b/>
                <w:sz w:val="13"/>
                <w:szCs w:val="13"/>
                <w:u w:val="single"/>
              </w:rPr>
            </w:pPr>
            <w:hyperlink w:anchor="Srv_108WinMultipointSvr2011CAL" w:history="1">
              <w:r w:rsidRPr="00EB4D74">
                <w:rPr>
                  <w:rStyle w:val="Hyperlink"/>
                  <w:rFonts w:cs="Tahoma"/>
                  <w:b/>
                  <w:sz w:val="13"/>
                  <w:szCs w:val="13"/>
                </w:rPr>
                <w:t>102</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17" w:name="_Toc336338136"/>
            <w:bookmarkStart w:id="618" w:name="_Toc342914774"/>
            <w:bookmarkEnd w:id="617"/>
            <w:r w:rsidRPr="00413E94">
              <w:rPr>
                <w:rFonts w:ascii="Tahoma" w:hAnsi="Tahoma" w:cs="Tahoma"/>
                <w:b w:val="0"/>
                <w:sz w:val="14"/>
                <w:szCs w:val="14"/>
                <w:lang w:val="pt-BR"/>
              </w:rPr>
              <w:t>CAL do Windows MultiPoint Server 2012 com CAL do Windows Server 2012</w:t>
            </w:r>
            <w:bookmarkEnd w:id="618"/>
          </w:p>
        </w:tc>
        <w:tc>
          <w:tcPr>
            <w:tcW w:w="450" w:type="dxa"/>
            <w:shd w:val="clear" w:color="auto" w:fill="FABF8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12/12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19" w:name="_Toc336338137"/>
            <w:bookmarkStart w:id="620" w:name="_Toc342914775"/>
            <w:bookmarkEnd w:id="619"/>
            <w:r w:rsidRPr="00413E94">
              <w:rPr>
                <w:rFonts w:ascii="Tahoma" w:hAnsi="Tahoma" w:cs="Tahoma"/>
                <w:b w:val="0"/>
                <w:sz w:val="14"/>
                <w:szCs w:val="14"/>
                <w:lang w:val="pt-BR"/>
              </w:rPr>
              <w:t>Windows MultiPoint Server 2012 Premium com Windows MultiPoint Server 2012 (CAL) (5 Clientes)</w:t>
            </w:r>
            <w:bookmarkEnd w:id="620"/>
          </w:p>
        </w:tc>
        <w:tc>
          <w:tcPr>
            <w:tcW w:w="450" w:type="dxa"/>
            <w:shd w:val="clear" w:color="auto" w:fill="FFFFF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01/13</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21" w:name="_Toc336338138"/>
            <w:bookmarkStart w:id="622" w:name="_Toc342914776"/>
            <w:bookmarkEnd w:id="621"/>
            <w:r w:rsidRPr="00413E94">
              <w:rPr>
                <w:rFonts w:ascii="Tahoma" w:hAnsi="Tahoma" w:cs="Tahoma"/>
                <w:b w:val="0"/>
                <w:sz w:val="14"/>
                <w:szCs w:val="14"/>
                <w:lang w:val="pt-BR"/>
              </w:rPr>
              <w:t>Windows MultiPoint Server 2012 Premium com Windows MultiPoint Server 2012 (CAL) (5 Clientes) com CAL do Windows Server 2012 (5 Clientes)</w:t>
            </w:r>
            <w:bookmarkEnd w:id="622"/>
          </w:p>
        </w:tc>
        <w:tc>
          <w:tcPr>
            <w:tcW w:w="450" w:type="dxa"/>
            <w:shd w:val="clear" w:color="auto" w:fill="FABF8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01/13</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23" w:name="_Toc336338139"/>
            <w:bookmarkStart w:id="624" w:name="_Toc342914777"/>
            <w:bookmarkEnd w:id="623"/>
            <w:r w:rsidRPr="00413E94">
              <w:rPr>
                <w:rFonts w:ascii="Tahoma" w:hAnsi="Tahoma" w:cs="Tahoma"/>
                <w:b w:val="0"/>
                <w:sz w:val="14"/>
                <w:szCs w:val="14"/>
                <w:lang w:val="pt-BR"/>
              </w:rPr>
              <w:t>Windows Server™ 2008 R2 HPC Edition</w:t>
            </w:r>
            <w:bookmarkEnd w:id="624"/>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Srv_110WinSvr08R2HPC" w:history="1">
              <w:r w:rsidRPr="00EB4D74">
                <w:rPr>
                  <w:rStyle w:val="Hyperlink"/>
                  <w:rFonts w:cs="Tahoma"/>
                  <w:b/>
                  <w:sz w:val="13"/>
                  <w:szCs w:val="13"/>
                </w:rPr>
                <w:t>103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sz w:val="13"/>
              </w:rPr>
              <w:t>09/10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25" w:name="_Toc336338140"/>
            <w:bookmarkStart w:id="626" w:name="_Toc342914778"/>
            <w:bookmarkEnd w:id="625"/>
            <w:r w:rsidRPr="00413E94">
              <w:rPr>
                <w:rFonts w:ascii="Tahoma" w:hAnsi="Tahoma" w:cs="Tahoma"/>
                <w:b w:val="0"/>
                <w:sz w:val="14"/>
                <w:szCs w:val="14"/>
                <w:lang w:val="pt-BR"/>
              </w:rPr>
              <w:t>Windows Server™ 2008 R2 Enterprise</w:t>
            </w:r>
            <w:bookmarkEnd w:id="626"/>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_97_Windows_Server" w:history="1">
              <w:r w:rsidRPr="00EB4D74">
                <w:rPr>
                  <w:rStyle w:val="Hyperlink"/>
                  <w:rFonts w:cs="Tahoma"/>
                  <w:b/>
                  <w:sz w:val="13"/>
                  <w:szCs w:val="13"/>
                </w:rPr>
                <w:t>104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27" w:name="_Toc336338141"/>
            <w:bookmarkStart w:id="628" w:name="_Toc342914779"/>
            <w:bookmarkEnd w:id="627"/>
            <w:r w:rsidRPr="00413E94">
              <w:rPr>
                <w:rFonts w:ascii="Tahoma" w:hAnsi="Tahoma" w:cs="Tahoma"/>
                <w:b w:val="0"/>
                <w:sz w:val="14"/>
                <w:szCs w:val="14"/>
                <w:lang w:val="pt-BR"/>
              </w:rPr>
              <w:t>Windows Server™ 2008 R2 Itanium Based Systems</w:t>
            </w:r>
            <w:bookmarkEnd w:id="628"/>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sz w:val="13"/>
                <w:szCs w:val="13"/>
                <w:u w:val="single"/>
              </w:rPr>
            </w:pPr>
            <w:hyperlink w:anchor="Srv_1132WinSvr08R2Itanium" w:history="1">
              <w:r w:rsidRPr="00EB4D74">
                <w:rPr>
                  <w:rStyle w:val="Hyperlink"/>
                  <w:rFonts w:cs="Tahoma"/>
                  <w:b/>
                  <w:sz w:val="13"/>
                  <w:szCs w:val="13"/>
                </w:rPr>
                <w:t>105</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08/09</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29" w:name="_Toc336338142"/>
            <w:bookmarkStart w:id="630" w:name="_Toc342914780"/>
            <w:bookmarkEnd w:id="629"/>
            <w:r w:rsidRPr="00413E94">
              <w:rPr>
                <w:rFonts w:ascii="Tahoma" w:hAnsi="Tahoma" w:cs="Tahoma"/>
                <w:b w:val="0"/>
                <w:sz w:val="14"/>
                <w:szCs w:val="14"/>
                <w:lang w:val="pt-BR"/>
              </w:rPr>
              <w:t>CAL do Windows Server™ 2012 (Dispositivo e Usuário)</w:t>
            </w:r>
            <w:bookmarkEnd w:id="630"/>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hyperlink w:anchor="_116_Windows_Server" w:history="1">
              <w:r w:rsidRPr="00EB4D74">
                <w:rPr>
                  <w:rStyle w:val="Hyperlink"/>
                  <w:rFonts w:cs="Tahoma"/>
                  <w:b/>
                  <w:sz w:val="13"/>
                  <w:szCs w:val="13"/>
                </w:rPr>
                <w:t>106</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D</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31" w:name="_Toc336338143"/>
            <w:bookmarkStart w:id="632" w:name="_Toc342914781"/>
            <w:bookmarkEnd w:id="631"/>
            <w:r w:rsidRPr="00413E94">
              <w:rPr>
                <w:rFonts w:ascii="Tahoma" w:hAnsi="Tahoma" w:cs="Tahoma"/>
                <w:b w:val="0"/>
                <w:sz w:val="14"/>
                <w:szCs w:val="14"/>
                <w:lang w:val="pt-BR"/>
              </w:rPr>
              <w:t>Windows Server™ 2012 Datacenter</w:t>
            </w:r>
            <w:bookmarkEnd w:id="632"/>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color w:val="0070C0"/>
                <w:sz w:val="13"/>
                <w:szCs w:val="13"/>
                <w:u w:val="single"/>
              </w:rPr>
            </w:pPr>
            <w:hyperlink w:anchor="_114_Windows_Server" w:history="1">
              <w:r w:rsidRPr="00EB4D74">
                <w:rPr>
                  <w:rStyle w:val="Hyperlink"/>
                  <w:rFonts w:cs="Tahoma"/>
                  <w:b/>
                  <w:sz w:val="13"/>
                  <w:szCs w:val="13"/>
                </w:rPr>
                <w:t>107</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33" w:name="_Toc336338144"/>
            <w:bookmarkStart w:id="634" w:name="_Toc342914782"/>
            <w:bookmarkEnd w:id="633"/>
            <w:r w:rsidRPr="00413E94">
              <w:rPr>
                <w:rFonts w:ascii="Tahoma" w:hAnsi="Tahoma" w:cs="Tahoma"/>
                <w:b w:val="0"/>
                <w:sz w:val="14"/>
                <w:szCs w:val="14"/>
                <w:lang w:val="pt-BR"/>
              </w:rPr>
              <w:t>Windows Server™ 2012 Standard</w:t>
            </w:r>
            <w:bookmarkEnd w:id="634"/>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color w:val="0070C0"/>
                <w:sz w:val="13"/>
                <w:szCs w:val="13"/>
                <w:u w:val="single"/>
              </w:rPr>
            </w:pPr>
            <w:hyperlink w:anchor="_118_Windows_Server" w:history="1">
              <w:r w:rsidRPr="00EB4D74">
                <w:rPr>
                  <w:rStyle w:val="Hyperlink"/>
                  <w:rFonts w:cs="Tahoma"/>
                  <w:b/>
                  <w:sz w:val="13"/>
                  <w:szCs w:val="13"/>
                </w:rPr>
                <w:t>108</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8</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635" w:name="_Toc336338145"/>
            <w:bookmarkStart w:id="636" w:name="_Toc342914783"/>
            <w:bookmarkEnd w:id="635"/>
            <w:r w:rsidRPr="00413E94">
              <w:rPr>
                <w:rFonts w:ascii="Tahoma" w:hAnsi="Tahoma" w:cs="Tahoma"/>
                <w:b w:val="0"/>
                <w:sz w:val="14"/>
                <w:szCs w:val="14"/>
                <w:lang w:val="pt-BR"/>
              </w:rPr>
              <w:t>External Connector do Windows Server™</w:t>
            </w:r>
            <w:bookmarkEnd w:id="636"/>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63</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13</w:t>
            </w: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37" w:name="_Toc336338146"/>
            <w:bookmarkStart w:id="638" w:name="_Toc342914784"/>
            <w:bookmarkEnd w:id="637"/>
            <w:r w:rsidRPr="00413E94">
              <w:rPr>
                <w:rFonts w:ascii="Tahoma" w:hAnsi="Tahoma" w:cs="Tahoma"/>
                <w:b w:val="0"/>
                <w:sz w:val="14"/>
                <w:szCs w:val="14"/>
                <w:lang w:val="pt-BR"/>
              </w:rPr>
              <w:t>CAL de Serviços de Área de Trabalho Remota do Windows Server™ 2012</w:t>
            </w:r>
            <w:bookmarkEnd w:id="638"/>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 D</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639" w:name="_Toc336338147"/>
            <w:bookmarkStart w:id="640" w:name="_Toc342914785"/>
            <w:bookmarkEnd w:id="639"/>
            <w:r w:rsidRPr="00413E94">
              <w:rPr>
                <w:rFonts w:ascii="Tahoma" w:hAnsi="Tahoma" w:cs="Tahoma"/>
                <w:b w:val="0"/>
                <w:sz w:val="14"/>
                <w:szCs w:val="14"/>
                <w:lang w:val="pt-BR"/>
              </w:rPr>
              <w:t>External Connector dos Serviços de Área de Trabalho Remota do Windows Server™ 2012</w:t>
            </w:r>
            <w:bookmarkEnd w:id="640"/>
          </w:p>
        </w:tc>
        <w:tc>
          <w:tcPr>
            <w:tcW w:w="450" w:type="dxa"/>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150</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113</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113</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38</w:t>
            </w: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75</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cantSplit/>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41" w:name="_Toc336338148"/>
            <w:bookmarkStart w:id="642" w:name="_Toc342914786"/>
            <w:bookmarkEnd w:id="641"/>
            <w:r w:rsidRPr="00413E94">
              <w:rPr>
                <w:rFonts w:ascii="Tahoma" w:hAnsi="Tahoma" w:cs="Tahoma"/>
                <w:b w:val="0"/>
                <w:sz w:val="14"/>
                <w:szCs w:val="14"/>
                <w:lang w:val="pt-BR"/>
              </w:rPr>
              <w:t>CAL dos Serviços de Gerenciamento de Direitos do Active Directory do Windows Server™ 2012</w:t>
            </w:r>
            <w:bookmarkEnd w:id="642"/>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cantSplit/>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43" w:name="_Toc336338149"/>
            <w:bookmarkStart w:id="644" w:name="_Toc342914787"/>
            <w:bookmarkEnd w:id="643"/>
            <w:r w:rsidRPr="00413E94">
              <w:rPr>
                <w:rFonts w:ascii="Tahoma" w:hAnsi="Tahoma" w:cs="Tahoma"/>
                <w:b w:val="0"/>
                <w:sz w:val="14"/>
                <w:szCs w:val="14"/>
                <w:lang w:val="pt-BR"/>
              </w:rPr>
              <w:t>External Connector dos Serviços de Gerenciamento de Direitos do Active Directory do Windows Server™</w:t>
            </w:r>
            <w:bookmarkEnd w:id="644"/>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sz w:val="13"/>
                <w:szCs w:val="13"/>
                <w:u w:val="single"/>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09/12</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313</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250</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188</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63</w:t>
            </w: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125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LO/OV</w:t>
            </w:r>
          </w:p>
        </w:tc>
      </w:tr>
      <w:tr w:rsidR="008B1196" w:rsidRPr="00EB4D74" w:rsidTr="00EA30FC">
        <w:trPr>
          <w:trHeight w:val="359"/>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45" w:name="_Toc336338152"/>
            <w:bookmarkStart w:id="646" w:name="_Toc342914788"/>
            <w:bookmarkEnd w:id="645"/>
            <w:r w:rsidRPr="00413E94">
              <w:rPr>
                <w:rFonts w:ascii="Tahoma" w:hAnsi="Tahoma" w:cs="Tahoma"/>
                <w:b w:val="0"/>
                <w:sz w:val="14"/>
                <w:szCs w:val="14"/>
                <w:lang w:val="pt-BR"/>
              </w:rPr>
              <w:t>Windows Web Server 2008 R2</w:t>
            </w:r>
            <w:bookmarkEnd w:id="646"/>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sz w:val="13"/>
                <w:szCs w:val="13"/>
                <w:u w:val="single"/>
              </w:rPr>
            </w:pPr>
            <w:hyperlink w:anchor="_119_Windows_Web" w:history="1">
              <w:r w:rsidRPr="00EB4D74">
                <w:rPr>
                  <w:rStyle w:val="Hyperlink"/>
                  <w:rFonts w:cs="Tahoma"/>
                  <w:b/>
                  <w:sz w:val="13"/>
                  <w:szCs w:val="13"/>
                </w:rPr>
                <w:t>109</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rPr>
              <w:t>08/09</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r w:rsidRPr="00EB4D74">
              <w:rPr>
                <w:rFonts w:ascii="Tahoma" w:hAnsi="Tahoma" w:cs="Tahoma"/>
                <w:color w:val="000000"/>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47" w:name="_Toc336338153"/>
            <w:bookmarkStart w:id="648" w:name="_Toc342914789"/>
            <w:bookmarkEnd w:id="647"/>
            <w:r w:rsidRPr="00413E94">
              <w:rPr>
                <w:rFonts w:ascii="Tahoma" w:hAnsi="Tahoma" w:cs="Tahoma"/>
                <w:b w:val="0"/>
                <w:sz w:val="14"/>
                <w:szCs w:val="14"/>
                <w:lang w:val="pt-BR"/>
              </w:rPr>
              <w:t>Windows Small Business Server 2008 Premium</w:t>
            </w:r>
            <w:bookmarkEnd w:id="648"/>
          </w:p>
        </w:tc>
        <w:tc>
          <w:tcPr>
            <w:tcW w:w="450" w:type="dxa"/>
            <w:shd w:val="clear" w:color="auto" w:fill="FFFFFF"/>
            <w:vAlign w:val="center"/>
          </w:tcPr>
          <w:p w:rsidR="008B1196" w:rsidRPr="00EB4D74" w:rsidRDefault="008B1196" w:rsidP="00EA30FC">
            <w:pPr>
              <w:pStyle w:val="TableText"/>
              <w:widowControl w:val="0"/>
              <w:spacing w:before="40" w:after="40"/>
              <w:rPr>
                <w:rFonts w:cs="Tahoma"/>
                <w:b/>
                <w:sz w:val="13"/>
                <w:szCs w:val="13"/>
                <w:u w:val="single"/>
              </w:rPr>
            </w:pPr>
            <w:hyperlink w:anchor="_Toc336338376" w:history="1">
              <w:r w:rsidRPr="00EB4D74">
                <w:rPr>
                  <w:rStyle w:val="Hyperlink"/>
                  <w:rFonts w:cs="Tahoma"/>
                  <w:b/>
                  <w:sz w:val="13"/>
                  <w:szCs w:val="13"/>
                </w:rPr>
                <w:t>110</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10/08</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Del="001265B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49" w:name="_Toc336338154"/>
            <w:bookmarkStart w:id="650" w:name="_Toc342914790"/>
            <w:bookmarkEnd w:id="649"/>
            <w:r w:rsidRPr="00413E94">
              <w:rPr>
                <w:rFonts w:ascii="Tahoma" w:hAnsi="Tahoma" w:cs="Tahoma"/>
                <w:b w:val="0"/>
                <w:sz w:val="14"/>
                <w:szCs w:val="14"/>
                <w:lang w:val="pt-BR"/>
              </w:rPr>
              <w:t>Windows Small Business Server 2008 CAL Suite para Usuários ou Dispositivos Premium</w:t>
            </w:r>
            <w:bookmarkEnd w:id="650"/>
          </w:p>
        </w:tc>
        <w:tc>
          <w:tcPr>
            <w:tcW w:w="450" w:type="dxa"/>
            <w:shd w:val="clear" w:color="auto" w:fill="FABF8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Del="001265B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 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51" w:name="_Toc336338155"/>
            <w:bookmarkStart w:id="652" w:name="_Toc342914791"/>
            <w:bookmarkEnd w:id="651"/>
            <w:r w:rsidRPr="00413E94">
              <w:rPr>
                <w:rFonts w:ascii="Tahoma" w:hAnsi="Tahoma" w:cs="Tahoma"/>
                <w:b w:val="0"/>
                <w:sz w:val="14"/>
                <w:szCs w:val="14"/>
                <w:lang w:val="pt-BR"/>
              </w:rPr>
              <w:t>Windows Small Business Server 2008 CAL Suite para Usuários ou Dispositivos Premium (5 Clientes)</w:t>
            </w:r>
            <w:bookmarkEnd w:id="652"/>
          </w:p>
        </w:tc>
        <w:tc>
          <w:tcPr>
            <w:tcW w:w="450" w:type="dxa"/>
            <w:shd w:val="clear" w:color="auto" w:fill="FFFFF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Del="001265B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53" w:name="_Toc336338156"/>
            <w:bookmarkStart w:id="654" w:name="_Toc342914792"/>
            <w:bookmarkEnd w:id="653"/>
            <w:r w:rsidRPr="00413E94">
              <w:rPr>
                <w:rFonts w:ascii="Tahoma" w:hAnsi="Tahoma" w:cs="Tahoma"/>
                <w:b w:val="0"/>
                <w:sz w:val="14"/>
                <w:szCs w:val="14"/>
                <w:lang w:val="pt-BR"/>
              </w:rPr>
              <w:t>Windows Small Business Server 2008 CAL Suite para Usuários ou Dispositivos Premium (20 Clientes)</w:t>
            </w:r>
            <w:bookmarkEnd w:id="654"/>
          </w:p>
        </w:tc>
        <w:tc>
          <w:tcPr>
            <w:tcW w:w="450" w:type="dxa"/>
            <w:shd w:val="clear" w:color="auto" w:fill="FABF8F"/>
            <w:vAlign w:val="center"/>
          </w:tcPr>
          <w:p w:rsidR="008B1196" w:rsidRPr="00EB4D74" w:rsidRDefault="008B1196" w:rsidP="00EA30FC">
            <w:pPr>
              <w:pStyle w:val="TableText"/>
              <w:widowControl w:val="0"/>
              <w:spacing w:before="40" w:after="40"/>
              <w:rPr>
                <w:rFonts w:cs="Tahoma"/>
                <w:sz w:val="13"/>
                <w:szCs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Del="001265B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55" w:name="_Toc336338157"/>
            <w:bookmarkStart w:id="656" w:name="_Toc342914793"/>
            <w:bookmarkEnd w:id="655"/>
            <w:r w:rsidRPr="00413E94">
              <w:rPr>
                <w:rFonts w:ascii="Tahoma" w:hAnsi="Tahoma" w:cs="Tahoma"/>
                <w:b w:val="0"/>
                <w:sz w:val="14"/>
                <w:szCs w:val="14"/>
                <w:lang w:val="pt-BR"/>
              </w:rPr>
              <w:t>Windows Small Business Server 2011 Standard (5 clientes)</w:t>
            </w:r>
            <w:bookmarkEnd w:id="656"/>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Srv_117WinSmallBizSVR2011Addon" w:history="1">
              <w:r w:rsidRPr="00EB4D74">
                <w:rPr>
                  <w:rStyle w:val="Hyperlink"/>
                  <w:rFonts w:cs="Tahoma"/>
                  <w:b/>
                  <w:sz w:val="13"/>
                  <w:szCs w:val="13"/>
                </w:rPr>
                <w:t>111</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57" w:name="_Toc336338158"/>
            <w:bookmarkStart w:id="658" w:name="_Toc342914794"/>
            <w:bookmarkEnd w:id="657"/>
            <w:r w:rsidRPr="00413E94">
              <w:rPr>
                <w:rFonts w:ascii="Tahoma" w:hAnsi="Tahoma" w:cs="Tahoma"/>
                <w:b w:val="0"/>
                <w:sz w:val="14"/>
                <w:szCs w:val="14"/>
                <w:lang w:val="pt-BR"/>
              </w:rPr>
              <w:t>Windows Small Business Server 2011 CAL Suite (1 cliente)</w:t>
            </w:r>
            <w:bookmarkEnd w:id="658"/>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_110_Windows_Small" w:history="1">
              <w:r w:rsidRPr="00EB4D74">
                <w:rPr>
                  <w:rStyle w:val="Hyperlink"/>
                  <w:rFonts w:cs="Tahoma"/>
                  <w:b/>
                  <w:sz w:val="13"/>
                  <w:szCs w:val="13"/>
                </w:rPr>
                <w:t>112</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 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color w:val="000000"/>
                <w:sz w:val="14"/>
                <w:szCs w:val="14"/>
              </w:rPr>
            </w:pPr>
            <w:bookmarkStart w:id="659" w:name="_Toc336338159"/>
            <w:bookmarkStart w:id="660" w:name="_Toc342914795"/>
            <w:bookmarkEnd w:id="659"/>
            <w:r w:rsidRPr="00413E94">
              <w:rPr>
                <w:rFonts w:ascii="Tahoma" w:hAnsi="Tahoma" w:cs="Tahoma"/>
                <w:b w:val="0"/>
                <w:sz w:val="14"/>
                <w:szCs w:val="14"/>
                <w:lang w:val="pt-BR"/>
              </w:rPr>
              <w:t>Windows Small Business Server 2011 CAL Suite (5 clientes)</w:t>
            </w:r>
            <w:bookmarkEnd w:id="660"/>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sz w:val="13"/>
                <w:szCs w:val="13"/>
                <w:u w:val="single"/>
              </w:rPr>
            </w:pPr>
            <w:hyperlink w:anchor="_120_Windows_Small" w:history="1">
              <w:r w:rsidRPr="00EB4D74">
                <w:rPr>
                  <w:rStyle w:val="Hyperlink"/>
                  <w:rFonts w:cs="Tahoma"/>
                  <w:b/>
                  <w:sz w:val="13"/>
                  <w:szCs w:val="13"/>
                </w:rPr>
                <w:t>112</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color w:val="000000"/>
                <w:sz w:val="14"/>
                <w:szCs w:val="14"/>
              </w:rPr>
            </w:pPr>
            <w:bookmarkStart w:id="661" w:name="_Toc336338160"/>
            <w:bookmarkStart w:id="662" w:name="_Toc342914796"/>
            <w:bookmarkEnd w:id="661"/>
            <w:r w:rsidRPr="00413E94">
              <w:rPr>
                <w:rFonts w:ascii="Tahoma" w:hAnsi="Tahoma" w:cs="Tahoma"/>
                <w:b w:val="0"/>
                <w:sz w:val="14"/>
                <w:szCs w:val="14"/>
                <w:lang w:val="pt-BR"/>
              </w:rPr>
              <w:t>Windows Small Business Server 2011 CAL Suite (20 clientes)</w:t>
            </w:r>
            <w:bookmarkEnd w:id="662"/>
          </w:p>
        </w:tc>
        <w:tc>
          <w:tcPr>
            <w:tcW w:w="450" w:type="dxa"/>
            <w:shd w:val="clear" w:color="auto" w:fill="FABF8F"/>
            <w:vAlign w:val="center"/>
          </w:tcPr>
          <w:p w:rsidR="008B1196" w:rsidRPr="00EB4D74" w:rsidRDefault="008B1196" w:rsidP="00EA30FC">
            <w:pPr>
              <w:pStyle w:val="TableText"/>
              <w:widowControl w:val="0"/>
              <w:spacing w:before="40" w:after="40"/>
              <w:rPr>
                <w:rStyle w:val="EndnoteReference"/>
                <w:rFonts w:cs="Tahoma"/>
                <w:b w:val="0"/>
                <w:sz w:val="13"/>
                <w:szCs w:val="13"/>
                <w:u w:val="single"/>
              </w:rPr>
            </w:pPr>
            <w:hyperlink w:anchor="_122_Windows_Small" w:history="1">
              <w:r w:rsidRPr="00EB4D74">
                <w:rPr>
                  <w:rStyle w:val="Hyperlink"/>
                  <w:rFonts w:cs="Tahoma"/>
                  <w:b/>
                  <w:sz w:val="13"/>
                  <w:szCs w:val="13"/>
                </w:rPr>
                <w:t>112</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LO/OV</w:t>
            </w: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63" w:name="_Toc336338161"/>
            <w:bookmarkStart w:id="664" w:name="_Toc342914797"/>
            <w:bookmarkEnd w:id="663"/>
            <w:r w:rsidRPr="00413E94">
              <w:rPr>
                <w:rFonts w:ascii="Tahoma" w:hAnsi="Tahoma" w:cs="Tahoma"/>
                <w:b w:val="0"/>
                <w:sz w:val="14"/>
                <w:szCs w:val="14"/>
                <w:lang w:val="pt-BR"/>
              </w:rPr>
              <w:t>Complemento do Windows Small Business Server 2011 Premium (5 clientes)</w:t>
            </w:r>
            <w:bookmarkEnd w:id="664"/>
          </w:p>
        </w:tc>
        <w:tc>
          <w:tcPr>
            <w:tcW w:w="450" w:type="dxa"/>
            <w:shd w:val="clear" w:color="auto" w:fill="FFFFFF"/>
            <w:vAlign w:val="center"/>
          </w:tcPr>
          <w:p w:rsidR="008B1196" w:rsidRPr="00EB4D74" w:rsidRDefault="008B1196" w:rsidP="00EA30FC">
            <w:pPr>
              <w:pStyle w:val="TableText"/>
              <w:widowControl w:val="0"/>
              <w:spacing w:before="40" w:after="40"/>
              <w:rPr>
                <w:rStyle w:val="EndnoteReference"/>
                <w:rFonts w:cs="Tahoma"/>
                <w:b w:val="0"/>
                <w:color w:val="0000FF"/>
                <w:sz w:val="13"/>
                <w:szCs w:val="13"/>
                <w:u w:val="single"/>
              </w:rPr>
            </w:pPr>
            <w:hyperlink w:anchor="Srv_112WinSmallBizSVR2011Addon" w:history="1">
              <w:r w:rsidRPr="00EB4D74">
                <w:rPr>
                  <w:rStyle w:val="Hyperlink"/>
                  <w:rFonts w:cs="Tahoma"/>
                  <w:b/>
                  <w:sz w:val="13"/>
                  <w:szCs w:val="13"/>
                </w:rPr>
                <w:t>113</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65" w:name="_Toc336338162"/>
            <w:bookmarkStart w:id="666" w:name="_Toc342914798"/>
            <w:bookmarkEnd w:id="665"/>
            <w:r w:rsidRPr="00413E94">
              <w:rPr>
                <w:rFonts w:ascii="Tahoma" w:hAnsi="Tahoma" w:cs="Tahoma"/>
                <w:b w:val="0"/>
                <w:sz w:val="14"/>
                <w:szCs w:val="14"/>
                <w:lang w:val="pt-BR"/>
              </w:rPr>
              <w:t>Pacote de CALs do Complemento do Windows Small Business Server (2011) Premium</w:t>
            </w:r>
            <w:bookmarkEnd w:id="666"/>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hyperlink w:anchor="_124_Windows_Small" w:history="1">
              <w:r w:rsidRPr="00EB4D74">
                <w:rPr>
                  <w:rStyle w:val="Hyperlink"/>
                  <w:rFonts w:cs="Tahoma"/>
                  <w:b/>
                  <w:sz w:val="13"/>
                  <w:szCs w:val="13"/>
                </w:rPr>
                <w:t>114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E, 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A,ST</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r>
      <w:tr w:rsidR="008B1196" w:rsidRPr="00EB4D74" w:rsidTr="00EA30FC">
        <w:trPr>
          <w:trHeight w:val="145"/>
        </w:trPr>
        <w:tc>
          <w:tcPr>
            <w:tcW w:w="2714" w:type="dxa"/>
            <w:shd w:val="clear" w:color="auto" w:fill="FFFFFF"/>
            <w:vAlign w:val="center"/>
          </w:tcPr>
          <w:p w:rsidR="008B1196" w:rsidRPr="00413E94" w:rsidRDefault="008B1196" w:rsidP="00EA30FC">
            <w:pPr>
              <w:pStyle w:val="Heading2"/>
              <w:spacing w:before="40" w:after="40"/>
              <w:ind w:left="0"/>
              <w:rPr>
                <w:rFonts w:ascii="Tahoma" w:hAnsi="Tahoma" w:cs="Tahoma"/>
                <w:b w:val="0"/>
                <w:sz w:val="14"/>
                <w:szCs w:val="14"/>
              </w:rPr>
            </w:pPr>
            <w:bookmarkStart w:id="667" w:name="_Toc336338163"/>
            <w:bookmarkStart w:id="668" w:name="_Toc342914799"/>
            <w:bookmarkEnd w:id="667"/>
            <w:r w:rsidRPr="00413E94">
              <w:rPr>
                <w:rFonts w:ascii="Tahoma" w:hAnsi="Tahoma" w:cs="Tahoma"/>
                <w:b w:val="0"/>
                <w:sz w:val="14"/>
                <w:szCs w:val="14"/>
                <w:lang w:val="pt-BR"/>
              </w:rPr>
              <w:lastRenderedPageBreak/>
              <w:t>Pacote de CALs do Complemento do Windows Small Business Server 2011 (5 clientes)</w:t>
            </w:r>
            <w:bookmarkEnd w:id="668"/>
          </w:p>
        </w:tc>
        <w:tc>
          <w:tcPr>
            <w:tcW w:w="450" w:type="dxa"/>
            <w:shd w:val="clear" w:color="auto" w:fill="FFFFFF"/>
            <w:vAlign w:val="center"/>
          </w:tcPr>
          <w:p w:rsidR="008B1196" w:rsidRPr="00EB4D74" w:rsidRDefault="008B1196" w:rsidP="00EA30FC">
            <w:pPr>
              <w:pStyle w:val="TableText"/>
              <w:widowControl w:val="0"/>
              <w:spacing w:before="40" w:after="40"/>
              <w:rPr>
                <w:rFonts w:cs="Tahoma"/>
                <w:b/>
                <w:sz w:val="13"/>
                <w:szCs w:val="13"/>
                <w:u w:val="single"/>
              </w:rPr>
            </w:pPr>
            <w:hyperlink w:anchor="_115_Windows_Small" w:history="1">
              <w:r w:rsidRPr="00EB4D74">
                <w:rPr>
                  <w:rStyle w:val="Hyperlink"/>
                  <w:rFonts w:cs="Tahoma"/>
                  <w:b/>
                  <w:sz w:val="13"/>
                  <w:szCs w:val="13"/>
                </w:rPr>
                <w:t>115</w:t>
              </w:r>
            </w:hyperlink>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78" w:type="dxa"/>
            <w:tcBorders>
              <w:lef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FFFF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LO/OV</w:t>
            </w:r>
          </w:p>
        </w:tc>
      </w:tr>
      <w:tr w:rsidR="008B1196" w:rsidRPr="00EB4D74" w:rsidTr="00EA30FC">
        <w:trPr>
          <w:trHeight w:val="440"/>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69" w:name="_Toc336338164"/>
            <w:bookmarkStart w:id="670" w:name="_Toc342914800"/>
            <w:bookmarkEnd w:id="669"/>
            <w:r w:rsidRPr="00413E94">
              <w:rPr>
                <w:rFonts w:ascii="Tahoma" w:hAnsi="Tahoma" w:cs="Tahoma"/>
                <w:b w:val="0"/>
                <w:sz w:val="14"/>
                <w:szCs w:val="14"/>
                <w:lang w:val="pt-BR"/>
              </w:rPr>
              <w:t>Pacote de CALs do Complemento do Windows Small Business Server 2011 (20 clientes)</w:t>
            </w:r>
            <w:bookmarkEnd w:id="670"/>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hyperlink w:anchor="_124_Windows_Small" w:history="1">
              <w:r w:rsidRPr="00EB4D74">
                <w:rPr>
                  <w:rStyle w:val="Hyperlink"/>
                  <w:rFonts w:cs="Tahoma"/>
                  <w:b/>
                  <w:sz w:val="13"/>
                  <w:szCs w:val="13"/>
                </w:rPr>
                <w:t>114</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01/11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50</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25</w:t>
            </w: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color w:val="000000"/>
                <w:sz w:val="13"/>
                <w:lang w:val="pt-BR"/>
              </w:rPr>
              <w:t>LO/OV</w:t>
            </w:r>
          </w:p>
        </w:tc>
      </w:tr>
      <w:tr w:rsidR="008B1196" w:rsidRPr="00EB4D74" w:rsidTr="00EA30FC">
        <w:trPr>
          <w:trHeight w:val="440"/>
        </w:trPr>
        <w:tc>
          <w:tcPr>
            <w:tcW w:w="2714" w:type="dxa"/>
            <w:vAlign w:val="center"/>
          </w:tcPr>
          <w:p w:rsidR="008B1196" w:rsidRPr="00413E94" w:rsidRDefault="008B1196" w:rsidP="00EA30FC">
            <w:pPr>
              <w:pStyle w:val="Heading2"/>
              <w:spacing w:before="40" w:after="40"/>
              <w:ind w:left="0"/>
              <w:rPr>
                <w:rFonts w:ascii="Tahoma" w:hAnsi="Tahoma" w:cs="Tahoma"/>
                <w:b w:val="0"/>
                <w:sz w:val="14"/>
                <w:szCs w:val="14"/>
              </w:rPr>
            </w:pPr>
            <w:bookmarkStart w:id="671" w:name="_Toc336338165"/>
            <w:bookmarkStart w:id="672" w:name="_Toc342914801"/>
            <w:bookmarkEnd w:id="671"/>
            <w:r w:rsidRPr="00413E94">
              <w:rPr>
                <w:rFonts w:ascii="Tahoma" w:hAnsi="Tahoma" w:cs="Tahoma"/>
                <w:b w:val="0"/>
                <w:sz w:val="14"/>
                <w:szCs w:val="14"/>
                <w:lang w:val="pt-BR"/>
              </w:rPr>
              <w:t>Microsoft Windows Server Essentials 2012</w:t>
            </w:r>
            <w:bookmarkEnd w:id="672"/>
          </w:p>
        </w:tc>
        <w:tc>
          <w:tcPr>
            <w:tcW w:w="450" w:type="dxa"/>
            <w:vAlign w:val="center"/>
          </w:tcPr>
          <w:p w:rsidR="008B1196" w:rsidRPr="00EB4D74" w:rsidRDefault="008B1196" w:rsidP="00EA30FC">
            <w:pPr>
              <w:pStyle w:val="TableText"/>
              <w:widowControl w:val="0"/>
              <w:spacing w:before="40" w:after="40"/>
              <w:rPr>
                <w:rFonts w:cs="Tahoma"/>
                <w:b/>
                <w:sz w:val="13"/>
                <w:szCs w:val="13"/>
                <w:u w:val="single"/>
              </w:rPr>
            </w:pP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11/12</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b/>
                <w:color w:val="FF0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b/>
                <w:color w:val="008000"/>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b/>
                <w:color w:val="0000FF"/>
                <w:sz w:val="13"/>
              </w:rPr>
            </w:pPr>
          </w:p>
        </w:tc>
        <w:tc>
          <w:tcPr>
            <w:tcW w:w="450"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0"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10</w:t>
            </w:r>
          </w:p>
        </w:tc>
        <w:tc>
          <w:tcPr>
            <w:tcW w:w="360"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378" w:type="dxa"/>
            <w:tcBorders>
              <w:lef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5</w:t>
            </w:r>
          </w:p>
        </w:tc>
        <w:tc>
          <w:tcPr>
            <w:tcW w:w="459" w:type="dxa"/>
            <w:tcBorders>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P</w:t>
            </w:r>
          </w:p>
        </w:tc>
        <w:tc>
          <w:tcPr>
            <w:tcW w:w="702" w:type="dxa"/>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A</w:t>
            </w:r>
          </w:p>
        </w:tc>
        <w:tc>
          <w:tcPr>
            <w:tcW w:w="495" w:type="dxa"/>
            <w:vAlign w:val="center"/>
          </w:tcPr>
          <w:p w:rsidR="008B1196" w:rsidRPr="00EB4D74" w:rsidRDefault="008B1196" w:rsidP="00EA30FC">
            <w:pPr>
              <w:pStyle w:val="TableText"/>
              <w:widowControl w:val="0"/>
              <w:spacing w:before="40" w:after="40"/>
              <w:rPr>
                <w:rFonts w:ascii="Tahoma" w:hAnsi="Tahoma" w:cs="Tahoma"/>
                <w:color w:val="000000"/>
                <w:sz w:val="13"/>
              </w:rPr>
            </w:pPr>
          </w:p>
        </w:tc>
      </w:tr>
      <w:tr w:rsidR="008B1196" w:rsidRPr="00EB4D74" w:rsidTr="00EA30FC">
        <w:trPr>
          <w:trHeight w:val="145"/>
        </w:trPr>
        <w:tc>
          <w:tcPr>
            <w:tcW w:w="2714" w:type="dxa"/>
            <w:shd w:val="clear" w:color="auto" w:fill="FABF8F"/>
            <w:vAlign w:val="center"/>
          </w:tcPr>
          <w:p w:rsidR="008B1196" w:rsidRPr="00413E94" w:rsidRDefault="008B1196" w:rsidP="00EA30FC">
            <w:pPr>
              <w:pStyle w:val="Heading2"/>
              <w:spacing w:before="40" w:after="40"/>
              <w:ind w:left="0"/>
              <w:rPr>
                <w:rFonts w:ascii="Tahoma" w:hAnsi="Tahoma" w:cs="Tahoma"/>
                <w:b w:val="0"/>
                <w:sz w:val="14"/>
                <w:szCs w:val="14"/>
              </w:rPr>
            </w:pPr>
            <w:bookmarkStart w:id="673" w:name="_Toc336338166"/>
            <w:bookmarkStart w:id="674" w:name="_Toc342914802"/>
            <w:bookmarkEnd w:id="673"/>
            <w:r w:rsidRPr="00413E94">
              <w:rPr>
                <w:rFonts w:ascii="Tahoma" w:hAnsi="Tahoma" w:cs="Tahoma"/>
                <w:b w:val="0"/>
                <w:sz w:val="14"/>
                <w:szCs w:val="14"/>
                <w:lang w:val="pt-BR"/>
              </w:rPr>
              <w:t>Windows Small Business Server 2011 Essentials</w:t>
            </w:r>
            <w:bookmarkEnd w:id="674"/>
          </w:p>
        </w:tc>
        <w:tc>
          <w:tcPr>
            <w:tcW w:w="450" w:type="dxa"/>
            <w:shd w:val="clear" w:color="auto" w:fill="FABF8F"/>
            <w:vAlign w:val="center"/>
          </w:tcPr>
          <w:p w:rsidR="008B1196" w:rsidRPr="00EB4D74" w:rsidRDefault="008B1196" w:rsidP="00EA30FC">
            <w:pPr>
              <w:pStyle w:val="TableText"/>
              <w:widowControl w:val="0"/>
              <w:spacing w:before="40" w:after="40"/>
              <w:rPr>
                <w:rFonts w:cs="Tahoma"/>
                <w:b/>
                <w:sz w:val="13"/>
                <w:szCs w:val="13"/>
                <w:u w:val="single"/>
              </w:rPr>
            </w:pPr>
            <w:hyperlink w:anchor="_124_Windows_Small_1" w:history="1">
              <w:r w:rsidRPr="00EB4D74">
                <w:rPr>
                  <w:rStyle w:val="Hyperlink"/>
                  <w:rFonts w:cs="Tahoma"/>
                  <w:b/>
                  <w:sz w:val="13"/>
                  <w:szCs w:val="13"/>
                </w:rPr>
                <w:t>115</w:t>
              </w:r>
            </w:hyperlink>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rPr>
              <w:t>05/11</w:t>
            </w: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r w:rsidRPr="00EB4D74">
              <w:rPr>
                <w:rFonts w:ascii="Tahoma" w:hAnsi="Tahoma" w:cs="Tahoma"/>
                <w:sz w:val="13"/>
                <w:lang w:val="pt-BR"/>
              </w:rPr>
              <w:t>SRV</w:t>
            </w:r>
          </w:p>
        </w:tc>
        <w:tc>
          <w:tcPr>
            <w:tcW w:w="36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c>
          <w:tcPr>
            <w:tcW w:w="450"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60"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78" w:type="dxa"/>
            <w:tcBorders>
              <w:lef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59" w:type="dxa"/>
            <w:tcBorders>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396" w:type="dxa"/>
            <w:tcBorders>
              <w:left w:val="single" w:sz="18" w:space="0" w:color="auto"/>
              <w:right w:val="single" w:sz="18" w:space="0" w:color="auto"/>
            </w:tcBorders>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702" w:type="dxa"/>
            <w:shd w:val="clear" w:color="auto" w:fill="FABF8F"/>
            <w:vAlign w:val="center"/>
          </w:tcPr>
          <w:p w:rsidR="008B1196" w:rsidRPr="00EB4D74" w:rsidRDefault="008B1196" w:rsidP="00EA30FC">
            <w:pPr>
              <w:pStyle w:val="TableText"/>
              <w:widowControl w:val="0"/>
              <w:spacing w:before="40" w:after="40"/>
              <w:rPr>
                <w:rFonts w:ascii="Tahoma" w:hAnsi="Tahoma" w:cs="Tahoma"/>
                <w:sz w:val="13"/>
              </w:rPr>
            </w:pPr>
          </w:p>
        </w:tc>
        <w:tc>
          <w:tcPr>
            <w:tcW w:w="495" w:type="dxa"/>
            <w:shd w:val="clear" w:color="auto" w:fill="FABF8F"/>
            <w:vAlign w:val="center"/>
          </w:tcPr>
          <w:p w:rsidR="008B1196" w:rsidRPr="00EB4D74" w:rsidRDefault="008B1196" w:rsidP="00EA30FC">
            <w:pPr>
              <w:pStyle w:val="TableText"/>
              <w:widowControl w:val="0"/>
              <w:spacing w:before="40" w:after="40"/>
              <w:rPr>
                <w:rFonts w:ascii="Tahoma" w:hAnsi="Tahoma" w:cs="Tahoma"/>
                <w:color w:val="000000"/>
                <w:sz w:val="13"/>
              </w:rPr>
            </w:pPr>
          </w:p>
        </w:tc>
      </w:tr>
    </w:tbl>
    <w:p w:rsidR="008B1196" w:rsidRPr="00EB4D74" w:rsidRDefault="008B1196" w:rsidP="008B1196">
      <w:pPr>
        <w:pStyle w:val="Heading2"/>
        <w:spacing w:before="20" w:after="20"/>
        <w:ind w:left="0"/>
        <w:rPr>
          <w:rFonts w:ascii="Tahoma" w:hAnsi="Tahoma" w:cs="Tahoma"/>
          <w:b w:val="0"/>
          <w:sz w:val="14"/>
          <w:lang w:val="pt-BR"/>
        </w:rPr>
      </w:pPr>
      <w:r>
        <w:rPr>
          <w:noProof/>
        </w:rPr>
        <mc:AlternateContent>
          <mc:Choice Requires="wps">
            <w:drawing>
              <wp:anchor distT="0" distB="0" distL="114300" distR="114300" simplePos="0" relativeHeight="251660288" behindDoc="0" locked="0" layoutInCell="1" allowOverlap="1" wp14:anchorId="26016BC6" wp14:editId="1F9058A2">
                <wp:simplePos x="0" y="0"/>
                <wp:positionH relativeFrom="column">
                  <wp:posOffset>-408305</wp:posOffset>
                </wp:positionH>
                <wp:positionV relativeFrom="paragraph">
                  <wp:posOffset>65405</wp:posOffset>
                </wp:positionV>
                <wp:extent cx="6547485" cy="504190"/>
                <wp:effectExtent l="0" t="0" r="0" b="0"/>
                <wp:wrapNone/>
                <wp:docPr id="8"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B1196" w:rsidRPr="002007C4" w:rsidRDefault="008B1196" w:rsidP="008B1196">
                            <w:pPr>
                              <w:rPr>
                                <w:rFonts w:cs="Tahoma"/>
                                <w:i/>
                                <w:color w:val="000000"/>
                                <w:sz w:val="14"/>
                                <w:szCs w:val="14"/>
                                <w:lang w:val="it-IT"/>
                              </w:rPr>
                            </w:pPr>
                            <w:r w:rsidRPr="000777CC">
                              <w:rPr>
                                <w:rFonts w:cs="Tahoma"/>
                                <w:bCs/>
                                <w:i/>
                                <w:sz w:val="14"/>
                                <w:szCs w:val="14"/>
                                <w:lang w:val="pt-BR"/>
                              </w:rPr>
                              <w:t>Observação</w:t>
                            </w:r>
                            <w:r w:rsidRPr="000777CC">
                              <w:rPr>
                                <w:rFonts w:cs="Tahoma"/>
                                <w:bCs/>
                                <w:i/>
                                <w:caps/>
                                <w:sz w:val="14"/>
                                <w:szCs w:val="14"/>
                                <w:lang w:val="pt-BR"/>
                              </w:rPr>
                              <w:t>:</w:t>
                            </w:r>
                            <w:r>
                              <w:rPr>
                                <w:rFonts w:cs="Tahoma"/>
                                <w:b/>
                                <w:bCs/>
                                <w:i/>
                                <w:caps/>
                                <w:sz w:val="14"/>
                                <w:szCs w:val="14"/>
                                <w:lang w:val="pt-BR"/>
                              </w:rPr>
                              <w:t xml:space="preserve"> </w:t>
                            </w:r>
                            <w:r>
                              <w:rPr>
                                <w:rFonts w:cs="Tahoma"/>
                                <w:i/>
                                <w:color w:val="000000"/>
                                <w:sz w:val="14"/>
                                <w:szCs w:val="14"/>
                                <w:lang w:val="pt-BR"/>
                              </w:rPr>
                              <w:t>se a célula correspondente ao produto estiver vazia, significa que no momento ele não é oferecido no programa.</w:t>
                            </w:r>
                          </w:p>
                          <w:p w:rsidR="008B1196" w:rsidRDefault="008B1196" w:rsidP="008B1196">
                            <w:pPr>
                              <w:rPr>
                                <w:rFonts w:cs="Tahoma"/>
                                <w:i/>
                                <w:color w:val="000000"/>
                                <w:sz w:val="14"/>
                                <w:szCs w:val="14"/>
                              </w:rPr>
                            </w:pPr>
                            <w:r>
                              <w:rPr>
                                <w:rFonts w:cs="Tahoma"/>
                                <w:i/>
                                <w:color w:val="000000"/>
                                <w:sz w:val="14"/>
                                <w:szCs w:val="14"/>
                                <w:lang w:val="pt-BR"/>
                              </w:rPr>
                              <w:t>*Para Select Plus, serão usados apenas os valores de ‘L’ e três anos para ‘L&amp;SA’ / ’SA’.</w:t>
                            </w:r>
                          </w:p>
                          <w:p w:rsidR="008B1196" w:rsidRDefault="008B1196" w:rsidP="008B119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32.15pt;margin-top:5.15pt;width:515.55pt;height:3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" filled="f" stroked="f">
                <v:textbox>
                  <w:txbxContent>
                    <w:p w:rsidR="008B1196" w:rsidRPr="002007C4" w:rsidRDefault="008B1196" w:rsidP="008B1196">
                      <w:pPr>
                        <w:rPr>
                          <w:rFonts w:cs="Tahoma"/>
                          <w:i/>
                          <w:color w:val="000000"/>
                          <w:sz w:val="14"/>
                          <w:szCs w:val="14"/>
                          <w:lang w:val="it-IT"/>
                        </w:rPr>
                      </w:pPr>
                      <w:r w:rsidRPr="000777CC">
                        <w:rPr>
                          <w:rFonts w:cs="Tahoma"/>
                          <w:bCs/>
                          <w:i/>
                          <w:sz w:val="14"/>
                          <w:szCs w:val="14"/>
                          <w:lang w:val="pt-BR"/>
                        </w:rPr>
                        <w:t>Observação</w:t>
                      </w:r>
                      <w:r w:rsidRPr="000777CC">
                        <w:rPr>
                          <w:rFonts w:cs="Tahoma"/>
                          <w:bCs/>
                          <w:i/>
                          <w:caps/>
                          <w:sz w:val="14"/>
                          <w:szCs w:val="14"/>
                          <w:lang w:val="pt-BR"/>
                        </w:rPr>
                        <w:t>:</w:t>
                      </w:r>
                      <w:r>
                        <w:rPr>
                          <w:rFonts w:cs="Tahoma"/>
                          <w:b/>
                          <w:bCs/>
                          <w:i/>
                          <w:caps/>
                          <w:sz w:val="14"/>
                          <w:szCs w:val="14"/>
                          <w:lang w:val="pt-BR"/>
                        </w:rPr>
                        <w:t xml:space="preserve"> </w:t>
                      </w:r>
                      <w:r>
                        <w:rPr>
                          <w:rFonts w:cs="Tahoma"/>
                          <w:i/>
                          <w:color w:val="000000"/>
                          <w:sz w:val="14"/>
                          <w:szCs w:val="14"/>
                          <w:lang w:val="pt-BR"/>
                        </w:rPr>
                        <w:t>se a célula correspondente ao produto estiver vazia, significa que no momento ele não é oferecido no programa.</w:t>
                      </w:r>
                    </w:p>
                    <w:p w:rsidR="008B1196" w:rsidRDefault="008B1196" w:rsidP="008B1196">
                      <w:pPr>
                        <w:rPr>
                          <w:rFonts w:cs="Tahoma"/>
                          <w:i/>
                          <w:color w:val="000000"/>
                          <w:sz w:val="14"/>
                          <w:szCs w:val="14"/>
                        </w:rPr>
                      </w:pPr>
                      <w:r>
                        <w:rPr>
                          <w:rFonts w:cs="Tahoma"/>
                          <w:i/>
                          <w:color w:val="000000"/>
                          <w:sz w:val="14"/>
                          <w:szCs w:val="14"/>
                          <w:lang w:val="pt-BR"/>
                        </w:rPr>
                        <w:t>*Para Select Plus, serão usados apenas os valores de ‘L’ e três anos para ‘L&amp;SA’ / ’SA’.</w:t>
                      </w:r>
                    </w:p>
                    <w:p w:rsidR="008B1196" w:rsidRDefault="008B1196" w:rsidP="008B1196"/>
                  </w:txbxContent>
                </v:textbox>
              </v:shape>
            </w:pict>
          </mc:Fallback>
        </mc:AlternateContent>
      </w:r>
    </w:p>
    <w:p w:rsidR="008B1196" w:rsidRPr="00EB4D74" w:rsidRDefault="008B1196" w:rsidP="008B1196">
      <w:pPr>
        <w:rPr>
          <w:rFonts w:cs="Tahoma"/>
          <w:sz w:val="14"/>
          <w:szCs w:val="24"/>
          <w:lang w:val="pt-BR"/>
        </w:rPr>
      </w:pPr>
      <w:r w:rsidRPr="00EB4D74">
        <w:rPr>
          <w:rFonts w:cs="Tahoma"/>
          <w:b/>
          <w:sz w:val="14"/>
          <w:lang w:val="pt-BR"/>
        </w:rPr>
        <w:br w:type="page"/>
      </w:r>
    </w:p>
    <w:p w:rsidR="008B1196" w:rsidRPr="00EB4D74" w:rsidRDefault="008B1196" w:rsidP="008B1196">
      <w:pPr>
        <w:pStyle w:val="Heading2"/>
        <w:ind w:left="0"/>
        <w:rPr>
          <w:rFonts w:ascii="Tahoma" w:hAnsi="Tahoma" w:cs="Tahoma"/>
          <w:b w:val="0"/>
          <w:sz w:val="2"/>
          <w:szCs w:val="2"/>
          <w:lang w:val="pt-BR"/>
        </w:rPr>
      </w:pPr>
    </w:p>
    <w:p w:rsidR="008B1196" w:rsidRPr="00EB4D74" w:rsidRDefault="008B1196" w:rsidP="008B1196">
      <w:pPr>
        <w:pStyle w:val="Heading1"/>
        <w:spacing w:after="120"/>
      </w:pPr>
      <w:bookmarkStart w:id="675" w:name="_Toc342914803"/>
      <w:bookmarkEnd w:id="0"/>
      <w:r w:rsidRPr="00EB4D74">
        <w:t>seção 1 – alterações na lista de produtos nos últimos 12 meses</w:t>
      </w:r>
      <w:bookmarkEnd w:id="675"/>
    </w:p>
    <w:p w:rsidR="008B1196" w:rsidRPr="00EB4D74" w:rsidRDefault="008B1196" w:rsidP="008B1196">
      <w:pPr>
        <w:pStyle w:val="Heading2"/>
        <w:ind w:left="0"/>
        <w:jc w:val="both"/>
        <w:rPr>
          <w:rFonts w:ascii="Tahoma" w:hAnsi="Tahoma" w:cs="Tahoma"/>
          <w:lang w:val="it-IT"/>
        </w:rPr>
      </w:pPr>
      <w:bookmarkStart w:id="676" w:name="_Toc336338168"/>
    </w:p>
    <w:p w:rsidR="008B1196" w:rsidRPr="00EB4D74" w:rsidRDefault="008B1196" w:rsidP="008B1196">
      <w:pPr>
        <w:pStyle w:val="Heading2"/>
        <w:ind w:left="0"/>
        <w:jc w:val="both"/>
        <w:rPr>
          <w:rFonts w:ascii="Tahoma" w:hAnsi="Tahoma" w:cs="Tahoma"/>
          <w:lang w:val="it-IT"/>
        </w:rPr>
      </w:pPr>
      <w:bookmarkStart w:id="677" w:name="_Toc342914804"/>
      <w:r w:rsidRPr="00EB4D74">
        <w:rPr>
          <w:rFonts w:ascii="Tahoma" w:hAnsi="Tahoma" w:cs="Tahoma"/>
          <w:color w:val="FF6600"/>
          <w:lang w:val="pt-BR"/>
        </w:rPr>
        <w:t>ALTERAÇÕES EM JANEIRO DE 2013</w:t>
      </w:r>
      <w:bookmarkEnd w:id="677"/>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lang w:val="pt-BR"/>
        </w:rPr>
        <w:t>Adições</w:t>
      </w:r>
    </w:p>
    <w:p w:rsidR="008B1196" w:rsidRPr="00EB4D74" w:rsidRDefault="008B1196" w:rsidP="008B1196">
      <w:pPr>
        <w:keepNext/>
        <w:tabs>
          <w:tab w:val="num" w:pos="720"/>
        </w:tabs>
        <w:outlineLvl w:val="3"/>
        <w:rPr>
          <w:rFonts w:cs="Tahoma"/>
        </w:rPr>
      </w:pPr>
      <w:r w:rsidRPr="00EB4D74">
        <w:rPr>
          <w:rFonts w:cs="Tahoma"/>
          <w:color w:val="000000"/>
          <w:lang w:val="pt-BR"/>
        </w:rPr>
        <w:t>Windows MultiPoint Server 2012 Premium com Windows MultiPoint Server 2012 (CAL) (5 Clientes)</w:t>
      </w:r>
    </w:p>
    <w:p w:rsidR="008B1196" w:rsidRPr="00EB4D74" w:rsidRDefault="008B1196" w:rsidP="008B1196">
      <w:pPr>
        <w:keepNext/>
        <w:tabs>
          <w:tab w:val="num" w:pos="720"/>
        </w:tabs>
        <w:outlineLvl w:val="3"/>
        <w:rPr>
          <w:rFonts w:cs="Tahoma"/>
        </w:rPr>
      </w:pPr>
      <w:r w:rsidRPr="00EB4D74">
        <w:rPr>
          <w:rFonts w:cs="Tahoma"/>
          <w:color w:val="000000"/>
          <w:lang w:val="pt-BR"/>
        </w:rPr>
        <w:t>Windows MultiPoint Server 2012 Premium com Windows MultiPoint Server 2012 (CAL) (5 Clientes) com Windows</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Alterações</w:t>
      </w:r>
    </w:p>
    <w:p w:rsidR="008B1196" w:rsidRPr="00EB4D74" w:rsidRDefault="008B1196" w:rsidP="008B1196">
      <w:pPr>
        <w:rPr>
          <w:rFonts w:cs="Tahoma"/>
        </w:rPr>
      </w:pPr>
      <w:r w:rsidRPr="00EB4D74">
        <w:rPr>
          <w:rFonts w:cs="Tahoma"/>
          <w:color w:val="000000"/>
          <w:lang w:val="pt-BR"/>
        </w:rPr>
        <w:t>Windows Small Business Server 2008 CAL Suite para Usuários ou Dispositivos Premium</w:t>
      </w:r>
    </w:p>
    <w:p w:rsidR="008B1196" w:rsidRPr="00EB4D74" w:rsidRDefault="008B1196" w:rsidP="008B1196">
      <w:pPr>
        <w:rPr>
          <w:rFonts w:cs="Tahoma"/>
        </w:rPr>
      </w:pPr>
      <w:r w:rsidRPr="00EB4D74">
        <w:rPr>
          <w:rFonts w:cs="Tahoma"/>
          <w:color w:val="000000"/>
          <w:lang w:val="pt-BR"/>
        </w:rPr>
        <w:t>Windows Small Business Server 2008 CAL Suite para Usuários ou Dispositivos Premium (5 Clientes)</w:t>
      </w:r>
    </w:p>
    <w:p w:rsidR="008B1196" w:rsidRPr="00EB4D74" w:rsidRDefault="008B1196" w:rsidP="008B1196">
      <w:pPr>
        <w:rPr>
          <w:rFonts w:cs="Tahoma"/>
        </w:rPr>
      </w:pPr>
      <w:r w:rsidRPr="00EB4D74">
        <w:rPr>
          <w:rFonts w:cs="Tahoma"/>
          <w:color w:val="000000"/>
          <w:lang w:val="pt-BR"/>
        </w:rPr>
        <w:t>Windows Small Business Server 2008 CAL Suite para Usuários ou Dispositivos Premium (20 Clientes)</w:t>
      </w:r>
    </w:p>
    <w:p w:rsidR="008B1196" w:rsidRPr="00EB4D74" w:rsidRDefault="008B1196" w:rsidP="008B1196">
      <w:pPr>
        <w:rPr>
          <w:rFonts w:cs="Tahoma"/>
        </w:rPr>
      </w:pPr>
      <w:r w:rsidRPr="00EB4D74">
        <w:rPr>
          <w:rFonts w:cs="Tahoma"/>
          <w:color w:val="000000"/>
          <w:lang w:val="pt-BR"/>
        </w:rPr>
        <w:t>Windows Small Business Server 2011 CAL Suite (1 Cliente)</w:t>
      </w:r>
    </w:p>
    <w:p w:rsidR="008B1196" w:rsidRPr="00EB4D74" w:rsidRDefault="008B1196" w:rsidP="008B1196">
      <w:pPr>
        <w:rPr>
          <w:rFonts w:cs="Tahoma"/>
        </w:rPr>
      </w:pPr>
      <w:r w:rsidRPr="00EB4D74">
        <w:rPr>
          <w:rFonts w:cs="Tahoma"/>
          <w:color w:val="000000"/>
          <w:lang w:val="pt-BR"/>
        </w:rPr>
        <w:t>Windows Small Business Server 2011 CAL Suite (5 Clientes)</w:t>
      </w:r>
    </w:p>
    <w:p w:rsidR="008B1196" w:rsidRPr="00EB4D74" w:rsidRDefault="008B1196" w:rsidP="008B1196">
      <w:pPr>
        <w:rPr>
          <w:rFonts w:cs="Tahoma"/>
        </w:rPr>
      </w:pPr>
      <w:r w:rsidRPr="00EB4D74">
        <w:rPr>
          <w:rFonts w:cs="Tahoma"/>
          <w:color w:val="000000"/>
          <w:lang w:val="pt-BR"/>
        </w:rPr>
        <w:t>Windows Small Business Server 2011 CAL Suite (20 Clientes)</w:t>
      </w:r>
    </w:p>
    <w:p w:rsidR="008B1196" w:rsidRPr="00EB4D74" w:rsidRDefault="008B1196" w:rsidP="008B1196">
      <w:pPr>
        <w:rPr>
          <w:rFonts w:cs="Tahoma"/>
        </w:rPr>
      </w:pPr>
      <w:r w:rsidRPr="00EB4D74">
        <w:rPr>
          <w:rFonts w:cs="Tahoma"/>
          <w:color w:val="000000"/>
          <w:lang w:val="pt-BR"/>
        </w:rPr>
        <w:t>Windows Small Business Server 2011 Standard (5 Clientes)</w:t>
      </w:r>
    </w:p>
    <w:p w:rsidR="008B1196" w:rsidRPr="00EB4D74" w:rsidRDefault="008B1196" w:rsidP="008B1196">
      <w:pPr>
        <w:rPr>
          <w:rFonts w:cs="Tahoma"/>
        </w:rPr>
      </w:pPr>
      <w:r w:rsidRPr="00EB4D74">
        <w:rPr>
          <w:rFonts w:cs="Tahoma"/>
          <w:color w:val="000000"/>
          <w:lang w:val="pt-BR"/>
        </w:rPr>
        <w:t>Complemento do Windows Small Business Server 2011 Premium (5 Clientes)</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Exclusões</w:t>
      </w:r>
    </w:p>
    <w:p w:rsidR="008B1196" w:rsidRPr="00EB4D74" w:rsidRDefault="008B1196" w:rsidP="008B1196">
      <w:pPr>
        <w:rPr>
          <w:rFonts w:cs="Tahoma"/>
        </w:rPr>
      </w:pPr>
      <w:r w:rsidRPr="00EB4D74">
        <w:rPr>
          <w:rFonts w:cs="Tahoma"/>
          <w:color w:val="000000"/>
          <w:lang w:val="pt-BR"/>
        </w:rPr>
        <w:t>Licença de Gerenciamento de Cliente do Windows Embedded Device Manager 2011 por OSE</w:t>
      </w:r>
    </w:p>
    <w:p w:rsidR="008B1196" w:rsidRPr="00EB4D74" w:rsidRDefault="008B1196" w:rsidP="008B1196">
      <w:pPr>
        <w:rPr>
          <w:rFonts w:cs="Tahoma"/>
        </w:rPr>
      </w:pPr>
      <w:r w:rsidRPr="00EB4D74">
        <w:rPr>
          <w:rFonts w:cs="Tahoma"/>
          <w:color w:val="000000"/>
          <w:lang w:val="pt-BR"/>
        </w:rPr>
        <w:t>Licença de Gerenciamento de Cliente do Windows Embedded Device Manager 2011 por Usuário</w:t>
      </w:r>
    </w:p>
    <w:p w:rsidR="008B1196" w:rsidRPr="00EB4D74" w:rsidRDefault="008B1196" w:rsidP="008B1196">
      <w:pPr>
        <w:rPr>
          <w:rFonts w:cs="Tahoma"/>
        </w:rPr>
      </w:pPr>
      <w:r w:rsidRPr="00EB4D74">
        <w:rPr>
          <w:rFonts w:cs="Tahoma"/>
          <w:color w:val="000000"/>
          <w:lang w:val="pt-BR"/>
        </w:rPr>
        <w:t>CAL do Dispositivo do Windows Server 2008 para Windows Essential Server Solutions (5 Clientes)</w:t>
      </w:r>
    </w:p>
    <w:p w:rsidR="008B1196" w:rsidRPr="00EB4D74" w:rsidRDefault="008B1196" w:rsidP="008B1196">
      <w:pPr>
        <w:rPr>
          <w:rFonts w:cs="Tahoma"/>
        </w:rPr>
      </w:pPr>
      <w:r w:rsidRPr="00EB4D74">
        <w:rPr>
          <w:rFonts w:cs="Tahoma"/>
          <w:color w:val="000000"/>
          <w:lang w:val="pt-BR"/>
        </w:rPr>
        <w:t>CAL do Usuário do Windows Server 2008 para Windows Essential Server Solutions (5 Clientes)</w:t>
      </w:r>
    </w:p>
    <w:p w:rsidR="008B1196" w:rsidRPr="00EB4D74" w:rsidRDefault="008B1196" w:rsidP="008B1196">
      <w:pPr>
        <w:keepNext/>
        <w:tabs>
          <w:tab w:val="num" w:pos="720"/>
        </w:tabs>
        <w:outlineLvl w:val="3"/>
        <w:rPr>
          <w:rFonts w:cs="Tahoma"/>
        </w:rPr>
      </w:pPr>
      <w:r w:rsidRPr="00EB4D74">
        <w:rPr>
          <w:rFonts w:cs="Tahoma"/>
          <w:color w:val="000000"/>
          <w:lang w:val="pt-BR"/>
        </w:rPr>
        <w:t>Windows MultiPoint Server 2011 Premium com Windows MultiPoint Server 2011 (CAL) (5 Clientes)</w:t>
      </w:r>
    </w:p>
    <w:p w:rsidR="008B1196" w:rsidRPr="00EB4D74" w:rsidRDefault="008B1196" w:rsidP="008B1196">
      <w:pPr>
        <w:rPr>
          <w:rFonts w:cs="Tahoma"/>
        </w:rPr>
      </w:pPr>
      <w:r w:rsidRPr="00EB4D74">
        <w:rPr>
          <w:rFonts w:cs="Tahoma"/>
          <w:color w:val="000000"/>
          <w:lang w:val="pt-BR"/>
        </w:rPr>
        <w:t>Windows MultiPoint Server 2011 Premium com Windows MultiPoint Server 2011 (CAL) (5 Clientes) com Windows</w:t>
      </w:r>
    </w:p>
    <w:p w:rsidR="008B1196" w:rsidRPr="00EB4D74" w:rsidRDefault="008B1196" w:rsidP="008B1196">
      <w:pPr>
        <w:pStyle w:val="Heading2"/>
        <w:ind w:left="0"/>
        <w:jc w:val="both"/>
        <w:rPr>
          <w:rFonts w:ascii="Tahoma" w:hAnsi="Tahoma" w:cs="Tahoma"/>
          <w:color w:val="FF6600"/>
          <w:sz w:val="18"/>
          <w:szCs w:val="22"/>
        </w:rPr>
      </w:pPr>
    </w:p>
    <w:p w:rsidR="008B1196" w:rsidRPr="00EB4D74" w:rsidRDefault="008B1196" w:rsidP="008B1196">
      <w:pPr>
        <w:rPr>
          <w:rFonts w:cs="Tahoma"/>
        </w:rPr>
      </w:pPr>
    </w:p>
    <w:p w:rsidR="008B1196" w:rsidRPr="00EB4D74" w:rsidRDefault="008B1196" w:rsidP="008B1196">
      <w:pPr>
        <w:pStyle w:val="Heading2"/>
        <w:ind w:left="0"/>
        <w:jc w:val="both"/>
        <w:rPr>
          <w:rFonts w:ascii="Tahoma" w:hAnsi="Tahoma" w:cs="Tahoma"/>
          <w:lang w:val="it-IT"/>
        </w:rPr>
      </w:pPr>
      <w:bookmarkStart w:id="678" w:name="_Toc342914805"/>
      <w:bookmarkEnd w:id="676"/>
      <w:r w:rsidRPr="00EB4D74">
        <w:rPr>
          <w:rFonts w:ascii="Tahoma" w:hAnsi="Tahoma" w:cs="Tahoma"/>
          <w:color w:val="FF6600"/>
          <w:lang w:val="pt-BR"/>
        </w:rPr>
        <w:t>ALTERAÇÕES EM DEZEMBRO DE 2012</w:t>
      </w:r>
      <w:bookmarkEnd w:id="678"/>
    </w:p>
    <w:p w:rsidR="008B1196" w:rsidRPr="00EB4D74" w:rsidRDefault="008B1196" w:rsidP="008B1196">
      <w:pPr>
        <w:jc w:val="both"/>
        <w:outlineLvl w:val="1"/>
        <w:rPr>
          <w:rFonts w:cs="Tahoma"/>
          <w:b/>
          <w:color w:val="FF6600"/>
          <w:sz w:val="24"/>
          <w:szCs w:val="24"/>
          <w:lang w:val="it-IT"/>
        </w:rPr>
      </w:pPr>
    </w:p>
    <w:p w:rsidR="008B1196" w:rsidRPr="00EB4D74" w:rsidRDefault="008B1196" w:rsidP="008B1196">
      <w:pPr>
        <w:rPr>
          <w:rFonts w:cs="Tahoma"/>
          <w:lang w:val="it-IT"/>
        </w:rPr>
      </w:pPr>
      <w:r w:rsidRPr="00EB4D74">
        <w:rPr>
          <w:rFonts w:cs="Tahoma"/>
          <w:b/>
          <w:lang w:val="pt-BR"/>
        </w:rPr>
        <w:t>Adições</w:t>
      </w:r>
    </w:p>
    <w:p w:rsidR="008B1196" w:rsidRPr="00EB4D74" w:rsidRDefault="008B1196" w:rsidP="008B1196">
      <w:pPr>
        <w:rPr>
          <w:rFonts w:cs="Tahoma"/>
          <w:lang w:val="it-IT"/>
        </w:rPr>
      </w:pPr>
      <w:r w:rsidRPr="00EB4D74">
        <w:rPr>
          <w:rFonts w:cs="Tahoma"/>
          <w:color w:val="000000"/>
          <w:lang w:val="pt-BR"/>
        </w:rPr>
        <w:t>Access 2013</w:t>
      </w:r>
    </w:p>
    <w:p w:rsidR="008B1196" w:rsidRPr="00EB4D74" w:rsidRDefault="008B1196" w:rsidP="008B1196">
      <w:pPr>
        <w:rPr>
          <w:rFonts w:cs="Tahoma"/>
        </w:rPr>
      </w:pPr>
      <w:r w:rsidRPr="00EB4D74">
        <w:rPr>
          <w:rFonts w:cs="Tahoma"/>
          <w:color w:val="000000"/>
          <w:lang w:val="pt-BR"/>
        </w:rPr>
        <w:t>Excel 2013</w:t>
      </w:r>
    </w:p>
    <w:p w:rsidR="008B1196" w:rsidRPr="00EB4D74" w:rsidRDefault="008B1196" w:rsidP="008B1196">
      <w:pPr>
        <w:rPr>
          <w:rFonts w:cs="Tahoma"/>
        </w:rPr>
      </w:pPr>
      <w:r w:rsidRPr="00EB4D74">
        <w:rPr>
          <w:rFonts w:cs="Tahoma"/>
          <w:color w:val="000000"/>
          <w:lang w:val="pt-BR"/>
        </w:rPr>
        <w:t>CAL Empresarial do Exchange com Serviços 2013</w:t>
      </w:r>
    </w:p>
    <w:p w:rsidR="008B1196" w:rsidRPr="00EB4D74" w:rsidRDefault="008B1196" w:rsidP="008B1196">
      <w:pPr>
        <w:rPr>
          <w:rFonts w:cs="Tahoma"/>
        </w:rPr>
      </w:pPr>
      <w:r w:rsidRPr="00EB4D74">
        <w:rPr>
          <w:rFonts w:cs="Tahoma"/>
          <w:color w:val="000000"/>
          <w:lang w:val="pt-BR"/>
        </w:rPr>
        <w:t>CAL Empresarial do Exchange sem Serviços 2013</w:t>
      </w:r>
    </w:p>
    <w:p w:rsidR="008B1196" w:rsidRPr="00EB4D74" w:rsidRDefault="008B1196" w:rsidP="008B1196">
      <w:pPr>
        <w:rPr>
          <w:rFonts w:cs="Tahoma"/>
        </w:rPr>
      </w:pPr>
      <w:r w:rsidRPr="00EB4D74">
        <w:rPr>
          <w:rFonts w:cs="Tahoma"/>
          <w:color w:val="000000"/>
          <w:lang w:val="pt-BR"/>
        </w:rPr>
        <w:t>Exchange Server Enterprise 2013</w:t>
      </w:r>
    </w:p>
    <w:p w:rsidR="008B1196" w:rsidRPr="00EB4D74" w:rsidRDefault="008B1196" w:rsidP="008B1196">
      <w:pPr>
        <w:rPr>
          <w:rFonts w:cs="Tahoma"/>
        </w:rPr>
      </w:pPr>
      <w:r w:rsidRPr="00EB4D74">
        <w:rPr>
          <w:rFonts w:cs="Tahoma"/>
          <w:color w:val="000000"/>
          <w:lang w:val="pt-BR"/>
        </w:rPr>
        <w:t>Exchange Server Standard 2013</w:t>
      </w:r>
    </w:p>
    <w:p w:rsidR="008B1196" w:rsidRPr="00EB4D74" w:rsidRDefault="008B1196" w:rsidP="008B1196">
      <w:pPr>
        <w:rPr>
          <w:rFonts w:cs="Tahoma"/>
        </w:rPr>
      </w:pPr>
      <w:r w:rsidRPr="00EB4D74">
        <w:rPr>
          <w:rFonts w:cs="Tahoma"/>
          <w:color w:val="000000"/>
          <w:lang w:val="pt-BR"/>
        </w:rPr>
        <w:t>CAL do Exchange Standard 2013</w:t>
      </w:r>
    </w:p>
    <w:p w:rsidR="008B1196" w:rsidRPr="00EB4D74" w:rsidRDefault="008B1196" w:rsidP="008B1196">
      <w:pPr>
        <w:rPr>
          <w:rFonts w:cs="Tahoma"/>
        </w:rPr>
      </w:pPr>
      <w:r w:rsidRPr="00EB4D74">
        <w:rPr>
          <w:rFonts w:cs="Tahoma"/>
          <w:color w:val="000000"/>
          <w:lang w:val="pt-BR"/>
        </w:rPr>
        <w:t>InfoPath 2013</w:t>
      </w:r>
    </w:p>
    <w:p w:rsidR="008B1196" w:rsidRPr="00EB4D74" w:rsidRDefault="008B1196" w:rsidP="008B1196">
      <w:pPr>
        <w:rPr>
          <w:rFonts w:cs="Tahoma"/>
        </w:rPr>
      </w:pPr>
      <w:r w:rsidRPr="00EB4D74">
        <w:rPr>
          <w:rFonts w:cs="Tahoma"/>
          <w:color w:val="000000"/>
          <w:lang w:val="pt-BR"/>
        </w:rPr>
        <w:t>Lync 2013</w:t>
      </w:r>
    </w:p>
    <w:p w:rsidR="008B1196" w:rsidRPr="00EB4D74" w:rsidRDefault="008B1196" w:rsidP="008B1196">
      <w:pPr>
        <w:rPr>
          <w:rFonts w:cs="Tahoma"/>
        </w:rPr>
      </w:pPr>
      <w:r w:rsidRPr="00EB4D74">
        <w:rPr>
          <w:rFonts w:cs="Tahoma"/>
          <w:color w:val="000000"/>
          <w:lang w:val="pt-BR"/>
        </w:rPr>
        <w:t>Lync Server 2013</w:t>
      </w:r>
    </w:p>
    <w:p w:rsidR="008B1196" w:rsidRPr="00EB4D74" w:rsidRDefault="008B1196" w:rsidP="008B1196">
      <w:pPr>
        <w:rPr>
          <w:rFonts w:cs="Tahoma"/>
        </w:rPr>
      </w:pPr>
      <w:r w:rsidRPr="00EB4D74">
        <w:rPr>
          <w:rFonts w:cs="Tahoma"/>
          <w:color w:val="000000"/>
          <w:lang w:val="pt-BR"/>
        </w:rPr>
        <w:t>CAL Empresarial do Lync Server 2013</w:t>
      </w:r>
    </w:p>
    <w:p w:rsidR="008B1196" w:rsidRPr="00EB4D74" w:rsidRDefault="008B1196" w:rsidP="008B1196">
      <w:pPr>
        <w:rPr>
          <w:rFonts w:cs="Tahoma"/>
        </w:rPr>
      </w:pPr>
      <w:r w:rsidRPr="00EB4D74">
        <w:rPr>
          <w:rFonts w:cs="Tahoma"/>
          <w:color w:val="000000"/>
          <w:lang w:val="pt-BR"/>
        </w:rPr>
        <w:t>CAL do Lync Server Plus 2013</w:t>
      </w:r>
    </w:p>
    <w:p w:rsidR="008B1196" w:rsidRPr="00EB4D74" w:rsidRDefault="008B1196" w:rsidP="008B1196">
      <w:pPr>
        <w:rPr>
          <w:rFonts w:cs="Tahoma"/>
        </w:rPr>
      </w:pPr>
      <w:r w:rsidRPr="00EB4D74">
        <w:rPr>
          <w:rFonts w:cs="Tahoma"/>
          <w:color w:val="000000"/>
          <w:lang w:val="pt-BR"/>
        </w:rPr>
        <w:t>CAL do Lync Server Standard 2013</w:t>
      </w:r>
    </w:p>
    <w:p w:rsidR="008B1196" w:rsidRPr="00EB4D74" w:rsidRDefault="008B1196" w:rsidP="008B1196">
      <w:pPr>
        <w:rPr>
          <w:rFonts w:cs="Tahoma"/>
        </w:rPr>
      </w:pPr>
      <w:r w:rsidRPr="00EB4D74">
        <w:rPr>
          <w:rFonts w:cs="Tahoma"/>
          <w:color w:val="000000"/>
          <w:lang w:val="pt-BR"/>
        </w:rPr>
        <w:t>Office Home e Student RT 2013</w:t>
      </w:r>
    </w:p>
    <w:p w:rsidR="008B1196" w:rsidRPr="00EB4D74" w:rsidRDefault="008B1196" w:rsidP="008B1196">
      <w:pPr>
        <w:rPr>
          <w:rFonts w:cs="Tahoma"/>
        </w:rPr>
      </w:pPr>
      <w:r w:rsidRPr="00EB4D74">
        <w:rPr>
          <w:rFonts w:cs="Tahoma"/>
          <w:color w:val="000000"/>
          <w:lang w:val="pt-BR"/>
        </w:rPr>
        <w:t>Office Multi Language Pack 2013</w:t>
      </w:r>
    </w:p>
    <w:p w:rsidR="008B1196" w:rsidRPr="00EB4D74" w:rsidRDefault="008B1196" w:rsidP="008B1196">
      <w:pPr>
        <w:rPr>
          <w:rFonts w:cs="Tahoma"/>
        </w:rPr>
      </w:pPr>
      <w:r w:rsidRPr="00EB4D74">
        <w:rPr>
          <w:rFonts w:cs="Tahoma"/>
          <w:color w:val="000000"/>
          <w:lang w:val="pt-BR"/>
        </w:rPr>
        <w:t>Office Professional Plus 2013</w:t>
      </w:r>
    </w:p>
    <w:p w:rsidR="008B1196" w:rsidRPr="00EB4D74" w:rsidRDefault="008B1196" w:rsidP="008B1196">
      <w:pPr>
        <w:rPr>
          <w:rFonts w:cs="Tahoma"/>
        </w:rPr>
      </w:pPr>
      <w:r w:rsidRPr="00EB4D74">
        <w:rPr>
          <w:rFonts w:cs="Tahoma"/>
          <w:color w:val="000000"/>
          <w:lang w:val="pt-BR"/>
        </w:rPr>
        <w:t>Office Standard 2013</w:t>
      </w:r>
    </w:p>
    <w:p w:rsidR="008B1196" w:rsidRPr="00EB4D74" w:rsidRDefault="008B1196" w:rsidP="008B1196">
      <w:pPr>
        <w:rPr>
          <w:rFonts w:cs="Tahoma"/>
        </w:rPr>
      </w:pPr>
      <w:r w:rsidRPr="00EB4D74">
        <w:rPr>
          <w:rFonts w:cs="Tahoma"/>
          <w:color w:val="000000"/>
          <w:lang w:val="pt-BR"/>
        </w:rPr>
        <w:t>OneNote 2013</w:t>
      </w:r>
    </w:p>
    <w:p w:rsidR="008B1196" w:rsidRPr="00EB4D74" w:rsidRDefault="008B1196" w:rsidP="008B1196">
      <w:pPr>
        <w:rPr>
          <w:rFonts w:cs="Tahoma"/>
        </w:rPr>
      </w:pPr>
      <w:r w:rsidRPr="00EB4D74">
        <w:rPr>
          <w:rFonts w:cs="Tahoma"/>
          <w:color w:val="000000"/>
          <w:lang w:val="pt-BR"/>
        </w:rPr>
        <w:t>Outlook 2013</w:t>
      </w:r>
    </w:p>
    <w:p w:rsidR="008B1196" w:rsidRPr="00EB4D74" w:rsidRDefault="008B1196" w:rsidP="008B1196">
      <w:pPr>
        <w:rPr>
          <w:rFonts w:cs="Tahoma"/>
        </w:rPr>
      </w:pPr>
      <w:r w:rsidRPr="00EB4D74">
        <w:rPr>
          <w:rFonts w:cs="Tahoma"/>
          <w:color w:val="000000"/>
          <w:lang w:val="pt-BR"/>
        </w:rPr>
        <w:t>PowerPoint 2013</w:t>
      </w:r>
    </w:p>
    <w:p w:rsidR="008B1196" w:rsidRPr="00EB4D74" w:rsidRDefault="008B1196" w:rsidP="008B1196">
      <w:pPr>
        <w:rPr>
          <w:rFonts w:cs="Tahoma"/>
        </w:rPr>
      </w:pPr>
      <w:r w:rsidRPr="00EB4D74">
        <w:rPr>
          <w:rFonts w:cs="Tahoma"/>
          <w:color w:val="000000"/>
          <w:lang w:val="pt-BR"/>
        </w:rPr>
        <w:t>Project Standard 2013</w:t>
      </w:r>
    </w:p>
    <w:p w:rsidR="008B1196" w:rsidRPr="00EB4D74" w:rsidRDefault="008B1196" w:rsidP="008B1196">
      <w:pPr>
        <w:rPr>
          <w:rFonts w:cs="Tahoma"/>
        </w:rPr>
      </w:pPr>
      <w:r w:rsidRPr="00EB4D74">
        <w:rPr>
          <w:rFonts w:cs="Tahoma"/>
          <w:color w:val="000000"/>
          <w:lang w:val="pt-BR"/>
        </w:rPr>
        <w:t>Project Professional 2013</w:t>
      </w:r>
    </w:p>
    <w:p w:rsidR="008B1196" w:rsidRPr="00EB4D74" w:rsidRDefault="008B1196" w:rsidP="008B1196">
      <w:pPr>
        <w:rPr>
          <w:rFonts w:cs="Tahoma"/>
        </w:rPr>
      </w:pPr>
      <w:r w:rsidRPr="00EB4D74">
        <w:rPr>
          <w:rFonts w:cs="Tahoma"/>
          <w:color w:val="000000"/>
          <w:lang w:val="pt-BR"/>
        </w:rPr>
        <w:t>Project Server 2013</w:t>
      </w:r>
    </w:p>
    <w:p w:rsidR="008B1196" w:rsidRPr="00EB4D74" w:rsidRDefault="008B1196" w:rsidP="008B1196">
      <w:pPr>
        <w:rPr>
          <w:rFonts w:cs="Tahoma"/>
        </w:rPr>
      </w:pPr>
      <w:r w:rsidRPr="00EB4D74">
        <w:rPr>
          <w:rFonts w:cs="Tahoma"/>
          <w:color w:val="000000"/>
          <w:lang w:val="pt-BR"/>
        </w:rPr>
        <w:t>CAL do Project Server 2013</w:t>
      </w:r>
    </w:p>
    <w:p w:rsidR="008B1196" w:rsidRPr="00EB4D74" w:rsidRDefault="008B1196" w:rsidP="008B1196">
      <w:pPr>
        <w:rPr>
          <w:rFonts w:cs="Tahoma"/>
        </w:rPr>
      </w:pPr>
      <w:r w:rsidRPr="00EB4D74">
        <w:rPr>
          <w:rFonts w:cs="Tahoma"/>
          <w:color w:val="000000"/>
          <w:lang w:val="pt-BR"/>
        </w:rPr>
        <w:lastRenderedPageBreak/>
        <w:t>Publisher 2013</w:t>
      </w:r>
    </w:p>
    <w:p w:rsidR="008B1196" w:rsidRPr="00EB4D74" w:rsidRDefault="008B1196" w:rsidP="008B1196">
      <w:pPr>
        <w:rPr>
          <w:rFonts w:cs="Tahoma"/>
        </w:rPr>
      </w:pPr>
      <w:r w:rsidRPr="00EB4D74">
        <w:rPr>
          <w:rFonts w:cs="Tahoma"/>
          <w:color w:val="000000"/>
          <w:lang w:val="pt-BR"/>
        </w:rPr>
        <w:t>CAL Empresarial do SharePoint 2013</w:t>
      </w:r>
    </w:p>
    <w:p w:rsidR="008B1196" w:rsidRPr="00EB4D74" w:rsidRDefault="008B1196" w:rsidP="008B1196">
      <w:pPr>
        <w:rPr>
          <w:rFonts w:cs="Tahoma"/>
        </w:rPr>
      </w:pPr>
      <w:r w:rsidRPr="00EB4D74">
        <w:rPr>
          <w:rFonts w:cs="Tahoma"/>
          <w:color w:val="000000"/>
          <w:lang w:val="pt-BR"/>
        </w:rPr>
        <w:t>SharePoint Server 2013</w:t>
      </w:r>
    </w:p>
    <w:p w:rsidR="008B1196" w:rsidRPr="00EB4D74" w:rsidRDefault="008B1196" w:rsidP="008B1196">
      <w:pPr>
        <w:rPr>
          <w:rFonts w:cs="Tahoma"/>
        </w:rPr>
      </w:pPr>
      <w:r w:rsidRPr="00EB4D74">
        <w:rPr>
          <w:rFonts w:cs="Tahoma"/>
          <w:color w:val="000000"/>
          <w:lang w:val="pt-BR"/>
        </w:rPr>
        <w:t>CAL Padrão do SharePoint 2013</w:t>
      </w:r>
    </w:p>
    <w:p w:rsidR="008B1196" w:rsidRPr="00EB4D74" w:rsidRDefault="008B1196" w:rsidP="008B1196">
      <w:pPr>
        <w:rPr>
          <w:rFonts w:cs="Tahoma"/>
        </w:rPr>
      </w:pPr>
      <w:r w:rsidRPr="00EB4D74">
        <w:rPr>
          <w:rFonts w:cs="Tahoma"/>
          <w:color w:val="000000"/>
          <w:lang w:val="pt-BR"/>
        </w:rPr>
        <w:t>Visio Professional 2013</w:t>
      </w:r>
    </w:p>
    <w:p w:rsidR="008B1196" w:rsidRPr="00EB4D74" w:rsidRDefault="008B1196" w:rsidP="008B1196">
      <w:pPr>
        <w:rPr>
          <w:rFonts w:cs="Tahoma"/>
        </w:rPr>
      </w:pPr>
      <w:r w:rsidRPr="00EB4D74">
        <w:rPr>
          <w:rFonts w:cs="Tahoma"/>
          <w:color w:val="000000"/>
          <w:lang w:val="pt-BR"/>
        </w:rPr>
        <w:t>Visio Standard 2013</w:t>
      </w:r>
    </w:p>
    <w:p w:rsidR="008B1196" w:rsidRPr="00EB4D74" w:rsidRDefault="008B1196" w:rsidP="008B1196">
      <w:pPr>
        <w:rPr>
          <w:rFonts w:cs="Tahoma"/>
        </w:rPr>
      </w:pPr>
      <w:r w:rsidRPr="00EB4D74">
        <w:rPr>
          <w:rFonts w:cs="Tahoma"/>
          <w:color w:val="000000"/>
          <w:lang w:val="pt-BR"/>
        </w:rPr>
        <w:t>Word 2013</w:t>
      </w:r>
    </w:p>
    <w:p w:rsidR="008B1196" w:rsidRPr="00EB4D74" w:rsidRDefault="008B1196" w:rsidP="008B1196">
      <w:pPr>
        <w:rPr>
          <w:rFonts w:cs="Tahoma"/>
        </w:rPr>
      </w:pPr>
      <w:r w:rsidRPr="00EB4D74">
        <w:rPr>
          <w:rFonts w:cs="Tahoma"/>
          <w:color w:val="000000"/>
          <w:lang w:val="pt-BR"/>
        </w:rPr>
        <w:t>Windows MultiPoint Server Standard 2012</w:t>
      </w:r>
    </w:p>
    <w:p w:rsidR="008B1196" w:rsidRPr="00EB4D74" w:rsidRDefault="008B1196" w:rsidP="008B1196">
      <w:pPr>
        <w:rPr>
          <w:rFonts w:cs="Tahoma"/>
        </w:rPr>
      </w:pPr>
      <w:r w:rsidRPr="00EB4D74">
        <w:rPr>
          <w:rFonts w:cs="Tahoma"/>
          <w:color w:val="000000"/>
          <w:lang w:val="pt-BR"/>
        </w:rPr>
        <w:t>Windows MultiPoint Server Premium 2012</w:t>
      </w:r>
    </w:p>
    <w:p w:rsidR="008B1196" w:rsidRPr="00EB4D74" w:rsidRDefault="008B1196" w:rsidP="008B1196">
      <w:pPr>
        <w:rPr>
          <w:rFonts w:cs="Tahoma"/>
        </w:rPr>
      </w:pPr>
      <w:r w:rsidRPr="00EB4D74">
        <w:rPr>
          <w:rFonts w:cs="Tahoma"/>
          <w:color w:val="000000"/>
          <w:lang w:val="pt-BR"/>
        </w:rPr>
        <w:t>CAL do Windows MultiPoint Server 2012</w:t>
      </w:r>
    </w:p>
    <w:p w:rsidR="008B1196" w:rsidRPr="00EB4D74" w:rsidRDefault="008B1196" w:rsidP="008B1196">
      <w:pPr>
        <w:rPr>
          <w:rFonts w:cs="Tahoma"/>
        </w:rPr>
      </w:pPr>
      <w:r w:rsidRPr="00EB4D74">
        <w:rPr>
          <w:rFonts w:cs="Tahoma"/>
          <w:color w:val="000000"/>
          <w:lang w:val="pt-BR"/>
        </w:rPr>
        <w:t>CAL do Windows MultiPoint Server com CAL do Windows Server 2012</w:t>
      </w:r>
    </w:p>
    <w:p w:rsidR="008B1196" w:rsidRPr="00EB4D74" w:rsidRDefault="008B1196" w:rsidP="008B1196">
      <w:pPr>
        <w:rPr>
          <w:rFonts w:cs="Tahoma"/>
        </w:rPr>
      </w:pPr>
      <w:r w:rsidRPr="00EB4D74">
        <w:rPr>
          <w:rFonts w:cs="Tahoma"/>
          <w:color w:val="000000"/>
          <w:lang w:val="pt-BR"/>
        </w:rPr>
        <w:t>Windows Intune (Por Usuário)</w:t>
      </w:r>
    </w:p>
    <w:p w:rsidR="008B1196" w:rsidRPr="00EB4D74" w:rsidRDefault="008B1196" w:rsidP="008B1196">
      <w:pPr>
        <w:rPr>
          <w:rFonts w:cs="Tahoma"/>
        </w:rPr>
      </w:pPr>
      <w:r w:rsidRPr="00EB4D74">
        <w:rPr>
          <w:rFonts w:cs="Tahoma"/>
          <w:color w:val="000000"/>
          <w:lang w:val="pt-BR"/>
        </w:rPr>
        <w:t>Complemento do Windows Intune para System Center Configuration Manager e System Center EndPoint Protection (por usuário)</w:t>
      </w:r>
    </w:p>
    <w:p w:rsidR="008B1196" w:rsidRPr="00EB4D74" w:rsidRDefault="008B1196" w:rsidP="008B1196">
      <w:pPr>
        <w:rPr>
          <w:rFonts w:cs="Tahoma"/>
        </w:rPr>
      </w:pPr>
      <w:r w:rsidRPr="00EB4D74">
        <w:rPr>
          <w:rFonts w:cs="Tahoma"/>
          <w:color w:val="000000"/>
          <w:lang w:val="pt-BR"/>
        </w:rPr>
        <w:t>SL do Usuário do Windows Intune</w:t>
      </w:r>
    </w:p>
    <w:p w:rsidR="008B1196" w:rsidRPr="00EB4D74" w:rsidRDefault="008B1196" w:rsidP="008B1196">
      <w:pPr>
        <w:rPr>
          <w:rFonts w:cs="Tahoma"/>
        </w:rPr>
      </w:pPr>
      <w:r w:rsidRPr="00EB4D74">
        <w:rPr>
          <w:rFonts w:cs="Tahoma"/>
          <w:color w:val="000000"/>
          <w:lang w:val="pt-BR"/>
        </w:rPr>
        <w:t>Complemento da SL do Usuário do Windows Intune</w:t>
      </w:r>
    </w:p>
    <w:p w:rsidR="008B1196" w:rsidRPr="00EB4D74" w:rsidRDefault="008B1196" w:rsidP="008B1196">
      <w:pPr>
        <w:rPr>
          <w:rFonts w:cs="Tahoma"/>
        </w:rPr>
      </w:pPr>
      <w:r w:rsidRPr="00EB4D74">
        <w:rPr>
          <w:rFonts w:cs="Tahoma"/>
          <w:color w:val="000000"/>
          <w:lang w:val="pt-BR"/>
        </w:rPr>
        <w:t>Armazenamento Extra de 1 GB de SL do Usuário do Windows Intune</w:t>
      </w:r>
    </w:p>
    <w:p w:rsidR="008B1196" w:rsidRPr="00EB4D74" w:rsidRDefault="008B1196" w:rsidP="008B1196">
      <w:pPr>
        <w:rPr>
          <w:rFonts w:cs="Tahoma"/>
        </w:rPr>
      </w:pPr>
      <w:r w:rsidRPr="00EB4D74">
        <w:rPr>
          <w:rFonts w:cs="Tahoma"/>
          <w:color w:val="000000"/>
          <w:lang w:val="pt-BR"/>
        </w:rPr>
        <w:t>Win Pro com MDOP 8</w:t>
      </w:r>
    </w:p>
    <w:p w:rsidR="008B1196" w:rsidRPr="00EB4D74" w:rsidRDefault="008B1196" w:rsidP="008B1196">
      <w:pPr>
        <w:keepNext/>
        <w:tabs>
          <w:tab w:val="num" w:pos="720"/>
        </w:tabs>
        <w:spacing w:before="60"/>
        <w:outlineLvl w:val="3"/>
        <w:rPr>
          <w:rFonts w:cs="Tahoma"/>
          <w:sz w:val="20"/>
          <w:szCs w:val="20"/>
        </w:rPr>
      </w:pPr>
    </w:p>
    <w:p w:rsidR="008B1196" w:rsidRPr="00EB4D74" w:rsidRDefault="008B1196" w:rsidP="008B1196">
      <w:pPr>
        <w:rPr>
          <w:rFonts w:cs="Tahoma"/>
        </w:rPr>
      </w:pPr>
      <w:r w:rsidRPr="00EB4D74">
        <w:rPr>
          <w:rFonts w:cs="Tahoma"/>
          <w:b/>
          <w:color w:val="000000"/>
          <w:lang w:val="pt-BR"/>
        </w:rPr>
        <w:t>Promoções</w:t>
      </w:r>
    </w:p>
    <w:p w:rsidR="008B1196" w:rsidRPr="00EB4D74" w:rsidRDefault="008B1196" w:rsidP="008B1196">
      <w:pPr>
        <w:outlineLvl w:val="1"/>
        <w:rPr>
          <w:rFonts w:cs="Tahoma"/>
        </w:rPr>
      </w:pPr>
      <w:r w:rsidRPr="00EB4D74">
        <w:rPr>
          <w:rFonts w:cs="Tahoma"/>
          <w:color w:val="000000"/>
          <w:lang w:val="pt-BR"/>
        </w:rPr>
        <w:t>As seguintes promoções foram adicionadas:</w:t>
      </w:r>
    </w:p>
    <w:p w:rsidR="008B1196" w:rsidRPr="00EB4D74" w:rsidRDefault="008B1196" w:rsidP="008B1196">
      <w:pPr>
        <w:outlineLvl w:val="1"/>
        <w:rPr>
          <w:rFonts w:cs="Tahoma"/>
          <w:lang w:val="it-IT"/>
        </w:rPr>
      </w:pPr>
      <w:r w:rsidRPr="00EB4D74">
        <w:rPr>
          <w:rFonts w:cs="Tahoma"/>
          <w:color w:val="000000"/>
          <w:lang w:val="pt-BR"/>
        </w:rPr>
        <w:t>55% de desconto na CAL do Project Server para Compras para Toda a Empresa</w:t>
      </w:r>
    </w:p>
    <w:p w:rsidR="008B1196" w:rsidRPr="00EB4D74" w:rsidRDefault="008B1196" w:rsidP="008B1196">
      <w:pPr>
        <w:outlineLvl w:val="1"/>
        <w:rPr>
          <w:rFonts w:cs="Tahoma"/>
        </w:rPr>
      </w:pPr>
      <w:r w:rsidRPr="00EB4D74">
        <w:rPr>
          <w:rFonts w:cs="Tahoma"/>
          <w:color w:val="000000"/>
          <w:lang w:val="pt-BR"/>
        </w:rPr>
        <w:t>15% de desconto em Step-ups do Project/Visio</w:t>
      </w:r>
    </w:p>
    <w:p w:rsidR="008B1196" w:rsidRPr="00EB4D74" w:rsidRDefault="008B1196" w:rsidP="008B1196">
      <w:pPr>
        <w:outlineLvl w:val="1"/>
        <w:rPr>
          <w:rFonts w:cs="Tahoma"/>
        </w:rPr>
      </w:pPr>
    </w:p>
    <w:p w:rsidR="008B1196" w:rsidRPr="00EB4D74" w:rsidRDefault="008B1196" w:rsidP="008B1196">
      <w:pPr>
        <w:outlineLvl w:val="1"/>
        <w:rPr>
          <w:rFonts w:cs="Tahoma"/>
        </w:rPr>
      </w:pPr>
      <w:r w:rsidRPr="00EB4D74">
        <w:rPr>
          <w:rFonts w:cs="Tahoma"/>
          <w:color w:val="000000"/>
          <w:lang w:val="pt-BR"/>
        </w:rPr>
        <w:t>As seguintes promoções foram excluídas:</w:t>
      </w:r>
    </w:p>
    <w:p w:rsidR="008B1196" w:rsidRPr="00EB4D74" w:rsidRDefault="008B1196" w:rsidP="008B1196">
      <w:pPr>
        <w:outlineLvl w:val="1"/>
        <w:rPr>
          <w:rFonts w:cs="Tahoma"/>
          <w:lang w:val="it-IT"/>
        </w:rPr>
      </w:pPr>
      <w:r w:rsidRPr="00EB4D74">
        <w:rPr>
          <w:rFonts w:cs="Tahoma"/>
          <w:lang w:val="pt-BR"/>
        </w:rPr>
        <w:t>Promoção de 20% de Desconto para Novos Computadores com Windows Intune</w:t>
      </w:r>
    </w:p>
    <w:p w:rsidR="008B1196" w:rsidRPr="00EB4D74" w:rsidRDefault="008B1196" w:rsidP="008B1196">
      <w:pPr>
        <w:outlineLvl w:val="1"/>
        <w:rPr>
          <w:rFonts w:cs="Tahoma"/>
          <w:lang w:val="it-IT"/>
        </w:rPr>
      </w:pPr>
    </w:p>
    <w:p w:rsidR="008B1196" w:rsidRPr="00EB4D74" w:rsidRDefault="008B1196" w:rsidP="008B1196">
      <w:pPr>
        <w:rPr>
          <w:rFonts w:cs="Tahoma"/>
        </w:rPr>
      </w:pPr>
      <w:r w:rsidRPr="00EB4D74">
        <w:rPr>
          <w:rFonts w:cs="Tahoma"/>
          <w:b/>
          <w:color w:val="000000"/>
          <w:lang w:val="pt-BR"/>
        </w:rPr>
        <w:t>Exclusões</w:t>
      </w:r>
    </w:p>
    <w:p w:rsidR="008B1196" w:rsidRPr="00EB4D74" w:rsidRDefault="008B1196" w:rsidP="008B1196">
      <w:pPr>
        <w:rPr>
          <w:rFonts w:cs="Tahoma"/>
        </w:rPr>
      </w:pPr>
      <w:r w:rsidRPr="00EB4D74">
        <w:rPr>
          <w:rFonts w:cs="Tahoma"/>
          <w:color w:val="000000"/>
          <w:lang w:val="pt-BR"/>
        </w:rPr>
        <w:t>Access 2010</w:t>
      </w:r>
    </w:p>
    <w:p w:rsidR="008B1196" w:rsidRPr="00EB4D74" w:rsidRDefault="008B1196" w:rsidP="008B1196">
      <w:pPr>
        <w:rPr>
          <w:rFonts w:cs="Tahoma"/>
        </w:rPr>
      </w:pPr>
      <w:r w:rsidRPr="00EB4D74">
        <w:rPr>
          <w:rFonts w:cs="Tahoma"/>
          <w:color w:val="000000"/>
          <w:lang w:val="pt-BR"/>
        </w:rPr>
        <w:t>Duet Enterprise para Microsoft SharePoint e SAP 1.0</w:t>
      </w:r>
    </w:p>
    <w:p w:rsidR="008B1196" w:rsidRPr="00EB4D74" w:rsidRDefault="008B1196" w:rsidP="008B1196">
      <w:pPr>
        <w:rPr>
          <w:rFonts w:cs="Tahoma"/>
        </w:rPr>
      </w:pPr>
      <w:r w:rsidRPr="00EB4D74">
        <w:rPr>
          <w:rFonts w:cs="Tahoma"/>
          <w:color w:val="000000"/>
          <w:lang w:val="pt-BR"/>
        </w:rPr>
        <w:t>Dynamics CRM Onprem Mobile</w:t>
      </w:r>
    </w:p>
    <w:p w:rsidR="008B1196" w:rsidRPr="00EB4D74" w:rsidRDefault="008B1196" w:rsidP="008B1196">
      <w:pPr>
        <w:rPr>
          <w:rFonts w:cs="Tahoma"/>
        </w:rPr>
      </w:pPr>
      <w:r w:rsidRPr="00EB4D74">
        <w:rPr>
          <w:rFonts w:cs="Tahoma"/>
          <w:color w:val="000000"/>
          <w:lang w:val="pt-BR"/>
        </w:rPr>
        <w:t>Dynamics CRM Mobile</w:t>
      </w:r>
    </w:p>
    <w:p w:rsidR="008B1196" w:rsidRPr="00EB4D74" w:rsidRDefault="008B1196" w:rsidP="008B1196">
      <w:pPr>
        <w:rPr>
          <w:rFonts w:cs="Tahoma"/>
        </w:rPr>
      </w:pPr>
      <w:r w:rsidRPr="00EB4D74">
        <w:rPr>
          <w:rFonts w:cs="Tahoma"/>
          <w:color w:val="000000"/>
          <w:lang w:val="pt-BR"/>
        </w:rPr>
        <w:t>Excel 2010</w:t>
      </w:r>
    </w:p>
    <w:p w:rsidR="008B1196" w:rsidRPr="00EB4D74" w:rsidRDefault="008B1196" w:rsidP="008B1196">
      <w:pPr>
        <w:rPr>
          <w:rFonts w:cs="Tahoma"/>
        </w:rPr>
      </w:pPr>
      <w:r w:rsidRPr="00EB4D74">
        <w:rPr>
          <w:rFonts w:cs="Tahoma"/>
          <w:color w:val="000000"/>
          <w:lang w:val="pt-BR"/>
        </w:rPr>
        <w:t>External Connector do Exchange Server 2010</w:t>
      </w:r>
    </w:p>
    <w:p w:rsidR="008B1196" w:rsidRPr="00EB4D74" w:rsidRDefault="008B1196" w:rsidP="008B1196">
      <w:pPr>
        <w:rPr>
          <w:rFonts w:cs="Tahoma"/>
        </w:rPr>
      </w:pPr>
      <w:r w:rsidRPr="00EB4D74">
        <w:rPr>
          <w:rFonts w:cs="Tahoma"/>
          <w:color w:val="000000"/>
          <w:lang w:val="pt-BR"/>
        </w:rPr>
        <w:t>FAST SearchServer SharePoint</w:t>
      </w:r>
    </w:p>
    <w:p w:rsidR="008B1196" w:rsidRPr="00EB4D74" w:rsidRDefault="008B1196" w:rsidP="008B1196">
      <w:pPr>
        <w:rPr>
          <w:rFonts w:cs="Tahoma"/>
        </w:rPr>
      </w:pPr>
      <w:r w:rsidRPr="00EB4D74">
        <w:rPr>
          <w:rFonts w:cs="Tahoma"/>
          <w:color w:val="000000"/>
          <w:lang w:val="pt-BR"/>
        </w:rPr>
        <w:t>Forefront Protection Suite</w:t>
      </w:r>
    </w:p>
    <w:p w:rsidR="008B1196" w:rsidRPr="00EB4D74" w:rsidRDefault="008B1196" w:rsidP="008B1196">
      <w:pPr>
        <w:rPr>
          <w:rFonts w:cs="Tahoma"/>
        </w:rPr>
      </w:pPr>
      <w:r w:rsidRPr="00EB4D74">
        <w:rPr>
          <w:rFonts w:cs="Tahoma"/>
          <w:color w:val="000000"/>
          <w:lang w:val="pt-BR"/>
        </w:rPr>
        <w:t>Forefront Security para Exchange Server</w:t>
      </w:r>
    </w:p>
    <w:p w:rsidR="008B1196" w:rsidRPr="00EB4D74" w:rsidRDefault="008B1196" w:rsidP="008B1196">
      <w:pPr>
        <w:rPr>
          <w:rFonts w:cs="Tahoma"/>
        </w:rPr>
      </w:pPr>
      <w:r w:rsidRPr="00EB4D74">
        <w:rPr>
          <w:rFonts w:cs="Tahoma"/>
          <w:color w:val="000000"/>
          <w:lang w:val="pt-BR"/>
        </w:rPr>
        <w:t>Forefront Security Office Communication Server</w:t>
      </w:r>
    </w:p>
    <w:p w:rsidR="008B1196" w:rsidRPr="00EB4D74" w:rsidRDefault="008B1196" w:rsidP="008B1196">
      <w:pPr>
        <w:rPr>
          <w:rFonts w:cs="Tahoma"/>
        </w:rPr>
      </w:pPr>
      <w:r w:rsidRPr="00EB4D74">
        <w:rPr>
          <w:rFonts w:cs="Tahoma"/>
          <w:color w:val="000000"/>
          <w:lang w:val="pt-BR"/>
        </w:rPr>
        <w:t>Forefront Security SharePoint</w:t>
      </w:r>
    </w:p>
    <w:p w:rsidR="008B1196" w:rsidRPr="00EB4D74" w:rsidRDefault="008B1196" w:rsidP="008B1196">
      <w:pPr>
        <w:rPr>
          <w:rFonts w:cs="Tahoma"/>
        </w:rPr>
      </w:pPr>
      <w:r w:rsidRPr="00EB4D74">
        <w:rPr>
          <w:rFonts w:cs="Tahoma"/>
          <w:color w:val="000000"/>
          <w:lang w:val="pt-BR"/>
        </w:rPr>
        <w:t>Console de Gerenciamento do Forefront Security Server</w:t>
      </w:r>
    </w:p>
    <w:p w:rsidR="008B1196" w:rsidRPr="00EB4D74" w:rsidRDefault="008B1196" w:rsidP="008B1196">
      <w:pPr>
        <w:rPr>
          <w:rFonts w:cs="Tahoma"/>
        </w:rPr>
      </w:pPr>
      <w:r w:rsidRPr="00EB4D74">
        <w:rPr>
          <w:rFonts w:cs="Tahoma"/>
          <w:color w:val="000000"/>
          <w:lang w:val="pt-BR"/>
        </w:rPr>
        <w:t>Forefront Security Web</w:t>
      </w:r>
    </w:p>
    <w:p w:rsidR="008B1196" w:rsidRPr="00EB4D74" w:rsidRDefault="008B1196" w:rsidP="008B1196">
      <w:pPr>
        <w:rPr>
          <w:rFonts w:cs="Tahoma"/>
        </w:rPr>
      </w:pPr>
      <w:r w:rsidRPr="00EB4D74">
        <w:rPr>
          <w:rFonts w:cs="Tahoma"/>
          <w:color w:val="000000"/>
          <w:lang w:val="pt-BR"/>
        </w:rPr>
        <w:t>Forefront Threat Management Gateway Enterprise</w:t>
      </w:r>
    </w:p>
    <w:p w:rsidR="008B1196" w:rsidRPr="00EB4D74" w:rsidRDefault="008B1196" w:rsidP="008B1196">
      <w:pPr>
        <w:rPr>
          <w:rFonts w:cs="Tahoma"/>
        </w:rPr>
      </w:pPr>
      <w:r w:rsidRPr="00EB4D74">
        <w:rPr>
          <w:rFonts w:cs="Tahoma"/>
          <w:color w:val="000000"/>
          <w:lang w:val="pt-BR"/>
        </w:rPr>
        <w:t>Forefront Threat Management Gateway Medium Business</w:t>
      </w:r>
    </w:p>
    <w:p w:rsidR="008B1196" w:rsidRPr="00EB4D74" w:rsidRDefault="008B1196" w:rsidP="008B1196">
      <w:pPr>
        <w:rPr>
          <w:rFonts w:cs="Tahoma"/>
        </w:rPr>
      </w:pPr>
      <w:r w:rsidRPr="00EB4D74">
        <w:rPr>
          <w:rFonts w:cs="Tahoma"/>
          <w:color w:val="000000"/>
          <w:lang w:val="pt-BR"/>
        </w:rPr>
        <w:t>Forefront Threat Management Gateway Standard</w:t>
      </w:r>
    </w:p>
    <w:p w:rsidR="008B1196" w:rsidRPr="00EB4D74" w:rsidRDefault="008B1196" w:rsidP="008B1196">
      <w:pPr>
        <w:rPr>
          <w:rFonts w:cs="Tahoma"/>
        </w:rPr>
      </w:pPr>
      <w:r w:rsidRPr="00EB4D74">
        <w:rPr>
          <w:rFonts w:cs="Tahoma"/>
          <w:color w:val="000000"/>
          <w:lang w:val="pt-BR"/>
        </w:rPr>
        <w:t>Forefront Threat Management Gateway Web Protection Service</w:t>
      </w:r>
    </w:p>
    <w:p w:rsidR="008B1196" w:rsidRPr="00EB4D74" w:rsidRDefault="008B1196" w:rsidP="008B1196">
      <w:pPr>
        <w:rPr>
          <w:rFonts w:cs="Tahoma"/>
        </w:rPr>
      </w:pPr>
      <w:r w:rsidRPr="00EB4D74">
        <w:rPr>
          <w:rFonts w:cs="Tahoma"/>
          <w:color w:val="000000"/>
          <w:lang w:val="pt-BR"/>
        </w:rPr>
        <w:t>Forefront Protection 2010 for Exchange Server</w:t>
      </w:r>
    </w:p>
    <w:p w:rsidR="008B1196" w:rsidRPr="00EB4D74" w:rsidRDefault="008B1196" w:rsidP="008B1196">
      <w:pPr>
        <w:rPr>
          <w:rFonts w:cs="Tahoma"/>
        </w:rPr>
      </w:pPr>
      <w:r w:rsidRPr="00EB4D74">
        <w:rPr>
          <w:rFonts w:cs="Tahoma"/>
          <w:color w:val="000000"/>
          <w:lang w:val="pt-BR"/>
        </w:rPr>
        <w:t>External Connector do Forefront Protection 2010 para Exchange Server</w:t>
      </w:r>
    </w:p>
    <w:p w:rsidR="008B1196" w:rsidRPr="00EB4D74" w:rsidRDefault="008B1196" w:rsidP="008B1196">
      <w:pPr>
        <w:rPr>
          <w:rFonts w:cs="Tahoma"/>
        </w:rPr>
      </w:pPr>
      <w:r w:rsidRPr="00EB4D74">
        <w:rPr>
          <w:rFonts w:cs="Tahoma"/>
          <w:color w:val="000000"/>
          <w:lang w:val="pt-BR"/>
        </w:rPr>
        <w:t>Forefront Protection SharePoint</w:t>
      </w:r>
    </w:p>
    <w:p w:rsidR="008B1196" w:rsidRPr="00EB4D74" w:rsidRDefault="008B1196" w:rsidP="008B1196">
      <w:pPr>
        <w:rPr>
          <w:rFonts w:cs="Tahoma"/>
        </w:rPr>
      </w:pPr>
      <w:r w:rsidRPr="00EB4D74">
        <w:rPr>
          <w:rFonts w:cs="Tahoma"/>
          <w:color w:val="000000"/>
          <w:lang w:val="pt-BR"/>
        </w:rPr>
        <w:t>Groove Enterprise Services</w:t>
      </w:r>
    </w:p>
    <w:p w:rsidR="008B1196" w:rsidRPr="00EB4D74" w:rsidRDefault="008B1196" w:rsidP="008B1196">
      <w:pPr>
        <w:rPr>
          <w:rFonts w:cs="Tahoma"/>
        </w:rPr>
      </w:pPr>
      <w:r w:rsidRPr="00EB4D74">
        <w:rPr>
          <w:rFonts w:cs="Tahoma"/>
          <w:color w:val="000000"/>
          <w:lang w:val="pt-BR"/>
        </w:rPr>
        <w:t>Groove Server</w:t>
      </w:r>
    </w:p>
    <w:p w:rsidR="008B1196" w:rsidRPr="00EB4D74" w:rsidRDefault="008B1196" w:rsidP="008B1196">
      <w:pPr>
        <w:rPr>
          <w:rFonts w:cs="Tahoma"/>
        </w:rPr>
      </w:pPr>
      <w:r w:rsidRPr="00EB4D74">
        <w:rPr>
          <w:rFonts w:cs="Tahoma"/>
          <w:color w:val="000000"/>
          <w:lang w:val="pt-BR"/>
        </w:rPr>
        <w:t>InfoPath 2010</w:t>
      </w:r>
    </w:p>
    <w:p w:rsidR="008B1196" w:rsidRPr="00EB4D74" w:rsidRDefault="008B1196" w:rsidP="008B1196">
      <w:pPr>
        <w:rPr>
          <w:rFonts w:cs="Tahoma"/>
        </w:rPr>
      </w:pPr>
      <w:r w:rsidRPr="00EB4D74">
        <w:rPr>
          <w:rFonts w:cs="Tahoma"/>
          <w:color w:val="000000"/>
          <w:lang w:val="pt-BR"/>
        </w:rPr>
        <w:t>Lync 2010</w:t>
      </w:r>
    </w:p>
    <w:p w:rsidR="008B1196" w:rsidRPr="00EB4D74" w:rsidRDefault="008B1196" w:rsidP="008B1196">
      <w:pPr>
        <w:rPr>
          <w:rFonts w:cs="Tahoma"/>
        </w:rPr>
      </w:pPr>
      <w:r w:rsidRPr="00EB4D74">
        <w:rPr>
          <w:rFonts w:cs="Tahoma"/>
          <w:color w:val="000000"/>
          <w:lang w:val="pt-BR"/>
        </w:rPr>
        <w:t>Lync Server 2010 Enterprise Edition</w:t>
      </w:r>
    </w:p>
    <w:p w:rsidR="008B1196" w:rsidRPr="00EB4D74" w:rsidRDefault="008B1196" w:rsidP="008B1196">
      <w:pPr>
        <w:rPr>
          <w:rFonts w:cs="Tahoma"/>
        </w:rPr>
      </w:pPr>
      <w:r w:rsidRPr="00EB4D74">
        <w:rPr>
          <w:rFonts w:cs="Tahoma"/>
          <w:color w:val="000000"/>
          <w:lang w:val="pt-BR"/>
        </w:rPr>
        <w:t>External Connector do Lync Server 2010 Enterprise</w:t>
      </w:r>
    </w:p>
    <w:p w:rsidR="008B1196" w:rsidRPr="00EB4D74" w:rsidRDefault="008B1196" w:rsidP="008B1196">
      <w:pPr>
        <w:rPr>
          <w:rFonts w:cs="Tahoma"/>
        </w:rPr>
      </w:pPr>
      <w:r w:rsidRPr="00EB4D74">
        <w:rPr>
          <w:rFonts w:cs="Tahoma"/>
          <w:color w:val="000000"/>
          <w:lang w:val="pt-BR"/>
        </w:rPr>
        <w:t>External Connector do Lync Server 2010 Plus</w:t>
      </w:r>
    </w:p>
    <w:p w:rsidR="008B1196" w:rsidRPr="00EB4D74" w:rsidRDefault="008B1196" w:rsidP="008B1196">
      <w:pPr>
        <w:rPr>
          <w:rFonts w:cs="Tahoma"/>
        </w:rPr>
      </w:pPr>
      <w:r w:rsidRPr="00EB4D74">
        <w:rPr>
          <w:rFonts w:cs="Tahoma"/>
          <w:color w:val="000000"/>
          <w:lang w:val="pt-BR"/>
        </w:rPr>
        <w:t>External Connector do Lync Server 2010 Standard</w:t>
      </w:r>
    </w:p>
    <w:p w:rsidR="008B1196" w:rsidRPr="00EB4D74" w:rsidRDefault="008B1196" w:rsidP="008B1196">
      <w:pPr>
        <w:rPr>
          <w:rFonts w:cs="Tahoma"/>
        </w:rPr>
      </w:pPr>
      <w:r w:rsidRPr="00EB4D74">
        <w:rPr>
          <w:rFonts w:cs="Tahoma"/>
          <w:color w:val="000000"/>
          <w:lang w:val="pt-BR"/>
        </w:rPr>
        <w:t>Lync Server 2010 Standard Edition</w:t>
      </w:r>
    </w:p>
    <w:p w:rsidR="008B1196" w:rsidRPr="00EB4D74" w:rsidRDefault="008B1196" w:rsidP="008B1196">
      <w:pPr>
        <w:rPr>
          <w:rFonts w:cs="Tahoma"/>
        </w:rPr>
      </w:pPr>
      <w:r w:rsidRPr="00EB4D74">
        <w:rPr>
          <w:rFonts w:cs="Tahoma"/>
          <w:color w:val="000000"/>
          <w:lang w:val="pt-BR"/>
        </w:rPr>
        <w:t>Office Groove Enterprise Services</w:t>
      </w:r>
    </w:p>
    <w:p w:rsidR="008B1196" w:rsidRPr="00EB4D74" w:rsidRDefault="008B1196" w:rsidP="008B1196">
      <w:pPr>
        <w:rPr>
          <w:rFonts w:cs="Tahoma"/>
        </w:rPr>
      </w:pPr>
      <w:r w:rsidRPr="00EB4D74">
        <w:rPr>
          <w:rFonts w:cs="Tahoma"/>
          <w:color w:val="000000"/>
          <w:lang w:val="pt-BR"/>
        </w:rPr>
        <w:t>Office Multi-Language Pack 2010</w:t>
      </w:r>
    </w:p>
    <w:p w:rsidR="008B1196" w:rsidRPr="00EB4D74" w:rsidRDefault="008B1196" w:rsidP="008B1196">
      <w:pPr>
        <w:rPr>
          <w:rFonts w:cs="Tahoma"/>
        </w:rPr>
      </w:pPr>
      <w:r w:rsidRPr="00EB4D74">
        <w:rPr>
          <w:rFonts w:cs="Tahoma"/>
          <w:color w:val="000000"/>
          <w:lang w:val="pt-BR"/>
        </w:rPr>
        <w:lastRenderedPageBreak/>
        <w:t>Office Professional Plus 2010</w:t>
      </w:r>
    </w:p>
    <w:p w:rsidR="008B1196" w:rsidRPr="00EB4D74" w:rsidRDefault="008B1196" w:rsidP="008B1196">
      <w:pPr>
        <w:rPr>
          <w:rFonts w:cs="Tahoma"/>
        </w:rPr>
      </w:pPr>
      <w:r w:rsidRPr="00EB4D74">
        <w:rPr>
          <w:rFonts w:cs="Tahoma"/>
          <w:color w:val="000000"/>
          <w:lang w:val="pt-BR"/>
        </w:rPr>
        <w:t>Office Standard 2010</w:t>
      </w:r>
    </w:p>
    <w:p w:rsidR="008B1196" w:rsidRPr="00EB4D74" w:rsidRDefault="008B1196" w:rsidP="008B1196">
      <w:pPr>
        <w:rPr>
          <w:rFonts w:cs="Tahoma"/>
        </w:rPr>
      </w:pPr>
      <w:r w:rsidRPr="00EB4D74">
        <w:rPr>
          <w:rFonts w:cs="Tahoma"/>
          <w:color w:val="000000"/>
          <w:lang w:val="pt-BR"/>
        </w:rPr>
        <w:t>Office Small Business Get Genuine</w:t>
      </w:r>
    </w:p>
    <w:p w:rsidR="008B1196" w:rsidRPr="00EB4D74" w:rsidRDefault="008B1196" w:rsidP="008B1196">
      <w:pPr>
        <w:rPr>
          <w:rFonts w:cs="Tahoma"/>
        </w:rPr>
      </w:pPr>
      <w:r w:rsidRPr="00EB4D74">
        <w:rPr>
          <w:rFonts w:cs="Tahoma"/>
          <w:color w:val="000000"/>
          <w:lang w:val="pt-BR"/>
        </w:rPr>
        <w:t>OneNote 2010</w:t>
      </w:r>
    </w:p>
    <w:p w:rsidR="008B1196" w:rsidRPr="00EB4D74" w:rsidRDefault="008B1196" w:rsidP="008B1196">
      <w:pPr>
        <w:rPr>
          <w:rFonts w:cs="Tahoma"/>
        </w:rPr>
      </w:pPr>
      <w:r w:rsidRPr="00EB4D74">
        <w:rPr>
          <w:rFonts w:cs="Tahoma"/>
          <w:color w:val="000000"/>
          <w:lang w:val="pt-BR"/>
        </w:rPr>
        <w:t>Outlook 2010</w:t>
      </w:r>
    </w:p>
    <w:p w:rsidR="008B1196" w:rsidRPr="00EB4D74" w:rsidRDefault="008B1196" w:rsidP="008B1196">
      <w:pPr>
        <w:rPr>
          <w:rFonts w:cs="Tahoma"/>
        </w:rPr>
      </w:pPr>
      <w:r w:rsidRPr="00EB4D74">
        <w:rPr>
          <w:rFonts w:cs="Tahoma"/>
          <w:color w:val="000000"/>
          <w:lang w:val="pt-BR"/>
        </w:rPr>
        <w:t>Outlook com Business Contact Manager</w:t>
      </w:r>
    </w:p>
    <w:p w:rsidR="008B1196" w:rsidRPr="00EB4D74" w:rsidRDefault="008B1196" w:rsidP="008B1196">
      <w:pPr>
        <w:rPr>
          <w:rFonts w:cs="Tahoma"/>
        </w:rPr>
      </w:pPr>
      <w:r w:rsidRPr="00EB4D74">
        <w:rPr>
          <w:rFonts w:cs="Tahoma"/>
          <w:color w:val="000000"/>
          <w:lang w:val="pt-BR"/>
        </w:rPr>
        <w:t>PowerPoint 2010</w:t>
      </w:r>
    </w:p>
    <w:p w:rsidR="008B1196" w:rsidRPr="00EB4D74" w:rsidRDefault="008B1196" w:rsidP="008B1196">
      <w:pPr>
        <w:rPr>
          <w:rFonts w:cs="Tahoma"/>
        </w:rPr>
      </w:pPr>
      <w:r w:rsidRPr="00EB4D74">
        <w:rPr>
          <w:rFonts w:cs="Tahoma"/>
          <w:color w:val="000000"/>
          <w:lang w:val="pt-BR"/>
        </w:rPr>
        <w:t>Project 2010 Standard</w:t>
      </w:r>
    </w:p>
    <w:p w:rsidR="008B1196" w:rsidRPr="00EB4D74" w:rsidRDefault="008B1196" w:rsidP="008B1196">
      <w:pPr>
        <w:rPr>
          <w:rFonts w:cs="Tahoma"/>
        </w:rPr>
      </w:pPr>
      <w:r w:rsidRPr="00EB4D74">
        <w:rPr>
          <w:rFonts w:cs="Tahoma"/>
          <w:color w:val="000000"/>
          <w:lang w:val="pt-BR"/>
        </w:rPr>
        <w:t>Project 2010 Professional</w:t>
      </w:r>
    </w:p>
    <w:p w:rsidR="008B1196" w:rsidRPr="00EB4D74" w:rsidRDefault="008B1196" w:rsidP="008B1196">
      <w:pPr>
        <w:rPr>
          <w:rFonts w:cs="Tahoma"/>
        </w:rPr>
      </w:pPr>
      <w:r w:rsidRPr="00EB4D74">
        <w:rPr>
          <w:rFonts w:cs="Tahoma"/>
          <w:color w:val="000000"/>
          <w:lang w:val="pt-BR"/>
        </w:rPr>
        <w:t>Search Server 2010</w:t>
      </w:r>
    </w:p>
    <w:p w:rsidR="008B1196" w:rsidRPr="00EB4D74" w:rsidRDefault="008B1196" w:rsidP="008B1196">
      <w:pPr>
        <w:rPr>
          <w:rFonts w:cs="Tahoma"/>
        </w:rPr>
      </w:pPr>
      <w:r w:rsidRPr="00EB4D74">
        <w:rPr>
          <w:rFonts w:cs="Tahoma"/>
          <w:color w:val="000000"/>
          <w:lang w:val="pt-BR"/>
        </w:rPr>
        <w:t>SharePoint Server 2010 para Internet Sites Enterprise</w:t>
      </w:r>
    </w:p>
    <w:p w:rsidR="008B1196" w:rsidRPr="00EB4D74" w:rsidRDefault="008B1196" w:rsidP="008B1196">
      <w:pPr>
        <w:rPr>
          <w:rFonts w:cs="Tahoma"/>
        </w:rPr>
      </w:pPr>
      <w:r w:rsidRPr="00EB4D74">
        <w:rPr>
          <w:rFonts w:cs="Tahoma"/>
          <w:color w:val="000000"/>
          <w:lang w:val="pt-BR"/>
        </w:rPr>
        <w:t>SharePoint Server 2010 para Internet Sites Standard</w:t>
      </w:r>
    </w:p>
    <w:p w:rsidR="008B1196" w:rsidRPr="00EB4D74" w:rsidRDefault="008B1196" w:rsidP="008B1196">
      <w:pPr>
        <w:rPr>
          <w:rFonts w:cs="Tahoma"/>
        </w:rPr>
      </w:pPr>
      <w:r w:rsidRPr="00EB4D74">
        <w:rPr>
          <w:rFonts w:cs="Tahoma"/>
          <w:color w:val="000000"/>
          <w:lang w:val="pt-BR"/>
        </w:rPr>
        <w:t>SharePoint Workspace 2010</w:t>
      </w:r>
    </w:p>
    <w:p w:rsidR="008B1196" w:rsidRPr="00EB4D74" w:rsidRDefault="008B1196" w:rsidP="008B1196">
      <w:pPr>
        <w:rPr>
          <w:rFonts w:cs="Tahoma"/>
        </w:rPr>
      </w:pPr>
      <w:r w:rsidRPr="00EB4D74">
        <w:rPr>
          <w:rFonts w:cs="Tahoma"/>
          <w:color w:val="000000"/>
          <w:lang w:val="pt-BR"/>
        </w:rPr>
        <w:t>Visio 2010 Premium</w:t>
      </w:r>
    </w:p>
    <w:p w:rsidR="008B1196" w:rsidRPr="00EB4D74" w:rsidRDefault="008B1196" w:rsidP="008B1196">
      <w:pPr>
        <w:rPr>
          <w:rFonts w:cs="Tahoma"/>
        </w:rPr>
      </w:pPr>
      <w:r w:rsidRPr="00EB4D74">
        <w:rPr>
          <w:rFonts w:cs="Tahoma"/>
          <w:color w:val="000000"/>
          <w:lang w:val="pt-BR"/>
        </w:rPr>
        <w:t>Visio 2010 Standard</w:t>
      </w:r>
    </w:p>
    <w:p w:rsidR="008B1196" w:rsidRPr="00EB4D74" w:rsidRDefault="008B1196" w:rsidP="008B1196">
      <w:pPr>
        <w:rPr>
          <w:rFonts w:cs="Tahoma"/>
        </w:rPr>
      </w:pPr>
      <w:r w:rsidRPr="00EB4D74">
        <w:rPr>
          <w:rFonts w:cs="Tahoma"/>
          <w:color w:val="000000"/>
          <w:lang w:val="pt-BR"/>
        </w:rPr>
        <w:t>Windows Intune (Por Dispositivo)</w:t>
      </w:r>
    </w:p>
    <w:p w:rsidR="008B1196" w:rsidRPr="00EB4D74" w:rsidRDefault="008B1196" w:rsidP="008B1196">
      <w:pPr>
        <w:rPr>
          <w:rFonts w:cs="Tahoma"/>
        </w:rPr>
      </w:pPr>
      <w:r w:rsidRPr="00EB4D74">
        <w:rPr>
          <w:rFonts w:cs="Tahoma"/>
          <w:color w:val="000000"/>
          <w:lang w:val="pt-BR"/>
        </w:rPr>
        <w:t>Complemento do Windows Intune (Por Dispositivo)</w:t>
      </w:r>
    </w:p>
    <w:p w:rsidR="008B1196" w:rsidRPr="00EB4D74" w:rsidRDefault="008B1196" w:rsidP="008B1196">
      <w:pPr>
        <w:rPr>
          <w:rFonts w:cs="Tahoma"/>
        </w:rPr>
      </w:pPr>
      <w:r w:rsidRPr="00EB4D74">
        <w:rPr>
          <w:rFonts w:cs="Tahoma"/>
          <w:color w:val="000000"/>
          <w:lang w:val="pt-BR"/>
        </w:rPr>
        <w:t>Windows MultiPoint Server 2011 Standard</w:t>
      </w:r>
    </w:p>
    <w:p w:rsidR="008B1196" w:rsidRPr="00EB4D74" w:rsidRDefault="008B1196" w:rsidP="008B1196">
      <w:pPr>
        <w:rPr>
          <w:rFonts w:cs="Tahoma"/>
        </w:rPr>
      </w:pPr>
      <w:r w:rsidRPr="00EB4D74">
        <w:rPr>
          <w:rFonts w:cs="Tahoma"/>
          <w:color w:val="000000"/>
          <w:lang w:val="pt-BR"/>
        </w:rPr>
        <w:t>Windows MultiPoint Server 2011 Premium</w:t>
      </w:r>
    </w:p>
    <w:p w:rsidR="008B1196" w:rsidRPr="00EB4D74" w:rsidRDefault="008B1196" w:rsidP="008B1196">
      <w:pPr>
        <w:rPr>
          <w:rFonts w:cs="Tahoma"/>
        </w:rPr>
      </w:pPr>
      <w:r w:rsidRPr="00EB4D74">
        <w:rPr>
          <w:rFonts w:cs="Tahoma"/>
          <w:color w:val="000000"/>
          <w:lang w:val="pt-BR"/>
        </w:rPr>
        <w:t>CAL do Windows MultiPoint Server 2011</w:t>
      </w:r>
    </w:p>
    <w:p w:rsidR="008B1196" w:rsidRPr="00EB4D74" w:rsidRDefault="008B1196" w:rsidP="008B1196">
      <w:pPr>
        <w:rPr>
          <w:rFonts w:cs="Tahoma"/>
        </w:rPr>
      </w:pPr>
      <w:r w:rsidRPr="00EB4D74">
        <w:rPr>
          <w:rFonts w:cs="Tahoma"/>
          <w:color w:val="000000"/>
          <w:lang w:val="pt-BR"/>
        </w:rPr>
        <w:t>CAL do Windows MultiPoint Server 2011 com CAL do Windows Server 2008</w:t>
      </w:r>
    </w:p>
    <w:p w:rsidR="008B1196" w:rsidRPr="00EB4D74" w:rsidRDefault="008B1196" w:rsidP="008B1196">
      <w:pPr>
        <w:rPr>
          <w:rFonts w:cs="Tahoma"/>
        </w:rPr>
      </w:pPr>
      <w:r w:rsidRPr="00EB4D74">
        <w:rPr>
          <w:rFonts w:cs="Tahoma"/>
          <w:color w:val="000000"/>
          <w:lang w:val="pt-BR"/>
        </w:rPr>
        <w:t>Windows MultiPoint Server 2011 Premium com CAL do Windows MultiPoint Server 2011 (5 Clientes)</w:t>
      </w:r>
    </w:p>
    <w:p w:rsidR="008B1196" w:rsidRPr="00EB4D74" w:rsidRDefault="008B1196" w:rsidP="008B1196">
      <w:pPr>
        <w:rPr>
          <w:rFonts w:cs="Tahoma"/>
        </w:rPr>
      </w:pPr>
      <w:r w:rsidRPr="00EB4D74">
        <w:rPr>
          <w:rFonts w:cs="Tahoma"/>
          <w:color w:val="000000"/>
          <w:lang w:val="pt-BR"/>
        </w:rPr>
        <w:t>Windows MultiPoint Server 2011 Premium com CAL do Windows MultiPoint Server 2011 (5 Clientes) com CAL do Windows Server 2008 (5 Clientes)</w:t>
      </w:r>
    </w:p>
    <w:p w:rsidR="008B1196" w:rsidRPr="00EB4D74" w:rsidRDefault="008B1196" w:rsidP="008B1196">
      <w:pPr>
        <w:rPr>
          <w:rFonts w:cs="Tahoma"/>
        </w:rPr>
      </w:pPr>
      <w:r w:rsidRPr="00EB4D74">
        <w:rPr>
          <w:rFonts w:cs="Tahoma"/>
          <w:color w:val="000000"/>
          <w:lang w:val="pt-BR"/>
        </w:rPr>
        <w:t>Word 2010</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jc w:val="both"/>
        <w:rPr>
          <w:rFonts w:ascii="Tahoma" w:hAnsi="Tahoma" w:cs="Tahoma"/>
        </w:rPr>
      </w:pPr>
      <w:bookmarkStart w:id="679" w:name="_Toc342914806"/>
      <w:r w:rsidRPr="00EB4D74">
        <w:rPr>
          <w:rFonts w:ascii="Tahoma" w:hAnsi="Tahoma" w:cs="Tahoma"/>
          <w:color w:val="FF6600"/>
          <w:lang w:val="pt-BR"/>
        </w:rPr>
        <w:t>ALTERAÇÕES EM NOVEMBRO DE 2012</w:t>
      </w:r>
      <w:bookmarkEnd w:id="679"/>
    </w:p>
    <w:p w:rsidR="008B1196" w:rsidRPr="00EB4D74" w:rsidRDefault="008B1196" w:rsidP="008B1196">
      <w:pPr>
        <w:pStyle w:val="Heading2"/>
        <w:ind w:left="0"/>
        <w:jc w:val="both"/>
        <w:rPr>
          <w:rFonts w:ascii="Tahoma" w:hAnsi="Tahoma" w:cs="Tahoma"/>
          <w:b w:val="0"/>
          <w:color w:val="FF6600"/>
        </w:rPr>
      </w:pPr>
    </w:p>
    <w:p w:rsidR="008B1196" w:rsidRPr="00EB4D74" w:rsidRDefault="008B1196" w:rsidP="008B1196">
      <w:pPr>
        <w:rPr>
          <w:rFonts w:cs="Tahoma"/>
        </w:rPr>
      </w:pPr>
      <w:r w:rsidRPr="00EB4D74">
        <w:rPr>
          <w:rFonts w:cs="Tahoma"/>
          <w:b/>
          <w:color w:val="000000"/>
          <w:lang w:val="pt-BR"/>
        </w:rPr>
        <w:t>Adições</w:t>
      </w:r>
    </w:p>
    <w:p w:rsidR="008B1196" w:rsidRPr="00EB4D74" w:rsidRDefault="008B1196" w:rsidP="008B1196">
      <w:pPr>
        <w:rPr>
          <w:rFonts w:cs="Tahoma"/>
        </w:rPr>
      </w:pPr>
      <w:r w:rsidRPr="00EB4D74">
        <w:rPr>
          <w:rFonts w:cs="Tahoma"/>
          <w:lang w:val="pt-BR"/>
        </w:rPr>
        <w:t>Microsoft Windows Server Essentials 2012</w:t>
      </w:r>
    </w:p>
    <w:p w:rsidR="008B1196" w:rsidRPr="00EB4D74" w:rsidRDefault="008B1196" w:rsidP="008B1196">
      <w:pPr>
        <w:rPr>
          <w:rFonts w:cs="Tahoma"/>
        </w:rPr>
      </w:pPr>
      <w:r w:rsidRPr="00EB4D74">
        <w:rPr>
          <w:rFonts w:cs="Tahoma"/>
          <w:lang w:val="pt-BR"/>
        </w:rPr>
        <w:t>Microsoft AutoRoute Euro 2013</w:t>
      </w:r>
    </w:p>
    <w:p w:rsidR="008B1196" w:rsidRPr="00EB4D74" w:rsidRDefault="008B1196" w:rsidP="008B1196">
      <w:pPr>
        <w:rPr>
          <w:rFonts w:cs="Tahoma"/>
        </w:rPr>
      </w:pPr>
      <w:r w:rsidRPr="00EB4D74">
        <w:rPr>
          <w:rFonts w:cs="Tahoma"/>
          <w:lang w:val="pt-BR"/>
        </w:rPr>
        <w:t>Microsoft Desktop Organization Pack 2012 para Software Assurance</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Promoções</w:t>
      </w:r>
    </w:p>
    <w:p w:rsidR="008B1196" w:rsidRPr="00EB4D74" w:rsidRDefault="008B1196" w:rsidP="008B1196">
      <w:pPr>
        <w:rPr>
          <w:rFonts w:cs="Tahoma"/>
        </w:rPr>
      </w:pPr>
      <w:r w:rsidRPr="00EB4D74">
        <w:rPr>
          <w:rFonts w:cs="Tahoma"/>
          <w:color w:val="000000"/>
          <w:lang w:val="pt-BR"/>
        </w:rPr>
        <w:t>As seguintes promoções foram adicionadas:</w:t>
      </w:r>
    </w:p>
    <w:p w:rsidR="008B1196" w:rsidRPr="00EB4D74" w:rsidRDefault="008B1196" w:rsidP="008B1196">
      <w:pPr>
        <w:rPr>
          <w:rFonts w:cs="Tahoma"/>
          <w:lang w:val="it-IT"/>
        </w:rPr>
      </w:pPr>
      <w:r w:rsidRPr="00EB4D74">
        <w:rPr>
          <w:rFonts w:cs="Tahoma"/>
          <w:color w:val="000000"/>
          <w:lang w:val="pt-BR"/>
        </w:rPr>
        <w:t>30% de Desconto na Atualização para o Visual Studio Premium com MSDN</w:t>
      </w:r>
    </w:p>
    <w:p w:rsidR="008B1196" w:rsidRPr="00EB4D74" w:rsidRDefault="008B1196" w:rsidP="008B1196">
      <w:pPr>
        <w:rPr>
          <w:rFonts w:cs="Tahoma"/>
        </w:rPr>
      </w:pPr>
      <w:r w:rsidRPr="00EB4D74">
        <w:rPr>
          <w:rFonts w:cs="Tahoma"/>
          <w:lang w:val="pt-BR"/>
        </w:rPr>
        <w:t>Step-up para Windows 8 com SA</w:t>
      </w:r>
    </w:p>
    <w:p w:rsidR="008B1196" w:rsidRPr="00EB4D74" w:rsidRDefault="008B1196" w:rsidP="008B1196">
      <w:pPr>
        <w:rPr>
          <w:rFonts w:cs="Tahoma"/>
          <w:lang w:val="it-IT"/>
        </w:rPr>
      </w:pPr>
      <w:r w:rsidRPr="00EB4D74">
        <w:rPr>
          <w:rFonts w:cs="Tahoma"/>
          <w:lang w:val="pt-BR"/>
        </w:rPr>
        <w:t>Promoção de 20% de Desconto para Novos Computadores com Windows Intune</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rPr>
      </w:pPr>
      <w:r w:rsidRPr="00EB4D74">
        <w:rPr>
          <w:rFonts w:cs="Tahoma"/>
          <w:b/>
          <w:color w:val="000000"/>
          <w:lang w:val="pt-BR"/>
        </w:rPr>
        <w:t>Alterações</w:t>
      </w:r>
    </w:p>
    <w:p w:rsidR="008B1196" w:rsidRPr="00EB4D74" w:rsidRDefault="008B1196" w:rsidP="008B1196">
      <w:pPr>
        <w:rPr>
          <w:rFonts w:cs="Tahoma"/>
        </w:rPr>
      </w:pPr>
      <w:r w:rsidRPr="00EB4D74">
        <w:rPr>
          <w:rFonts w:cs="Tahoma"/>
          <w:color w:val="000000"/>
          <w:lang w:val="pt-BR"/>
        </w:rPr>
        <w:t>Foram feitas atualizações nos seguintes produtos:</w:t>
      </w:r>
    </w:p>
    <w:p w:rsidR="008B1196" w:rsidRPr="00EB4D74" w:rsidRDefault="008B1196" w:rsidP="008B1196">
      <w:pPr>
        <w:rPr>
          <w:rFonts w:cs="Tahoma"/>
        </w:rPr>
      </w:pPr>
      <w:r w:rsidRPr="00EB4D74">
        <w:rPr>
          <w:rFonts w:cs="Tahoma"/>
          <w:color w:val="000000"/>
          <w:lang w:val="pt-BR"/>
        </w:rPr>
        <w:t>Microsoft Desktop Optimization Pack</w:t>
      </w:r>
    </w:p>
    <w:p w:rsidR="008B1196" w:rsidRPr="00EB4D74" w:rsidRDefault="008B1196" w:rsidP="008B1196">
      <w:pPr>
        <w:rPr>
          <w:rFonts w:cs="Tahoma"/>
          <w:b/>
          <w:color w:val="000000"/>
          <w:lang w:val="pt-BR"/>
        </w:rPr>
      </w:pPr>
    </w:p>
    <w:p w:rsidR="008B1196" w:rsidRPr="00EB4D74" w:rsidRDefault="008B1196" w:rsidP="008B1196">
      <w:pPr>
        <w:rPr>
          <w:rFonts w:cs="Tahoma"/>
        </w:rPr>
      </w:pPr>
      <w:r w:rsidRPr="00EB4D74">
        <w:rPr>
          <w:rFonts w:cs="Tahoma"/>
          <w:b/>
          <w:color w:val="000000"/>
          <w:lang w:val="pt-BR"/>
        </w:rPr>
        <w:t>Exclusões</w:t>
      </w:r>
    </w:p>
    <w:p w:rsidR="008B1196" w:rsidRPr="00EB4D74" w:rsidRDefault="008B1196" w:rsidP="008B1196">
      <w:pPr>
        <w:rPr>
          <w:rFonts w:cs="Tahoma"/>
        </w:rPr>
      </w:pPr>
      <w:r w:rsidRPr="00EB4D74">
        <w:rPr>
          <w:rFonts w:cs="Tahoma"/>
          <w:lang w:val="pt-BR"/>
        </w:rPr>
        <w:t>Windows Small Business Server Essentials 2011</w:t>
      </w:r>
    </w:p>
    <w:p w:rsidR="008B1196" w:rsidRPr="00EB4D74" w:rsidRDefault="008B1196" w:rsidP="008B1196">
      <w:pPr>
        <w:rPr>
          <w:rFonts w:cs="Tahoma"/>
        </w:rPr>
      </w:pPr>
      <w:r w:rsidRPr="00EB4D74">
        <w:rPr>
          <w:rFonts w:cs="Tahoma"/>
          <w:lang w:val="pt-BR"/>
        </w:rPr>
        <w:t>AutoRoute 2011</w:t>
      </w:r>
    </w:p>
    <w:p w:rsidR="008B1196" w:rsidRPr="00EB4D74" w:rsidRDefault="008B1196" w:rsidP="008B1196">
      <w:pPr>
        <w:rPr>
          <w:rFonts w:cs="Tahoma"/>
        </w:rPr>
      </w:pPr>
      <w:r w:rsidRPr="00EB4D74">
        <w:rPr>
          <w:rFonts w:cs="Tahoma"/>
          <w:lang w:val="pt-BR"/>
        </w:rPr>
        <w:t>Microsoft Desktop Optimization Pack 2011 R2 para Software Assurance</w:t>
      </w:r>
    </w:p>
    <w:p w:rsidR="008B1196" w:rsidRPr="00EB4D74" w:rsidRDefault="008B1196" w:rsidP="008B1196">
      <w:pPr>
        <w:pStyle w:val="Heading2"/>
        <w:ind w:left="0"/>
        <w:jc w:val="both"/>
        <w:rPr>
          <w:rFonts w:ascii="Tahoma" w:hAnsi="Tahoma" w:cs="Tahoma"/>
          <w:color w:val="FF6600"/>
          <w:sz w:val="18"/>
        </w:rPr>
      </w:pPr>
    </w:p>
    <w:p w:rsidR="008B1196" w:rsidRPr="00EB4D74" w:rsidRDefault="008B1196" w:rsidP="008B1196">
      <w:pPr>
        <w:pStyle w:val="Heading2"/>
        <w:ind w:left="0"/>
        <w:jc w:val="both"/>
        <w:rPr>
          <w:rFonts w:ascii="Tahoma" w:hAnsi="Tahoma" w:cs="Tahoma"/>
          <w:color w:val="FF6600"/>
          <w:sz w:val="18"/>
        </w:rPr>
      </w:pPr>
    </w:p>
    <w:p w:rsidR="008B1196" w:rsidRPr="00EB4D74" w:rsidRDefault="008B1196" w:rsidP="008B1196">
      <w:pPr>
        <w:pStyle w:val="Heading2"/>
        <w:ind w:left="0"/>
        <w:jc w:val="both"/>
        <w:rPr>
          <w:rFonts w:ascii="Tahoma" w:hAnsi="Tahoma" w:cs="Tahoma"/>
        </w:rPr>
      </w:pPr>
      <w:bookmarkStart w:id="680" w:name="_Toc336338169"/>
      <w:bookmarkStart w:id="681" w:name="_Toc342914807"/>
      <w:bookmarkEnd w:id="680"/>
      <w:r w:rsidRPr="00EB4D74">
        <w:rPr>
          <w:rFonts w:ascii="Tahoma" w:hAnsi="Tahoma" w:cs="Tahoma"/>
          <w:color w:val="FF6600"/>
          <w:lang w:val="pt-BR"/>
        </w:rPr>
        <w:t>ALTERAÇÕES EM OUTUBRO DE 2012</w:t>
      </w:r>
      <w:bookmarkEnd w:id="681"/>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Adições</w:t>
      </w:r>
    </w:p>
    <w:p w:rsidR="008B1196" w:rsidRPr="00EB4D74" w:rsidRDefault="008B1196" w:rsidP="008B1196">
      <w:pPr>
        <w:rPr>
          <w:rFonts w:cs="Tahoma"/>
        </w:rPr>
      </w:pPr>
      <w:r w:rsidRPr="00EB4D74">
        <w:rPr>
          <w:rFonts w:cs="Tahoma"/>
          <w:color w:val="000000"/>
          <w:lang w:val="pt-BR"/>
        </w:rPr>
        <w:t>Licença de Assinatura do Windows Companion</w:t>
      </w:r>
    </w:p>
    <w:p w:rsidR="008B1196" w:rsidRPr="00EB4D74" w:rsidRDefault="008B1196" w:rsidP="008B1196">
      <w:pPr>
        <w:rPr>
          <w:rFonts w:cs="Tahoma"/>
        </w:rPr>
      </w:pPr>
    </w:p>
    <w:p w:rsidR="008B1196" w:rsidRDefault="008B1196" w:rsidP="008B1196">
      <w:pPr>
        <w:rPr>
          <w:rFonts w:cs="Tahoma"/>
          <w:b/>
          <w:color w:val="000000"/>
          <w:lang w:val="pt-BR"/>
        </w:rPr>
      </w:pPr>
      <w:r>
        <w:rPr>
          <w:rFonts w:cs="Tahoma"/>
          <w:b/>
          <w:color w:val="000000"/>
          <w:lang w:val="pt-BR"/>
        </w:rPr>
        <w:br w:type="page"/>
      </w:r>
    </w:p>
    <w:p w:rsidR="008B1196" w:rsidRPr="00EB4D74" w:rsidRDefault="008B1196" w:rsidP="008B1196">
      <w:pPr>
        <w:rPr>
          <w:rFonts w:cs="Tahoma"/>
          <w:lang w:val="it-IT"/>
        </w:rPr>
      </w:pPr>
      <w:r w:rsidRPr="00EB4D74">
        <w:rPr>
          <w:rFonts w:cs="Tahoma"/>
          <w:b/>
          <w:color w:val="000000"/>
          <w:lang w:val="pt-BR"/>
        </w:rPr>
        <w:lastRenderedPageBreak/>
        <w:t>Alterações</w:t>
      </w:r>
    </w:p>
    <w:p w:rsidR="008B1196" w:rsidRPr="00EB4D74" w:rsidRDefault="008B1196" w:rsidP="008B1196">
      <w:pPr>
        <w:rPr>
          <w:rFonts w:cs="Tahoma"/>
          <w:lang w:val="it-IT"/>
        </w:rPr>
      </w:pPr>
      <w:r w:rsidRPr="00EB4D74">
        <w:rPr>
          <w:rFonts w:cs="Tahoma"/>
          <w:color w:val="000000"/>
          <w:lang w:val="pt-BR"/>
        </w:rPr>
        <w:t>Os valores de ponto foram alterados para os seguintes produtos:</w:t>
      </w:r>
    </w:p>
    <w:p w:rsidR="008B1196" w:rsidRPr="00EB4D74" w:rsidRDefault="008B1196" w:rsidP="008B1196">
      <w:pPr>
        <w:rPr>
          <w:rFonts w:cs="Tahoma"/>
          <w:lang w:val="it-IT"/>
        </w:rPr>
      </w:pPr>
      <w:r w:rsidRPr="00EB4D74">
        <w:rPr>
          <w:rFonts w:cs="Tahoma"/>
          <w:color w:val="000000"/>
          <w:lang w:val="pt-BR"/>
        </w:rPr>
        <w:t>Core Infrastructure Server Suite Datacenter</w:t>
      </w:r>
    </w:p>
    <w:p w:rsidR="008B1196" w:rsidRPr="00EB4D74" w:rsidRDefault="008B1196" w:rsidP="008B1196">
      <w:pPr>
        <w:rPr>
          <w:rFonts w:cs="Tahoma"/>
          <w:lang w:val="it-IT"/>
        </w:rPr>
      </w:pPr>
      <w:r w:rsidRPr="00EB4D74">
        <w:rPr>
          <w:rFonts w:cs="Tahoma"/>
          <w:color w:val="000000"/>
          <w:lang w:val="pt-BR"/>
        </w:rPr>
        <w:t>Core Infrastructure Server Suite Standard</w:t>
      </w:r>
    </w:p>
    <w:p w:rsidR="008B1196" w:rsidRPr="00EB4D74" w:rsidRDefault="008B1196" w:rsidP="008B1196">
      <w:pPr>
        <w:rPr>
          <w:rFonts w:cs="Tahoma"/>
          <w:lang w:val="it-IT"/>
        </w:rPr>
      </w:pPr>
      <w:r w:rsidRPr="00EB4D74">
        <w:rPr>
          <w:rFonts w:cs="Tahoma"/>
          <w:color w:val="000000"/>
          <w:lang w:val="pt-BR"/>
        </w:rPr>
        <w:t>Licença de Gerenciamento do System Center 2012 Standard Server (2 processadores)</w:t>
      </w:r>
    </w:p>
    <w:p w:rsidR="008B1196" w:rsidRPr="00EB4D74" w:rsidRDefault="008B1196" w:rsidP="008B1196">
      <w:pPr>
        <w:rPr>
          <w:rFonts w:cs="Tahoma"/>
          <w:lang w:val="it-IT"/>
        </w:rPr>
      </w:pPr>
      <w:r w:rsidRPr="00EB4D74">
        <w:rPr>
          <w:rFonts w:cs="Tahoma"/>
          <w:color w:val="000000"/>
          <w:lang w:val="pt-BR"/>
        </w:rPr>
        <w:t>Licença de Gerenciamento do System Center 2012 Datacenter Server (2 processadores)</w:t>
      </w:r>
    </w:p>
    <w:p w:rsidR="008B1196" w:rsidRPr="00EB4D74" w:rsidRDefault="008B1196" w:rsidP="008B1196">
      <w:pPr>
        <w:rPr>
          <w:rFonts w:cs="Tahoma"/>
          <w:lang w:val="it-IT"/>
        </w:rPr>
      </w:pPr>
      <w:r w:rsidRPr="00EB4D74">
        <w:rPr>
          <w:rFonts w:cs="Tahoma"/>
          <w:color w:val="000000"/>
          <w:lang w:val="pt-BR"/>
        </w:rPr>
        <w:t>System Center Configuration Manager 2007 R3</w:t>
      </w:r>
    </w:p>
    <w:p w:rsidR="008B1196" w:rsidRPr="00EB4D74" w:rsidRDefault="008B1196" w:rsidP="008B1196">
      <w:pPr>
        <w:rPr>
          <w:rFonts w:cs="Tahoma"/>
          <w:lang w:val="it-IT"/>
        </w:rPr>
      </w:pPr>
      <w:r w:rsidRPr="00EB4D74">
        <w:rPr>
          <w:rFonts w:cs="Tahoma"/>
          <w:color w:val="000000"/>
          <w:lang w:val="pt-BR"/>
        </w:rPr>
        <w:t>Licença de Gerenciamento de Servidor Enterprise do System Center Configuration Manager 2007 R3</w:t>
      </w:r>
    </w:p>
    <w:p w:rsidR="008B1196" w:rsidRPr="00EB4D74" w:rsidRDefault="008B1196" w:rsidP="008B1196">
      <w:pPr>
        <w:rPr>
          <w:rFonts w:cs="Tahoma"/>
          <w:lang w:val="it-IT"/>
        </w:rPr>
      </w:pPr>
      <w:r w:rsidRPr="00EB4D74">
        <w:rPr>
          <w:rFonts w:cs="Tahoma"/>
          <w:color w:val="000000"/>
          <w:lang w:val="pt-BR"/>
        </w:rPr>
        <w:t>Licença de Gerenciamento de Servidor Standard (ML de Servidor Standard) do System Center Configuration Manager 2007 R3)</w:t>
      </w:r>
    </w:p>
    <w:p w:rsidR="008B1196" w:rsidRPr="00EB4D74" w:rsidRDefault="008B1196" w:rsidP="008B1196">
      <w:pPr>
        <w:rPr>
          <w:rFonts w:cs="Tahoma"/>
          <w:lang w:val="it-IT"/>
        </w:rPr>
      </w:pPr>
      <w:r w:rsidRPr="00EB4D74">
        <w:rPr>
          <w:rFonts w:cs="Tahoma"/>
          <w:color w:val="000000"/>
          <w:lang w:val="pt-BR"/>
        </w:rPr>
        <w:t>System Center Configuration Manager 2007 R3 com Tecnologia SQL Server 2008</w:t>
      </w:r>
    </w:p>
    <w:p w:rsidR="008B1196" w:rsidRPr="00EB4D74" w:rsidRDefault="008B1196" w:rsidP="008B1196">
      <w:pPr>
        <w:rPr>
          <w:rFonts w:cs="Tahoma"/>
          <w:lang w:val="it-IT"/>
        </w:rPr>
      </w:pPr>
      <w:r w:rsidRPr="00EB4D74">
        <w:rPr>
          <w:rFonts w:cs="Tahoma"/>
          <w:color w:val="000000"/>
          <w:lang w:val="pt-BR"/>
        </w:rPr>
        <w:t>Licença de Gerenciamento de Cliente do System Center Data Protection Manager 2010 por Usuário</w:t>
      </w:r>
    </w:p>
    <w:p w:rsidR="008B1196" w:rsidRPr="00EB4D74" w:rsidRDefault="008B1196" w:rsidP="008B1196">
      <w:pPr>
        <w:rPr>
          <w:rFonts w:cs="Tahoma"/>
          <w:lang w:val="it-IT"/>
        </w:rPr>
      </w:pPr>
      <w:r w:rsidRPr="00EB4D74">
        <w:rPr>
          <w:rFonts w:cs="Tahoma"/>
          <w:color w:val="000000"/>
          <w:lang w:val="pt-BR"/>
        </w:rPr>
        <w:t>Licença de Gerenciamento de Cliente do System Center Data Protection Manager 2010 por OSE</w:t>
      </w:r>
    </w:p>
    <w:p w:rsidR="008B1196" w:rsidRPr="00EB4D74" w:rsidRDefault="008B1196" w:rsidP="008B1196">
      <w:pPr>
        <w:rPr>
          <w:rFonts w:cs="Tahoma"/>
          <w:lang w:val="it-IT"/>
        </w:rPr>
      </w:pPr>
      <w:r w:rsidRPr="00EB4D74">
        <w:rPr>
          <w:rFonts w:cs="Tahoma"/>
          <w:color w:val="000000"/>
          <w:lang w:val="pt-BR"/>
        </w:rPr>
        <w:t>Licença de Gerenciamento de Servidor Enterprise do System Center Data Protection Manager 2010</w:t>
      </w:r>
    </w:p>
    <w:p w:rsidR="008B1196" w:rsidRPr="00EB4D74" w:rsidRDefault="008B1196" w:rsidP="008B1196">
      <w:pPr>
        <w:rPr>
          <w:rFonts w:cs="Tahoma"/>
        </w:rPr>
      </w:pPr>
      <w:r w:rsidRPr="00EB4D74">
        <w:rPr>
          <w:rFonts w:cs="Tahoma"/>
          <w:color w:val="000000"/>
          <w:lang w:val="pt-BR"/>
        </w:rPr>
        <w:t>Licença de Gerenciamento de Servidor Standard do System Center Data Protection Manager 2010</w:t>
      </w:r>
    </w:p>
    <w:p w:rsidR="008B1196" w:rsidRPr="00EB4D74" w:rsidRDefault="008B1196" w:rsidP="008B1196">
      <w:pPr>
        <w:rPr>
          <w:rFonts w:cs="Tahoma"/>
        </w:rPr>
      </w:pPr>
      <w:r w:rsidRPr="00EB4D74">
        <w:rPr>
          <w:rFonts w:cs="Tahoma"/>
          <w:color w:val="000000"/>
          <w:lang w:val="pt-BR"/>
        </w:rPr>
        <w:t>System Center Operations Manager 2007 R2</w:t>
      </w:r>
    </w:p>
    <w:p w:rsidR="008B1196" w:rsidRPr="00EB4D74" w:rsidRDefault="008B1196" w:rsidP="008B1196">
      <w:pPr>
        <w:rPr>
          <w:rFonts w:cs="Tahoma"/>
        </w:rPr>
      </w:pPr>
      <w:r w:rsidRPr="00EB4D74">
        <w:rPr>
          <w:rFonts w:cs="Tahoma"/>
          <w:color w:val="000000"/>
          <w:lang w:val="pt-BR"/>
        </w:rPr>
        <w:t>System Center Operations Manager 2007 R2 com Tecnologia SQL Server 2008</w:t>
      </w:r>
    </w:p>
    <w:p w:rsidR="008B1196" w:rsidRPr="00EB4D74" w:rsidRDefault="008B1196" w:rsidP="008B1196">
      <w:pPr>
        <w:rPr>
          <w:rFonts w:cs="Tahoma"/>
        </w:rPr>
      </w:pPr>
      <w:r w:rsidRPr="00EB4D74">
        <w:rPr>
          <w:rFonts w:cs="Tahoma"/>
          <w:color w:val="000000"/>
          <w:lang w:val="pt-BR"/>
        </w:rPr>
        <w:t>Licença de Gerenciamento de Servidor Standard do System Center Operations Manager 2007 R2</w:t>
      </w:r>
    </w:p>
    <w:p w:rsidR="008B1196" w:rsidRPr="00EB4D74" w:rsidRDefault="008B1196" w:rsidP="008B1196">
      <w:pPr>
        <w:rPr>
          <w:rFonts w:cs="Tahoma"/>
        </w:rPr>
      </w:pPr>
      <w:r w:rsidRPr="00EB4D74">
        <w:rPr>
          <w:rFonts w:cs="Tahoma"/>
          <w:color w:val="000000"/>
          <w:lang w:val="pt-BR"/>
        </w:rPr>
        <w:t>Licença de Gerenciamento de Servidor Enterprise do System Center Operations Manager 2007 R2</w:t>
      </w:r>
    </w:p>
    <w:p w:rsidR="008B1196" w:rsidRPr="00EB4D74" w:rsidRDefault="008B1196" w:rsidP="008B1196">
      <w:pPr>
        <w:rPr>
          <w:rFonts w:cs="Tahoma"/>
        </w:rPr>
      </w:pPr>
      <w:r w:rsidRPr="00EB4D74">
        <w:rPr>
          <w:rFonts w:cs="Tahoma"/>
          <w:color w:val="000000"/>
          <w:lang w:val="pt-BR"/>
        </w:rPr>
        <w:t>Licença de Gerenciamento de Cliente do System Center Operations Manager 2007 R2 por OSE</w:t>
      </w:r>
    </w:p>
    <w:p w:rsidR="008B1196" w:rsidRPr="00EB4D74" w:rsidRDefault="008B1196" w:rsidP="008B1196">
      <w:pPr>
        <w:rPr>
          <w:rFonts w:cs="Tahoma"/>
        </w:rPr>
      </w:pPr>
      <w:r w:rsidRPr="00EB4D74">
        <w:rPr>
          <w:rFonts w:cs="Tahoma"/>
          <w:color w:val="000000"/>
          <w:lang w:val="pt-BR"/>
        </w:rPr>
        <w:t>Licença de Gerenciamento de Cliente do System Center Operations Manager 2007 R2 por Usuário</w:t>
      </w:r>
    </w:p>
    <w:p w:rsidR="008B1196" w:rsidRPr="00EB4D74" w:rsidRDefault="008B1196" w:rsidP="008B1196">
      <w:pPr>
        <w:rPr>
          <w:rFonts w:cs="Tahoma"/>
        </w:rPr>
      </w:pPr>
      <w:r w:rsidRPr="00EB4D74">
        <w:rPr>
          <w:rFonts w:cs="Tahoma"/>
          <w:color w:val="000000"/>
          <w:lang w:val="pt-BR"/>
        </w:rPr>
        <w:t>System Center Server Management Suite Enterprise</w:t>
      </w:r>
    </w:p>
    <w:p w:rsidR="008B1196" w:rsidRPr="00EB4D74" w:rsidRDefault="008B1196" w:rsidP="008B1196">
      <w:pPr>
        <w:rPr>
          <w:rFonts w:cs="Tahoma"/>
        </w:rPr>
      </w:pPr>
      <w:r w:rsidRPr="00EB4D74">
        <w:rPr>
          <w:rFonts w:cs="Tahoma"/>
          <w:color w:val="000000"/>
          <w:lang w:val="pt-BR"/>
        </w:rPr>
        <w:t>System Center Server Management Suite Datacenter</w:t>
      </w:r>
    </w:p>
    <w:p w:rsidR="008B1196" w:rsidRPr="00EB4D74" w:rsidRDefault="008B1196" w:rsidP="008B1196">
      <w:pPr>
        <w:rPr>
          <w:rFonts w:cs="Tahoma"/>
        </w:rPr>
      </w:pPr>
      <w:r w:rsidRPr="00EB4D74">
        <w:rPr>
          <w:rFonts w:cs="Tahoma"/>
          <w:color w:val="000000"/>
          <w:lang w:val="pt-BR"/>
        </w:rPr>
        <w:t>System Center Service Manager 2010</w:t>
      </w:r>
    </w:p>
    <w:p w:rsidR="008B1196" w:rsidRPr="00EB4D74" w:rsidRDefault="008B1196" w:rsidP="008B1196">
      <w:pPr>
        <w:rPr>
          <w:rFonts w:cs="Tahoma"/>
        </w:rPr>
      </w:pPr>
      <w:r w:rsidRPr="00EB4D74">
        <w:rPr>
          <w:rFonts w:cs="Tahoma"/>
          <w:color w:val="000000"/>
          <w:lang w:val="pt-BR"/>
        </w:rPr>
        <w:t>System Center Service Manager 2010 com Tecnologia SQL Server 2008</w:t>
      </w:r>
    </w:p>
    <w:p w:rsidR="008B1196" w:rsidRPr="00EB4D74" w:rsidRDefault="008B1196" w:rsidP="008B1196">
      <w:pPr>
        <w:rPr>
          <w:rFonts w:cs="Tahoma"/>
        </w:rPr>
      </w:pPr>
      <w:r w:rsidRPr="00EB4D74">
        <w:rPr>
          <w:rFonts w:cs="Tahoma"/>
          <w:color w:val="000000"/>
          <w:lang w:val="pt-BR"/>
        </w:rPr>
        <w:t>Licença de Gerenciamento de Cliente (ML de Cliente) do System Center Service Manager 2010 por OSE</w:t>
      </w:r>
    </w:p>
    <w:p w:rsidR="008B1196" w:rsidRPr="00EB4D74" w:rsidRDefault="008B1196" w:rsidP="008B1196">
      <w:pPr>
        <w:rPr>
          <w:rFonts w:cs="Tahoma"/>
        </w:rPr>
      </w:pPr>
      <w:r w:rsidRPr="00EB4D74">
        <w:rPr>
          <w:rFonts w:cs="Tahoma"/>
          <w:color w:val="000000"/>
          <w:lang w:val="pt-BR"/>
        </w:rPr>
        <w:t>Licença de Gerenciamento de Cliente (ML de Cliente) do System Center Service Manager 2010 por Usuário</w:t>
      </w:r>
    </w:p>
    <w:p w:rsidR="008B1196" w:rsidRPr="00EB4D74" w:rsidRDefault="008B1196" w:rsidP="008B1196">
      <w:pPr>
        <w:rPr>
          <w:rFonts w:cs="Tahoma"/>
        </w:rPr>
      </w:pPr>
      <w:r w:rsidRPr="00EB4D74">
        <w:rPr>
          <w:rFonts w:cs="Tahoma"/>
          <w:color w:val="000000"/>
          <w:lang w:val="pt-BR"/>
        </w:rPr>
        <w:t>Licença de Gerenciamento de Servidor (ML de Servidor) do System Center Service Manager 2010 por OSE</w:t>
      </w:r>
    </w:p>
    <w:p w:rsidR="008B1196" w:rsidRPr="00EB4D74" w:rsidRDefault="008B1196" w:rsidP="008B1196">
      <w:pPr>
        <w:rPr>
          <w:rFonts w:cs="Tahoma"/>
        </w:rPr>
      </w:pPr>
      <w:r w:rsidRPr="00EB4D74">
        <w:rPr>
          <w:rFonts w:cs="Tahoma"/>
          <w:color w:val="000000"/>
          <w:lang w:val="pt-BR"/>
        </w:rPr>
        <w:t>Licença de Gerenciamento de Cliente do System Center Virtual Machine Manager 2008 R2 por OSE</w:t>
      </w:r>
    </w:p>
    <w:p w:rsidR="008B1196" w:rsidRPr="00EB4D74" w:rsidRDefault="008B1196" w:rsidP="008B1196">
      <w:pPr>
        <w:rPr>
          <w:rFonts w:cs="Tahoma"/>
        </w:rPr>
      </w:pPr>
      <w:r w:rsidRPr="00EB4D74">
        <w:rPr>
          <w:rFonts w:cs="Tahoma"/>
          <w:color w:val="000000"/>
          <w:lang w:val="pt-BR"/>
        </w:rPr>
        <w:t>Licença de Gerenciamento de Cliente do System Center Virtual Machine Manager 2008 R2 por Usuário</w:t>
      </w:r>
    </w:p>
    <w:p w:rsidR="008B1196" w:rsidRPr="00EB4D74" w:rsidRDefault="008B1196" w:rsidP="008B1196">
      <w:pPr>
        <w:rPr>
          <w:rFonts w:cs="Tahoma"/>
        </w:rPr>
      </w:pPr>
      <w:r w:rsidRPr="00EB4D74">
        <w:rPr>
          <w:rFonts w:cs="Tahoma"/>
          <w:color w:val="000000"/>
          <w:lang w:val="pt-BR"/>
        </w:rPr>
        <w:t>Licença de Gerenciamento de Servidor Enterprise do System Center Virtual Machine Manager 2008 R2</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Exclusões</w:t>
      </w:r>
    </w:p>
    <w:p w:rsidR="008B1196" w:rsidRPr="00EB4D74" w:rsidRDefault="008B1196" w:rsidP="008B1196">
      <w:pPr>
        <w:rPr>
          <w:rFonts w:cs="Tahoma"/>
        </w:rPr>
      </w:pPr>
      <w:r w:rsidRPr="00EB4D74">
        <w:rPr>
          <w:rFonts w:cs="Tahoma"/>
          <w:color w:val="000000"/>
          <w:lang w:val="pt-BR"/>
        </w:rPr>
        <w:t>System Center Mobile Device Manager 2008</w:t>
      </w:r>
    </w:p>
    <w:p w:rsidR="008B1196" w:rsidRPr="00EB4D74" w:rsidRDefault="008B1196" w:rsidP="008B1196">
      <w:pPr>
        <w:rPr>
          <w:rFonts w:cs="Tahoma"/>
        </w:rPr>
      </w:pPr>
      <w:r w:rsidRPr="00EB4D74">
        <w:rPr>
          <w:rFonts w:cs="Tahoma"/>
          <w:color w:val="000000"/>
          <w:lang w:val="pt-BR"/>
        </w:rPr>
        <w:t>Database Consolidation Appliance 2012</w:t>
      </w:r>
    </w:p>
    <w:p w:rsidR="008B1196" w:rsidRPr="00EB4D74" w:rsidRDefault="008B1196" w:rsidP="008B1196">
      <w:pPr>
        <w:ind w:right="720"/>
        <w:rPr>
          <w:rFonts w:cs="Tahoma"/>
        </w:rPr>
      </w:pPr>
    </w:p>
    <w:p w:rsidR="008B1196" w:rsidRPr="00EB4D74" w:rsidRDefault="008B1196" w:rsidP="008B1196">
      <w:pPr>
        <w:ind w:right="720"/>
        <w:rPr>
          <w:rFonts w:cs="Tahoma"/>
        </w:rPr>
      </w:pPr>
    </w:p>
    <w:p w:rsidR="008B1196" w:rsidRPr="00EB4D74" w:rsidRDefault="008B1196" w:rsidP="008B1196">
      <w:pPr>
        <w:pStyle w:val="Heading2"/>
        <w:ind w:left="0"/>
        <w:jc w:val="both"/>
        <w:rPr>
          <w:rFonts w:ascii="Tahoma" w:hAnsi="Tahoma" w:cs="Tahoma"/>
        </w:rPr>
      </w:pPr>
      <w:bookmarkStart w:id="682" w:name="_Toc336338170"/>
      <w:bookmarkStart w:id="683" w:name="_Toc342914808"/>
      <w:bookmarkEnd w:id="682"/>
      <w:r w:rsidRPr="00EB4D74">
        <w:rPr>
          <w:rFonts w:ascii="Tahoma" w:hAnsi="Tahoma" w:cs="Tahoma"/>
          <w:color w:val="FF6600"/>
          <w:lang w:val="pt-BR"/>
        </w:rPr>
        <w:t>ALTERAÇÕES EM SETEMBRO DE 2012</w:t>
      </w:r>
      <w:bookmarkEnd w:id="683"/>
    </w:p>
    <w:p w:rsidR="008B1196" w:rsidRPr="00EB4D74" w:rsidRDefault="008B1196" w:rsidP="008B1196">
      <w:pPr>
        <w:ind w:right="720"/>
        <w:rPr>
          <w:rFonts w:cs="Tahoma"/>
        </w:rPr>
      </w:pPr>
    </w:p>
    <w:p w:rsidR="008B1196" w:rsidRPr="00EB4D74" w:rsidRDefault="008B1196" w:rsidP="008B1196">
      <w:pPr>
        <w:rPr>
          <w:rFonts w:cs="Tahoma"/>
        </w:rPr>
      </w:pPr>
      <w:r w:rsidRPr="00EB4D74">
        <w:rPr>
          <w:rFonts w:cs="Tahoma"/>
          <w:b/>
          <w:color w:val="000000"/>
          <w:lang w:val="pt-BR"/>
        </w:rPr>
        <w:t>Adições</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Professional 2012</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Professional 2012 com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Premium 2012 com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Ultimate 2012 com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Test Professional 2012 com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Team Foundation Server 2012 com Tecnologia SQL Server 2012</w:t>
      </w:r>
    </w:p>
    <w:p w:rsidR="008B1196" w:rsidRPr="00EB4D74" w:rsidRDefault="008B1196" w:rsidP="008B1196">
      <w:pPr>
        <w:rPr>
          <w:rFonts w:cs="Tahoma"/>
        </w:rPr>
      </w:pPr>
      <w:r w:rsidRPr="00EB4D74">
        <w:rPr>
          <w:rFonts w:cs="Tahoma"/>
          <w:color w:val="000000"/>
          <w:lang w:val="pt-BR"/>
        </w:rPr>
        <w:t>CAL do Dispositivo do Visual Studio</w:t>
      </w:r>
      <w:r w:rsidRPr="00EB4D74">
        <w:rPr>
          <w:rFonts w:cs="Tahoma"/>
          <w:color w:val="000000"/>
          <w:vertAlign w:val="superscript"/>
          <w:lang w:val="pt-BR"/>
        </w:rPr>
        <w:t>®</w:t>
      </w:r>
      <w:r w:rsidRPr="00EB4D74">
        <w:rPr>
          <w:rFonts w:cs="Tahoma"/>
          <w:color w:val="000000"/>
          <w:lang w:val="pt-BR"/>
        </w:rPr>
        <w:t xml:space="preserve"> Team Foundation Server 2012</w:t>
      </w:r>
    </w:p>
    <w:p w:rsidR="008B1196" w:rsidRPr="00EB4D74" w:rsidRDefault="008B1196" w:rsidP="008B1196">
      <w:pPr>
        <w:rPr>
          <w:rFonts w:cs="Tahoma"/>
        </w:rPr>
      </w:pPr>
      <w:r w:rsidRPr="00EB4D74">
        <w:rPr>
          <w:rFonts w:cs="Tahoma"/>
          <w:color w:val="000000"/>
          <w:lang w:val="pt-BR"/>
        </w:rPr>
        <w:t>CAL do Usuário do Visual Studio</w:t>
      </w:r>
      <w:r w:rsidRPr="00EB4D74">
        <w:rPr>
          <w:rFonts w:cs="Tahoma"/>
          <w:color w:val="000000"/>
          <w:vertAlign w:val="superscript"/>
          <w:lang w:val="pt-BR"/>
        </w:rPr>
        <w:t>®</w:t>
      </w:r>
      <w:r w:rsidRPr="00EB4D74">
        <w:rPr>
          <w:rFonts w:cs="Tahoma"/>
          <w:color w:val="000000"/>
          <w:lang w:val="pt-BR"/>
        </w:rPr>
        <w:t xml:space="preserve"> Team Foundation Server 2012</w:t>
      </w:r>
    </w:p>
    <w:p w:rsidR="008B1196" w:rsidRPr="00EB4D74" w:rsidRDefault="008B1196" w:rsidP="008B1196">
      <w:pPr>
        <w:rPr>
          <w:rFonts w:cs="Tahoma"/>
        </w:rPr>
      </w:pPr>
      <w:r w:rsidRPr="00EB4D74">
        <w:rPr>
          <w:rFonts w:cs="Tahoma"/>
          <w:color w:val="000000"/>
          <w:lang w:val="pt-BR"/>
        </w:rPr>
        <w:t>External Connector do Visual Studio</w:t>
      </w:r>
      <w:r w:rsidRPr="00EB4D74">
        <w:rPr>
          <w:rFonts w:cs="Tahoma"/>
          <w:color w:val="000000"/>
          <w:vertAlign w:val="superscript"/>
          <w:lang w:val="pt-BR"/>
        </w:rPr>
        <w:t>®</w:t>
      </w:r>
      <w:r w:rsidRPr="00EB4D74">
        <w:rPr>
          <w:rFonts w:cs="Tahoma"/>
          <w:color w:val="000000"/>
          <w:lang w:val="pt-BR"/>
        </w:rPr>
        <w:t xml:space="preserve"> Team Foundation Server 2012</w:t>
      </w:r>
    </w:p>
    <w:p w:rsidR="008B1196" w:rsidRPr="00EB4D74" w:rsidRDefault="008B1196" w:rsidP="008B1196">
      <w:pPr>
        <w:rPr>
          <w:rFonts w:cs="Tahoma"/>
        </w:rPr>
      </w:pPr>
      <w:r w:rsidRPr="00EB4D74">
        <w:rPr>
          <w:rFonts w:cs="Tahoma"/>
          <w:color w:val="000000"/>
          <w:lang w:val="pt-BR"/>
        </w:rPr>
        <w:t>CAL do Windows Server™ 2012 (Dispositivo e Usuário)</w:t>
      </w:r>
    </w:p>
    <w:p w:rsidR="008B1196" w:rsidRPr="00EB4D74" w:rsidRDefault="008B1196" w:rsidP="008B1196">
      <w:pPr>
        <w:rPr>
          <w:rFonts w:cs="Tahoma"/>
        </w:rPr>
      </w:pPr>
      <w:r w:rsidRPr="00EB4D74">
        <w:rPr>
          <w:rFonts w:cs="Tahoma"/>
          <w:color w:val="000000"/>
          <w:lang w:val="pt-BR"/>
        </w:rPr>
        <w:t>Windows Server™ 2012 Datacenter</w:t>
      </w:r>
    </w:p>
    <w:p w:rsidR="008B1196" w:rsidRPr="00EB4D74" w:rsidRDefault="008B1196" w:rsidP="008B1196">
      <w:pPr>
        <w:rPr>
          <w:rFonts w:cs="Tahoma"/>
        </w:rPr>
      </w:pPr>
      <w:r w:rsidRPr="00EB4D74">
        <w:rPr>
          <w:rFonts w:cs="Tahoma"/>
          <w:color w:val="000000"/>
          <w:lang w:val="pt-BR"/>
        </w:rPr>
        <w:t>Windows Server™ 2012 Standard</w:t>
      </w:r>
    </w:p>
    <w:p w:rsidR="008B1196" w:rsidRPr="00EB4D74" w:rsidRDefault="008B1196" w:rsidP="008B1196">
      <w:pPr>
        <w:rPr>
          <w:rFonts w:cs="Tahoma"/>
        </w:rPr>
      </w:pPr>
      <w:r w:rsidRPr="00EB4D74">
        <w:rPr>
          <w:rFonts w:cs="Tahoma"/>
          <w:color w:val="000000"/>
          <w:lang w:val="pt-BR"/>
        </w:rPr>
        <w:t>External Connector do Windows Server™ 2012</w:t>
      </w:r>
    </w:p>
    <w:p w:rsidR="008B1196" w:rsidRPr="00EB4D74" w:rsidRDefault="008B1196" w:rsidP="008B1196">
      <w:pPr>
        <w:rPr>
          <w:rFonts w:cs="Tahoma"/>
        </w:rPr>
      </w:pPr>
      <w:r w:rsidRPr="00EB4D74">
        <w:rPr>
          <w:rFonts w:cs="Tahoma"/>
          <w:color w:val="000000"/>
          <w:lang w:val="pt-BR"/>
        </w:rPr>
        <w:t>CAL de Serviços de Área de Trabalho Remota do Windows Server™ 2012</w:t>
      </w:r>
    </w:p>
    <w:p w:rsidR="008B1196" w:rsidRPr="00EB4D74" w:rsidRDefault="008B1196" w:rsidP="008B1196">
      <w:pPr>
        <w:rPr>
          <w:rFonts w:cs="Tahoma"/>
        </w:rPr>
      </w:pPr>
      <w:r w:rsidRPr="00EB4D74">
        <w:rPr>
          <w:rFonts w:cs="Tahoma"/>
          <w:color w:val="000000"/>
          <w:lang w:val="pt-BR"/>
        </w:rPr>
        <w:t>External Connector dos Serviços de Área de Trabalho Remota do Windows Server™ 2012</w:t>
      </w:r>
    </w:p>
    <w:p w:rsidR="008B1196" w:rsidRPr="00EB4D74" w:rsidRDefault="008B1196" w:rsidP="008B1196">
      <w:pPr>
        <w:rPr>
          <w:rFonts w:cs="Tahoma"/>
        </w:rPr>
      </w:pPr>
      <w:r w:rsidRPr="00EB4D74">
        <w:rPr>
          <w:rFonts w:cs="Tahoma"/>
          <w:color w:val="000000"/>
          <w:lang w:val="pt-BR"/>
        </w:rPr>
        <w:t>CAL dos Serviços de Gerenciamento de Direitos do Windows Server™ 2012</w:t>
      </w:r>
    </w:p>
    <w:p w:rsidR="008B1196" w:rsidRPr="00EB4D74" w:rsidRDefault="008B1196" w:rsidP="008B1196">
      <w:pPr>
        <w:rPr>
          <w:rFonts w:cs="Tahoma"/>
        </w:rPr>
      </w:pPr>
      <w:r w:rsidRPr="00EB4D74">
        <w:rPr>
          <w:rFonts w:cs="Tahoma"/>
          <w:color w:val="000000"/>
          <w:lang w:val="pt-BR"/>
        </w:rPr>
        <w:t>External Connector dos Serviços de Gerenciamento de Direitos do Windows Server™ 2012</w:t>
      </w:r>
    </w:p>
    <w:p w:rsidR="008B1196" w:rsidRPr="00EB4D74" w:rsidRDefault="008B1196" w:rsidP="008B1196">
      <w:pPr>
        <w:rPr>
          <w:rFonts w:cs="Tahoma"/>
          <w:lang w:val="it-IT"/>
        </w:rPr>
      </w:pPr>
      <w:r w:rsidRPr="00EB4D74">
        <w:rPr>
          <w:rFonts w:cs="Tahoma"/>
          <w:color w:val="000000"/>
          <w:lang w:val="pt-BR"/>
        </w:rPr>
        <w:t>CAL Aditiva do Microsoft Dynamics AX 2012 Enterprise (Usuário e Dispositivo)</w:t>
      </w:r>
    </w:p>
    <w:p w:rsidR="008B1196" w:rsidRPr="00EB4D74" w:rsidRDefault="008B1196" w:rsidP="008B1196">
      <w:pPr>
        <w:rPr>
          <w:rFonts w:cs="Tahoma"/>
          <w:lang w:val="it-IT"/>
        </w:rPr>
      </w:pPr>
      <w:r w:rsidRPr="00EB4D74">
        <w:rPr>
          <w:rFonts w:cs="Tahoma"/>
          <w:color w:val="000000"/>
          <w:lang w:val="pt-BR"/>
        </w:rPr>
        <w:t>CAL Empresarial do Microsoft Dynamics AX 2012 (Usuário e Dispositivo)</w:t>
      </w:r>
    </w:p>
    <w:p w:rsidR="008B1196" w:rsidRPr="00EB4D74" w:rsidRDefault="008B1196" w:rsidP="008B1196">
      <w:pPr>
        <w:rPr>
          <w:rFonts w:cs="Tahoma"/>
          <w:lang w:val="it-IT"/>
        </w:rPr>
      </w:pPr>
      <w:r w:rsidRPr="00EB4D74">
        <w:rPr>
          <w:rFonts w:cs="Tahoma"/>
          <w:color w:val="000000"/>
          <w:lang w:val="pt-BR"/>
        </w:rPr>
        <w:lastRenderedPageBreak/>
        <w:t>CAL Aditiva do Microsoft Dynamics AX 2012 Funcional (Usuário e Dispositivo)</w:t>
      </w:r>
    </w:p>
    <w:p w:rsidR="008B1196" w:rsidRPr="00EB4D74" w:rsidRDefault="008B1196" w:rsidP="008B1196">
      <w:pPr>
        <w:rPr>
          <w:rFonts w:cs="Tahoma"/>
          <w:lang w:val="it-IT"/>
        </w:rPr>
      </w:pPr>
      <w:r w:rsidRPr="00EB4D74">
        <w:rPr>
          <w:rFonts w:cs="Tahoma"/>
          <w:color w:val="000000"/>
          <w:lang w:val="pt-BR"/>
        </w:rPr>
        <w:t>CAL do Microsoft Dynamics AX 2012 Funcional (Usuário e Dispositivo)</w:t>
      </w:r>
    </w:p>
    <w:p w:rsidR="008B1196" w:rsidRPr="00EB4D74" w:rsidRDefault="008B1196" w:rsidP="008B1196">
      <w:pPr>
        <w:rPr>
          <w:rFonts w:cs="Tahoma"/>
          <w:lang w:val="it-IT"/>
        </w:rPr>
      </w:pPr>
      <w:r w:rsidRPr="00EB4D74">
        <w:rPr>
          <w:rFonts w:cs="Tahoma"/>
          <w:color w:val="000000"/>
          <w:lang w:val="pt-BR"/>
        </w:rPr>
        <w:t>CAL de Autoatendimento (Usuário e Dispositivo) do Microsoft Dynamics AX 2012</w:t>
      </w:r>
    </w:p>
    <w:p w:rsidR="008B1196" w:rsidRPr="00EB4D74" w:rsidRDefault="008B1196" w:rsidP="008B1196">
      <w:pPr>
        <w:rPr>
          <w:rFonts w:cs="Tahoma"/>
          <w:lang w:val="it-IT"/>
        </w:rPr>
      </w:pPr>
      <w:r w:rsidRPr="00EB4D74">
        <w:rPr>
          <w:rFonts w:cs="Tahoma"/>
          <w:color w:val="000000"/>
          <w:lang w:val="pt-BR"/>
        </w:rPr>
        <w:t>Microsoft Dynamics AX 2012 Server</w:t>
      </w:r>
    </w:p>
    <w:p w:rsidR="008B1196" w:rsidRPr="00EB4D74" w:rsidRDefault="008B1196" w:rsidP="008B1196">
      <w:pPr>
        <w:rPr>
          <w:rFonts w:cs="Tahoma"/>
          <w:lang w:val="it-IT"/>
        </w:rPr>
      </w:pPr>
      <w:r w:rsidRPr="00EB4D74">
        <w:rPr>
          <w:rFonts w:cs="Tahoma"/>
          <w:color w:val="000000"/>
          <w:lang w:val="pt-BR"/>
        </w:rPr>
        <w:t>CAL Aditiva de Tarefa do Microsoft Dynamics AX 2012 (Usuário e Dispositivo)</w:t>
      </w:r>
    </w:p>
    <w:p w:rsidR="008B1196" w:rsidRPr="00EB4D74" w:rsidRDefault="008B1196" w:rsidP="008B1196">
      <w:pPr>
        <w:rPr>
          <w:rFonts w:cs="Tahoma"/>
          <w:lang w:val="it-IT"/>
        </w:rPr>
      </w:pPr>
      <w:r w:rsidRPr="00EB4D74">
        <w:rPr>
          <w:rFonts w:cs="Tahoma"/>
          <w:color w:val="000000"/>
          <w:lang w:val="pt-BR"/>
        </w:rPr>
        <w:t>CAL de Tarefa do Microsoft Dynamics AX 2012 (Usuário e Dispositivo)</w:t>
      </w:r>
    </w:p>
    <w:p w:rsidR="008B1196" w:rsidRPr="00EB4D74" w:rsidRDefault="008B1196" w:rsidP="008B1196">
      <w:pPr>
        <w:rPr>
          <w:rFonts w:cs="Tahoma"/>
        </w:rPr>
      </w:pPr>
      <w:r w:rsidRPr="00EB4D74">
        <w:rPr>
          <w:rFonts w:cs="Tahoma"/>
          <w:color w:val="000000"/>
          <w:lang w:val="pt-BR"/>
        </w:rPr>
        <w:t>Windows 8 Enterprise Sideloading</w:t>
      </w:r>
    </w:p>
    <w:p w:rsidR="008B1196" w:rsidRPr="00EB4D74" w:rsidRDefault="008B1196" w:rsidP="008B1196">
      <w:pPr>
        <w:rPr>
          <w:rFonts w:cs="Tahoma"/>
        </w:rPr>
      </w:pPr>
      <w:r w:rsidRPr="00EB4D74">
        <w:rPr>
          <w:rFonts w:cs="Tahoma"/>
          <w:color w:val="000000"/>
          <w:lang w:val="pt-BR"/>
        </w:rPr>
        <w:t>Atualização do Windows 8 Pro</w:t>
      </w:r>
    </w:p>
    <w:p w:rsidR="008B1196" w:rsidRPr="00EB4D74" w:rsidRDefault="008B1196" w:rsidP="008B1196">
      <w:pPr>
        <w:rPr>
          <w:rFonts w:cs="Tahoma"/>
        </w:rPr>
      </w:pPr>
      <w:r w:rsidRPr="00EB4D74">
        <w:rPr>
          <w:rFonts w:cs="Tahoma"/>
          <w:color w:val="000000"/>
          <w:lang w:val="pt-BR"/>
        </w:rPr>
        <w:t>Windows 8 Pro com MDOP</w:t>
      </w:r>
    </w:p>
    <w:p w:rsidR="008B1196" w:rsidRPr="00EB4D74" w:rsidRDefault="008B1196" w:rsidP="008B1196">
      <w:pPr>
        <w:rPr>
          <w:rFonts w:cs="Tahoma"/>
        </w:rPr>
      </w:pPr>
      <w:r w:rsidRPr="00EB4D74">
        <w:rPr>
          <w:rFonts w:cs="Tahoma"/>
          <w:color w:val="000000"/>
          <w:lang w:val="pt-BR"/>
        </w:rPr>
        <w:t>Direitos de Locação para Windows</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Promoções</w:t>
      </w:r>
    </w:p>
    <w:p w:rsidR="008B1196" w:rsidRPr="00EB4D74" w:rsidRDefault="008B1196" w:rsidP="008B1196">
      <w:pPr>
        <w:rPr>
          <w:rFonts w:cs="Tahoma"/>
        </w:rPr>
      </w:pPr>
      <w:r w:rsidRPr="00EB4D74">
        <w:rPr>
          <w:rFonts w:cs="Tahoma"/>
          <w:color w:val="000000"/>
          <w:lang w:val="pt-BR"/>
        </w:rPr>
        <w:t>As seguintes promoções foram adicionadas:</w:t>
      </w:r>
    </w:p>
    <w:p w:rsidR="008B1196" w:rsidRPr="00EB4D74" w:rsidRDefault="008B1196" w:rsidP="008B1196">
      <w:pPr>
        <w:rPr>
          <w:rFonts w:cs="Tahoma"/>
        </w:rPr>
      </w:pPr>
      <w:r w:rsidRPr="00EB4D74">
        <w:rPr>
          <w:rFonts w:cs="Tahoma"/>
          <w:color w:val="000000"/>
          <w:lang w:val="pt-BR"/>
        </w:rPr>
        <w:t>Promoção de Step-up do Windows Server Datacenter</w:t>
      </w:r>
    </w:p>
    <w:p w:rsidR="008B1196" w:rsidRPr="00EB4D74" w:rsidRDefault="008B1196" w:rsidP="008B1196">
      <w:pPr>
        <w:rPr>
          <w:rFonts w:cs="Tahoma"/>
        </w:rPr>
      </w:pPr>
      <w:r w:rsidRPr="00EB4D74">
        <w:rPr>
          <w:rFonts w:cs="Tahoma"/>
          <w:color w:val="000000"/>
          <w:lang w:val="pt-BR"/>
        </w:rPr>
        <w:t>Forefront Online Protection for Exchange</w:t>
      </w:r>
    </w:p>
    <w:p w:rsidR="008B1196" w:rsidRPr="00EB4D74" w:rsidRDefault="008B1196" w:rsidP="008B1196">
      <w:pPr>
        <w:rPr>
          <w:rFonts w:cs="Tahoma"/>
        </w:rPr>
      </w:pPr>
    </w:p>
    <w:p w:rsidR="008B1196" w:rsidRPr="00EB4D74" w:rsidRDefault="008B1196" w:rsidP="008B1196">
      <w:pPr>
        <w:outlineLvl w:val="1"/>
        <w:rPr>
          <w:rFonts w:cs="Tahoma"/>
        </w:rPr>
      </w:pPr>
      <w:r w:rsidRPr="00EB4D74">
        <w:rPr>
          <w:rFonts w:cs="Tahoma"/>
          <w:color w:val="000000"/>
          <w:lang w:val="pt-BR"/>
        </w:rPr>
        <w:t>As seguintes promoções foram excluídas</w:t>
      </w:r>
    </w:p>
    <w:p w:rsidR="008B1196" w:rsidRPr="00EB4D74" w:rsidRDefault="008B1196" w:rsidP="008B1196">
      <w:pPr>
        <w:rPr>
          <w:rFonts w:cs="Tahoma"/>
        </w:rPr>
      </w:pPr>
      <w:r w:rsidRPr="00EB4D74">
        <w:rPr>
          <w:rFonts w:cs="Tahoma"/>
          <w:color w:val="000000"/>
          <w:lang w:val="pt-BR"/>
        </w:rPr>
        <w:t>Promoção Enrollment for Core Infrastructure Standard Suite</w:t>
      </w:r>
    </w:p>
    <w:p w:rsidR="008B1196" w:rsidRPr="00EB4D74" w:rsidRDefault="008B1196" w:rsidP="008B1196">
      <w:pPr>
        <w:outlineLvl w:val="1"/>
        <w:rPr>
          <w:rFonts w:cs="Tahoma"/>
        </w:rPr>
      </w:pPr>
    </w:p>
    <w:p w:rsidR="008B1196" w:rsidRPr="00EB4D74" w:rsidRDefault="008B1196" w:rsidP="008B1196">
      <w:pPr>
        <w:rPr>
          <w:rFonts w:cs="Tahoma"/>
        </w:rPr>
      </w:pPr>
      <w:r w:rsidRPr="00EB4D74">
        <w:rPr>
          <w:rFonts w:cs="Tahoma"/>
          <w:b/>
          <w:color w:val="000000"/>
          <w:lang w:val="pt-BR"/>
        </w:rPr>
        <w:t>Exclusões</w:t>
      </w:r>
    </w:p>
    <w:p w:rsidR="008B1196" w:rsidRPr="00EB4D74" w:rsidRDefault="008B1196" w:rsidP="008B1196">
      <w:pPr>
        <w:rPr>
          <w:rFonts w:cs="Tahoma"/>
        </w:rPr>
      </w:pPr>
      <w:r w:rsidRPr="00EB4D74">
        <w:rPr>
          <w:rFonts w:cs="Tahoma"/>
          <w:color w:val="000000"/>
          <w:lang w:val="pt-BR"/>
        </w:rPr>
        <w:t>Tellme Basic (Taxa)</w:t>
      </w:r>
    </w:p>
    <w:p w:rsidR="008B1196" w:rsidRPr="00EB4D74" w:rsidRDefault="008B1196" w:rsidP="008B1196">
      <w:pPr>
        <w:rPr>
          <w:rFonts w:cs="Tahoma"/>
        </w:rPr>
      </w:pPr>
      <w:r w:rsidRPr="00EB4D74">
        <w:rPr>
          <w:rFonts w:cs="Tahoma"/>
          <w:color w:val="000000"/>
          <w:lang w:val="pt-BR"/>
        </w:rPr>
        <w:t>Tellme Standard (Taxa)</w:t>
      </w:r>
    </w:p>
    <w:p w:rsidR="008B1196" w:rsidRPr="00EB4D74" w:rsidRDefault="008B1196" w:rsidP="008B1196">
      <w:pPr>
        <w:rPr>
          <w:rFonts w:cs="Tahoma"/>
        </w:rPr>
      </w:pPr>
      <w:r w:rsidRPr="00EB4D74">
        <w:rPr>
          <w:rFonts w:cs="Tahoma"/>
          <w:color w:val="000000"/>
          <w:lang w:val="pt-BR"/>
        </w:rPr>
        <w:t>Tellme Premium (Taxa)</w:t>
      </w:r>
    </w:p>
    <w:p w:rsidR="008B1196" w:rsidRPr="00EB4D74" w:rsidRDefault="008B1196" w:rsidP="008B1196">
      <w:pPr>
        <w:rPr>
          <w:rFonts w:cs="Tahoma"/>
        </w:rPr>
      </w:pPr>
      <w:r w:rsidRPr="00EB4D74">
        <w:rPr>
          <w:rFonts w:cs="Tahoma"/>
          <w:color w:val="000000"/>
          <w:lang w:val="pt-BR"/>
        </w:rPr>
        <w:t>Tellme Basic (SL de Serviços)</w:t>
      </w:r>
    </w:p>
    <w:p w:rsidR="008B1196" w:rsidRPr="00EB4D74" w:rsidRDefault="008B1196" w:rsidP="008B1196">
      <w:pPr>
        <w:rPr>
          <w:rFonts w:cs="Tahoma"/>
        </w:rPr>
      </w:pPr>
      <w:r w:rsidRPr="00EB4D74">
        <w:rPr>
          <w:rFonts w:cs="Tahoma"/>
          <w:color w:val="000000"/>
          <w:lang w:val="pt-BR"/>
        </w:rPr>
        <w:t>Tellme Standard (SL de Serviços)</w:t>
      </w:r>
    </w:p>
    <w:p w:rsidR="008B1196" w:rsidRPr="00EB4D74" w:rsidRDefault="008B1196" w:rsidP="008B1196">
      <w:pPr>
        <w:rPr>
          <w:rFonts w:cs="Tahoma"/>
        </w:rPr>
      </w:pPr>
      <w:r w:rsidRPr="00EB4D74">
        <w:rPr>
          <w:rFonts w:cs="Tahoma"/>
          <w:color w:val="000000"/>
          <w:lang w:val="pt-BR"/>
        </w:rPr>
        <w:t>Tellme Premium (SL de Serviços)</w:t>
      </w:r>
    </w:p>
    <w:p w:rsidR="008B1196" w:rsidRPr="00EB4D74" w:rsidRDefault="008B1196" w:rsidP="008B1196">
      <w:pPr>
        <w:rPr>
          <w:rFonts w:cs="Tahoma"/>
        </w:rPr>
      </w:pPr>
      <w:r w:rsidRPr="00EB4D74">
        <w:rPr>
          <w:rFonts w:cs="Tahoma"/>
          <w:color w:val="000000"/>
          <w:lang w:val="pt-BR"/>
        </w:rPr>
        <w:t>Minutos excedentes do Tellme (Taxa)</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Professional</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Professional with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Professional with MSDN Embedded</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Premium</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Premium with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Ultimate</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2010 Ultimate with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Test Professional 2010</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Test Professional 2010 com MSDN</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LightSwitch 2011</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Load Test Virtual User Pack 2010</w:t>
      </w:r>
    </w:p>
    <w:p w:rsidR="008B1196" w:rsidRPr="00EB4D74" w:rsidRDefault="008B1196" w:rsidP="008B1196">
      <w:pPr>
        <w:rPr>
          <w:rFonts w:cs="Tahoma"/>
        </w:rPr>
      </w:pPr>
      <w:r w:rsidRPr="00EB4D74">
        <w:rPr>
          <w:rFonts w:cs="Tahoma"/>
          <w:color w:val="000000"/>
          <w:lang w:val="pt-BR"/>
        </w:rPr>
        <w:t>Visual Studio</w:t>
      </w:r>
      <w:r w:rsidRPr="00EB4D74">
        <w:rPr>
          <w:rFonts w:cs="Tahoma"/>
          <w:color w:val="000000"/>
          <w:vertAlign w:val="superscript"/>
          <w:lang w:val="pt-BR"/>
        </w:rPr>
        <w:t>®</w:t>
      </w:r>
      <w:r w:rsidRPr="00EB4D74">
        <w:rPr>
          <w:rFonts w:cs="Tahoma"/>
          <w:color w:val="000000"/>
          <w:lang w:val="pt-BR"/>
        </w:rPr>
        <w:t xml:space="preserve"> Team Foundation Server 2010 com Tecnologia SQL Server 2008</w:t>
      </w:r>
    </w:p>
    <w:p w:rsidR="008B1196" w:rsidRPr="00EB4D74" w:rsidRDefault="008B1196" w:rsidP="008B1196">
      <w:pPr>
        <w:rPr>
          <w:rFonts w:cs="Tahoma"/>
        </w:rPr>
      </w:pPr>
      <w:r w:rsidRPr="00EB4D74">
        <w:rPr>
          <w:rFonts w:cs="Tahoma"/>
          <w:color w:val="000000"/>
          <w:lang w:val="pt-BR"/>
        </w:rPr>
        <w:t>CAL do Dispositivo do Visual Studio</w:t>
      </w:r>
      <w:r w:rsidRPr="00EB4D74">
        <w:rPr>
          <w:rFonts w:cs="Tahoma"/>
          <w:color w:val="000000"/>
          <w:vertAlign w:val="superscript"/>
          <w:lang w:val="pt-BR"/>
        </w:rPr>
        <w:t>®</w:t>
      </w:r>
      <w:r w:rsidRPr="00EB4D74">
        <w:rPr>
          <w:rFonts w:cs="Tahoma"/>
          <w:color w:val="000000"/>
          <w:lang w:val="pt-BR"/>
        </w:rPr>
        <w:t xml:space="preserve"> Team Foundation Server 2010</w:t>
      </w:r>
    </w:p>
    <w:p w:rsidR="008B1196" w:rsidRPr="00EB4D74" w:rsidRDefault="008B1196" w:rsidP="008B1196">
      <w:pPr>
        <w:rPr>
          <w:rFonts w:cs="Tahoma"/>
        </w:rPr>
      </w:pPr>
      <w:r w:rsidRPr="00EB4D74">
        <w:rPr>
          <w:rFonts w:cs="Tahoma"/>
          <w:color w:val="000000"/>
          <w:lang w:val="pt-BR"/>
        </w:rPr>
        <w:t>CAL do Usuário do Visual Studio</w:t>
      </w:r>
      <w:r w:rsidRPr="00EB4D74">
        <w:rPr>
          <w:rFonts w:cs="Tahoma"/>
          <w:color w:val="000000"/>
          <w:vertAlign w:val="superscript"/>
          <w:lang w:val="pt-BR"/>
        </w:rPr>
        <w:t>®</w:t>
      </w:r>
      <w:r w:rsidRPr="00EB4D74">
        <w:rPr>
          <w:rFonts w:cs="Tahoma"/>
          <w:color w:val="000000"/>
          <w:lang w:val="pt-BR"/>
        </w:rPr>
        <w:t xml:space="preserve"> Team Foundation Server 2010</w:t>
      </w:r>
    </w:p>
    <w:p w:rsidR="008B1196" w:rsidRPr="00EB4D74" w:rsidRDefault="008B1196" w:rsidP="008B1196">
      <w:pPr>
        <w:rPr>
          <w:rFonts w:cs="Tahoma"/>
        </w:rPr>
      </w:pPr>
      <w:r w:rsidRPr="00EB4D74">
        <w:rPr>
          <w:rFonts w:cs="Tahoma"/>
          <w:color w:val="000000"/>
          <w:lang w:val="pt-BR"/>
        </w:rPr>
        <w:t>External Connector do Visual Studio</w:t>
      </w:r>
      <w:r w:rsidRPr="00EB4D74">
        <w:rPr>
          <w:rFonts w:cs="Tahoma"/>
          <w:color w:val="000000"/>
          <w:vertAlign w:val="superscript"/>
          <w:lang w:val="pt-BR"/>
        </w:rPr>
        <w:t>®</w:t>
      </w:r>
      <w:r w:rsidRPr="00EB4D74">
        <w:rPr>
          <w:rFonts w:cs="Tahoma"/>
          <w:color w:val="000000"/>
          <w:lang w:val="pt-BR"/>
        </w:rPr>
        <w:t xml:space="preserve"> Team Foundation Server 2010</w:t>
      </w:r>
    </w:p>
    <w:p w:rsidR="008B1196" w:rsidRPr="00EB4D74" w:rsidRDefault="008B1196" w:rsidP="008B1196">
      <w:pPr>
        <w:rPr>
          <w:rFonts w:cs="Tahoma"/>
        </w:rPr>
      </w:pPr>
      <w:r w:rsidRPr="00EB4D74">
        <w:rPr>
          <w:rFonts w:cs="Tahoma"/>
          <w:color w:val="000000"/>
          <w:lang w:val="pt-BR"/>
        </w:rPr>
        <w:t>CAL do Windows Server™ 2008 (Dispositivo e Usuário)</w:t>
      </w:r>
    </w:p>
    <w:p w:rsidR="008B1196" w:rsidRPr="00EB4D74" w:rsidRDefault="008B1196" w:rsidP="008B1196">
      <w:pPr>
        <w:rPr>
          <w:rFonts w:cs="Tahoma"/>
        </w:rPr>
      </w:pPr>
      <w:r w:rsidRPr="00EB4D74">
        <w:rPr>
          <w:rFonts w:cs="Tahoma"/>
          <w:color w:val="000000"/>
          <w:lang w:val="pt-BR"/>
        </w:rPr>
        <w:t>Windows Server™ 2008 R2 HPC Edition</w:t>
      </w:r>
    </w:p>
    <w:p w:rsidR="008B1196" w:rsidRPr="00EB4D74" w:rsidRDefault="008B1196" w:rsidP="008B1196">
      <w:pPr>
        <w:rPr>
          <w:rFonts w:cs="Tahoma"/>
        </w:rPr>
      </w:pPr>
      <w:r w:rsidRPr="00EB4D74">
        <w:rPr>
          <w:rFonts w:cs="Tahoma"/>
          <w:color w:val="000000"/>
          <w:lang w:val="pt-BR"/>
        </w:rPr>
        <w:t>Windows Server™ 2008 R2 Datacenter</w:t>
      </w:r>
    </w:p>
    <w:p w:rsidR="008B1196" w:rsidRPr="00EB4D74" w:rsidRDefault="008B1196" w:rsidP="008B1196">
      <w:pPr>
        <w:rPr>
          <w:rFonts w:cs="Tahoma"/>
        </w:rPr>
      </w:pPr>
      <w:r w:rsidRPr="00EB4D74">
        <w:rPr>
          <w:rFonts w:cs="Tahoma"/>
          <w:color w:val="000000"/>
          <w:lang w:val="pt-BR"/>
        </w:rPr>
        <w:t>Windows Server™ 2008 R2 Enterprise</w:t>
      </w:r>
    </w:p>
    <w:p w:rsidR="008B1196" w:rsidRPr="00EB4D74" w:rsidRDefault="008B1196" w:rsidP="008B1196">
      <w:pPr>
        <w:rPr>
          <w:rFonts w:cs="Tahoma"/>
        </w:rPr>
      </w:pPr>
      <w:r w:rsidRPr="00EB4D74">
        <w:rPr>
          <w:rFonts w:cs="Tahoma"/>
          <w:color w:val="000000"/>
          <w:lang w:val="pt-BR"/>
        </w:rPr>
        <w:t>Windows Server™ 2008 R2 Itanium Based Systems</w:t>
      </w:r>
    </w:p>
    <w:p w:rsidR="008B1196" w:rsidRPr="00EB4D74" w:rsidRDefault="008B1196" w:rsidP="008B1196">
      <w:pPr>
        <w:rPr>
          <w:rFonts w:cs="Tahoma"/>
        </w:rPr>
      </w:pPr>
      <w:r w:rsidRPr="00EB4D74">
        <w:rPr>
          <w:rFonts w:cs="Tahoma"/>
          <w:color w:val="000000"/>
          <w:lang w:val="pt-BR"/>
        </w:rPr>
        <w:t>Windows Server™ 2008 R2 Standard</w:t>
      </w:r>
    </w:p>
    <w:p w:rsidR="008B1196" w:rsidRPr="00EB4D74" w:rsidRDefault="008B1196" w:rsidP="008B1196">
      <w:pPr>
        <w:rPr>
          <w:rFonts w:cs="Tahoma"/>
        </w:rPr>
      </w:pPr>
      <w:r w:rsidRPr="00EB4D74">
        <w:rPr>
          <w:rFonts w:cs="Tahoma"/>
          <w:color w:val="000000"/>
          <w:lang w:val="pt-BR"/>
        </w:rPr>
        <w:t>External Connector do Windows Server™ 2008</w:t>
      </w:r>
    </w:p>
    <w:p w:rsidR="008B1196" w:rsidRPr="00EB4D74" w:rsidRDefault="008B1196" w:rsidP="008B1196">
      <w:pPr>
        <w:rPr>
          <w:rFonts w:cs="Tahoma"/>
        </w:rPr>
      </w:pPr>
      <w:r w:rsidRPr="00EB4D74">
        <w:rPr>
          <w:rFonts w:cs="Tahoma"/>
          <w:color w:val="000000"/>
          <w:lang w:val="pt-BR"/>
        </w:rPr>
        <w:t>CAL de Serviços de Área de Trabalho Remota do Windows Server™ 2008</w:t>
      </w:r>
    </w:p>
    <w:p w:rsidR="008B1196" w:rsidRPr="00EB4D74" w:rsidRDefault="008B1196" w:rsidP="008B1196">
      <w:pPr>
        <w:rPr>
          <w:rFonts w:cs="Tahoma"/>
        </w:rPr>
      </w:pPr>
      <w:r w:rsidRPr="00EB4D74">
        <w:rPr>
          <w:rFonts w:cs="Tahoma"/>
          <w:color w:val="000000"/>
          <w:lang w:val="pt-BR"/>
        </w:rPr>
        <w:t>External Connector dos Serviços de Área de Trabalho Remota do Windows Server™ 2008</w:t>
      </w:r>
    </w:p>
    <w:p w:rsidR="008B1196" w:rsidRPr="00EB4D74" w:rsidRDefault="008B1196" w:rsidP="008B1196">
      <w:pPr>
        <w:rPr>
          <w:rFonts w:cs="Tahoma"/>
        </w:rPr>
      </w:pPr>
      <w:r w:rsidRPr="00EB4D74">
        <w:rPr>
          <w:rFonts w:cs="Tahoma"/>
          <w:color w:val="000000"/>
          <w:lang w:val="pt-BR"/>
        </w:rPr>
        <w:t>CAL dos Serviços de Gerenciamento de Direitos do Windows Server™ 2008</w:t>
      </w:r>
    </w:p>
    <w:p w:rsidR="008B1196" w:rsidRPr="00EB4D74" w:rsidRDefault="008B1196" w:rsidP="008B1196">
      <w:pPr>
        <w:rPr>
          <w:rFonts w:cs="Tahoma"/>
        </w:rPr>
      </w:pPr>
      <w:r w:rsidRPr="00EB4D74">
        <w:rPr>
          <w:rFonts w:cs="Tahoma"/>
          <w:color w:val="000000"/>
          <w:lang w:val="pt-BR"/>
        </w:rPr>
        <w:t>External Connector dos Serviços de Gerenciamento de Direitos do Windows Server™ 2008</w:t>
      </w:r>
    </w:p>
    <w:p w:rsidR="008B1196" w:rsidRPr="00EB4D74" w:rsidRDefault="008B1196" w:rsidP="008B1196">
      <w:pPr>
        <w:rPr>
          <w:rFonts w:cs="Tahoma"/>
        </w:rPr>
      </w:pPr>
      <w:r w:rsidRPr="00EB4D74">
        <w:rPr>
          <w:rFonts w:cs="Tahoma"/>
          <w:color w:val="000000"/>
          <w:lang w:val="pt-BR"/>
        </w:rPr>
        <w:t>Windows Web Server 2008 R2</w:t>
      </w:r>
    </w:p>
    <w:p w:rsidR="008B1196" w:rsidRPr="00EB4D74" w:rsidRDefault="008B1196" w:rsidP="008B1196">
      <w:pPr>
        <w:rPr>
          <w:rFonts w:cs="Tahoma"/>
        </w:rPr>
      </w:pPr>
      <w:r w:rsidRPr="00EB4D74">
        <w:rPr>
          <w:rFonts w:cs="Tahoma"/>
          <w:color w:val="000000"/>
          <w:lang w:val="pt-BR"/>
        </w:rPr>
        <w:t>HPC Pack 2008 R2 Enterprise</w:t>
      </w:r>
    </w:p>
    <w:p w:rsidR="008B1196" w:rsidRPr="00EB4D74" w:rsidRDefault="008B1196" w:rsidP="008B1196">
      <w:pPr>
        <w:rPr>
          <w:rFonts w:cs="Tahoma"/>
        </w:rPr>
      </w:pPr>
      <w:r w:rsidRPr="00EB4D74">
        <w:rPr>
          <w:rFonts w:cs="Tahoma"/>
          <w:color w:val="000000"/>
          <w:lang w:val="pt-BR"/>
        </w:rPr>
        <w:t>HPC Pack 2008 R2 para Workstation</w:t>
      </w:r>
    </w:p>
    <w:p w:rsidR="008B1196" w:rsidRPr="00EB4D74" w:rsidRDefault="008B1196" w:rsidP="008B1196">
      <w:pPr>
        <w:rPr>
          <w:rFonts w:cs="Tahoma"/>
        </w:rPr>
      </w:pPr>
      <w:r w:rsidRPr="00EB4D74">
        <w:rPr>
          <w:rFonts w:cs="Tahoma"/>
          <w:color w:val="000000"/>
          <w:lang w:val="pt-BR"/>
        </w:rPr>
        <w:t>Windows HPC Server 2008 R2 Suite</w:t>
      </w:r>
    </w:p>
    <w:p w:rsidR="008B1196" w:rsidRPr="00EB4D74" w:rsidRDefault="008B1196" w:rsidP="008B1196">
      <w:pPr>
        <w:rPr>
          <w:rFonts w:cs="Tahoma"/>
        </w:rPr>
      </w:pPr>
      <w:r w:rsidRPr="00EB4D74">
        <w:rPr>
          <w:rFonts w:cs="Tahoma"/>
          <w:color w:val="000000"/>
          <w:lang w:val="pt-BR"/>
        </w:rPr>
        <w:t>Win Starter 7</w:t>
      </w:r>
    </w:p>
    <w:p w:rsidR="008B1196" w:rsidRPr="00EB4D74" w:rsidRDefault="008B1196" w:rsidP="008B1196">
      <w:pPr>
        <w:rPr>
          <w:rFonts w:cs="Tahoma"/>
        </w:rPr>
      </w:pPr>
      <w:r w:rsidRPr="00EB4D74">
        <w:rPr>
          <w:rFonts w:cs="Tahoma"/>
          <w:color w:val="000000"/>
          <w:lang w:val="pt-BR"/>
        </w:rPr>
        <w:t>Atualização para Win 7 Professional</w:t>
      </w:r>
    </w:p>
    <w:p w:rsidR="008B1196" w:rsidRPr="00EB4D74" w:rsidRDefault="008B1196" w:rsidP="008B1196">
      <w:pPr>
        <w:rPr>
          <w:rFonts w:cs="Tahoma"/>
        </w:rPr>
      </w:pPr>
      <w:r w:rsidRPr="00EB4D74">
        <w:rPr>
          <w:rFonts w:cs="Tahoma"/>
          <w:color w:val="000000"/>
          <w:lang w:val="pt-BR"/>
        </w:rPr>
        <w:lastRenderedPageBreak/>
        <w:t>Windows 7 Professional com MDOP</w:t>
      </w:r>
    </w:p>
    <w:p w:rsidR="008B1196" w:rsidRPr="00EB4D74" w:rsidRDefault="008B1196" w:rsidP="008B1196">
      <w:pPr>
        <w:rPr>
          <w:rFonts w:cs="Tahoma"/>
          <w:b/>
          <w:color w:val="F66400"/>
          <w:szCs w:val="20"/>
        </w:rPr>
      </w:pPr>
    </w:p>
    <w:p w:rsidR="008B1196" w:rsidRPr="00EB4D74" w:rsidRDefault="008B1196" w:rsidP="008B1196">
      <w:pPr>
        <w:rPr>
          <w:rFonts w:cs="Tahoma"/>
          <w:b/>
          <w:color w:val="F66400"/>
          <w:szCs w:val="20"/>
        </w:rPr>
      </w:pPr>
    </w:p>
    <w:p w:rsidR="008B1196" w:rsidRPr="00EB4D74" w:rsidRDefault="008B1196" w:rsidP="008B1196">
      <w:pPr>
        <w:pStyle w:val="Heading2"/>
        <w:ind w:left="0"/>
        <w:jc w:val="both"/>
        <w:rPr>
          <w:rFonts w:ascii="Tahoma" w:hAnsi="Tahoma" w:cs="Tahoma"/>
        </w:rPr>
      </w:pPr>
      <w:bookmarkStart w:id="684" w:name="_Toc336338171"/>
      <w:bookmarkStart w:id="685" w:name="_Toc342914809"/>
      <w:bookmarkEnd w:id="684"/>
      <w:r w:rsidRPr="00EB4D74">
        <w:rPr>
          <w:rFonts w:ascii="Tahoma" w:hAnsi="Tahoma" w:cs="Tahoma"/>
          <w:color w:val="FF6600"/>
          <w:lang w:val="pt-BR"/>
        </w:rPr>
        <w:t>ALTERAÇÕES EM AGOSTO DE 2012</w:t>
      </w:r>
      <w:bookmarkEnd w:id="685"/>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lang w:val="pt-BR"/>
        </w:rPr>
        <w:t>MapPoint</w:t>
      </w:r>
      <w:r w:rsidRPr="00EB4D74">
        <w:rPr>
          <w:rFonts w:cs="Tahoma"/>
          <w:vertAlign w:val="superscript"/>
          <w:lang w:val="pt-BR"/>
        </w:rPr>
        <w:t>®</w:t>
      </w:r>
      <w:r w:rsidRPr="00EB4D74">
        <w:rPr>
          <w:rFonts w:cs="Tahoma"/>
          <w:lang w:val="pt-BR"/>
        </w:rPr>
        <w:t xml:space="preserve"> Fleet Edition 2013</w:t>
      </w:r>
    </w:p>
    <w:p w:rsidR="008B1196" w:rsidRPr="00EB4D74" w:rsidRDefault="008B1196" w:rsidP="008B1196">
      <w:pPr>
        <w:rPr>
          <w:rFonts w:cs="Tahoma"/>
        </w:rPr>
      </w:pPr>
      <w:r w:rsidRPr="00EB4D74">
        <w:rPr>
          <w:rFonts w:cs="Tahoma"/>
          <w:lang w:val="pt-BR"/>
        </w:rPr>
        <w:t>MapPoint</w:t>
      </w:r>
      <w:r w:rsidRPr="00EB4D74">
        <w:rPr>
          <w:rFonts w:cs="Tahoma"/>
          <w:vertAlign w:val="superscript"/>
          <w:lang w:val="pt-BR"/>
        </w:rPr>
        <w:t>®</w:t>
      </w:r>
      <w:r w:rsidRPr="00EB4D74">
        <w:rPr>
          <w:rFonts w:cs="Tahoma"/>
          <w:lang w:val="pt-BR"/>
        </w:rPr>
        <w:t xml:space="preserve"> 2013 para Windows</w:t>
      </w:r>
    </w:p>
    <w:p w:rsidR="008B1196" w:rsidRPr="00EB4D74" w:rsidRDefault="008B1196" w:rsidP="008B1196">
      <w:pPr>
        <w:rPr>
          <w:rFonts w:cs="Tahoma"/>
        </w:rPr>
      </w:pPr>
      <w:r w:rsidRPr="00EB4D74">
        <w:rPr>
          <w:rFonts w:cs="Tahoma"/>
          <w:lang w:val="pt-BR"/>
        </w:rPr>
        <w:t>API do Tradutor da Microsoft</w:t>
      </w:r>
    </w:p>
    <w:p w:rsidR="008B1196" w:rsidRPr="00EB4D74" w:rsidRDefault="008B1196" w:rsidP="008B1196">
      <w:pPr>
        <w:rPr>
          <w:rFonts w:cs="Tahoma"/>
        </w:rPr>
      </w:pPr>
      <w:r w:rsidRPr="00EB4D74">
        <w:rPr>
          <w:rFonts w:cs="Tahoma"/>
          <w:lang w:val="pt-BR"/>
        </w:rPr>
        <w:t>Office 365 Plano G1-G4</w:t>
      </w:r>
    </w:p>
    <w:p w:rsidR="008B1196" w:rsidRPr="00EB4D74" w:rsidRDefault="008B1196" w:rsidP="008B1196">
      <w:pPr>
        <w:rPr>
          <w:rFonts w:cs="Tahoma"/>
        </w:rPr>
      </w:pPr>
      <w:r w:rsidRPr="00EB4D74">
        <w:rPr>
          <w:rFonts w:cs="Tahoma"/>
          <w:lang w:val="pt-BR"/>
        </w:rPr>
        <w:t>Streets and Trips 2013</w:t>
      </w:r>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Promoções</w:t>
      </w:r>
    </w:p>
    <w:p w:rsidR="008B1196" w:rsidRPr="00EB4D74" w:rsidRDefault="008B1196" w:rsidP="008B1196">
      <w:pPr>
        <w:rPr>
          <w:rFonts w:cs="Tahoma"/>
        </w:rPr>
      </w:pPr>
      <w:r w:rsidRPr="00EB4D74">
        <w:rPr>
          <w:rFonts w:cs="Tahoma"/>
          <w:color w:val="000000"/>
          <w:lang w:val="pt-BR"/>
        </w:rPr>
        <w:t>Não há adições, exclusões nem términos de promoções.</w:t>
      </w:r>
    </w:p>
    <w:p w:rsidR="008B1196" w:rsidRPr="00EB4D74" w:rsidRDefault="008B1196" w:rsidP="008B1196">
      <w:pPr>
        <w:rPr>
          <w:rFonts w:cs="Tahoma"/>
        </w:rPr>
      </w:pPr>
      <w:r w:rsidRPr="00EB4D74">
        <w:rPr>
          <w:rFonts w:cs="Tahoma"/>
          <w:szCs w:val="18"/>
        </w:rPr>
        <w:br/>
      </w:r>
      <w:r w:rsidRPr="00EB4D74">
        <w:rPr>
          <w:rFonts w:cs="Tahoma"/>
          <w:b/>
          <w:lang w:val="pt-BR"/>
        </w:rPr>
        <w:t>Exclusões</w:t>
      </w:r>
    </w:p>
    <w:p w:rsidR="008B1196" w:rsidRPr="00EB4D74" w:rsidRDefault="008B1196" w:rsidP="008B1196">
      <w:pPr>
        <w:rPr>
          <w:rFonts w:cs="Tahoma"/>
        </w:rPr>
      </w:pPr>
      <w:r w:rsidRPr="00EB4D74">
        <w:rPr>
          <w:rFonts w:cs="Tahoma"/>
          <w:lang w:val="pt-BR"/>
        </w:rPr>
        <w:t>MapPoint</w:t>
      </w:r>
      <w:r w:rsidRPr="00EB4D74">
        <w:rPr>
          <w:rFonts w:cs="Tahoma"/>
          <w:vertAlign w:val="superscript"/>
          <w:lang w:val="pt-BR"/>
        </w:rPr>
        <w:t>®</w:t>
      </w:r>
      <w:r w:rsidRPr="00EB4D74">
        <w:rPr>
          <w:rFonts w:cs="Tahoma"/>
          <w:lang w:val="pt-BR"/>
        </w:rPr>
        <w:t xml:space="preserve"> Fleet Edition 2011</w:t>
      </w:r>
    </w:p>
    <w:p w:rsidR="008B1196" w:rsidRPr="00EB4D74" w:rsidRDefault="008B1196" w:rsidP="008B1196">
      <w:pPr>
        <w:rPr>
          <w:rFonts w:cs="Tahoma"/>
        </w:rPr>
      </w:pPr>
      <w:r w:rsidRPr="00EB4D74">
        <w:rPr>
          <w:rFonts w:cs="Tahoma"/>
          <w:lang w:val="pt-BR"/>
        </w:rPr>
        <w:t>MapPoint</w:t>
      </w:r>
      <w:r w:rsidRPr="00EB4D74">
        <w:rPr>
          <w:rFonts w:cs="Tahoma"/>
          <w:vertAlign w:val="superscript"/>
          <w:lang w:val="pt-BR"/>
        </w:rPr>
        <w:t>®</w:t>
      </w:r>
      <w:r w:rsidRPr="00EB4D74">
        <w:rPr>
          <w:rFonts w:cs="Tahoma"/>
          <w:lang w:val="pt-BR"/>
        </w:rPr>
        <w:t xml:space="preserve"> 2011 para Windows</w:t>
      </w:r>
    </w:p>
    <w:p w:rsidR="008B1196" w:rsidRPr="00EB4D74" w:rsidRDefault="008B1196" w:rsidP="008B1196">
      <w:pPr>
        <w:rPr>
          <w:rFonts w:cs="Tahoma"/>
        </w:rPr>
      </w:pPr>
      <w:r w:rsidRPr="00EB4D74">
        <w:rPr>
          <w:rFonts w:cs="Tahoma"/>
          <w:lang w:val="pt-BR"/>
        </w:rPr>
        <w:t>Streets and Trips 2011</w:t>
      </w:r>
    </w:p>
    <w:p w:rsidR="008B1196" w:rsidRPr="00EB4D74" w:rsidRDefault="008B1196" w:rsidP="008B1196">
      <w:pPr>
        <w:ind w:right="720"/>
        <w:rPr>
          <w:rFonts w:cs="Tahoma"/>
          <w:b/>
          <w:color w:val="000000"/>
          <w:szCs w:val="20"/>
        </w:rPr>
      </w:pPr>
    </w:p>
    <w:p w:rsidR="008B1196" w:rsidRPr="00EB4D74" w:rsidRDefault="008B1196" w:rsidP="008B1196">
      <w:pPr>
        <w:ind w:right="720"/>
        <w:rPr>
          <w:rFonts w:cs="Tahoma"/>
          <w:b/>
          <w:color w:val="000000"/>
          <w:szCs w:val="20"/>
        </w:rPr>
      </w:pPr>
    </w:p>
    <w:p w:rsidR="008B1196" w:rsidRPr="00EB4D74" w:rsidRDefault="008B1196" w:rsidP="008B1196">
      <w:pPr>
        <w:pStyle w:val="Heading2"/>
        <w:ind w:left="0"/>
        <w:jc w:val="both"/>
        <w:rPr>
          <w:rFonts w:ascii="Tahoma" w:hAnsi="Tahoma" w:cs="Tahoma"/>
        </w:rPr>
      </w:pPr>
      <w:bookmarkStart w:id="686" w:name="_Toc336338172"/>
      <w:bookmarkStart w:id="687" w:name="_Toc342914810"/>
      <w:bookmarkEnd w:id="686"/>
      <w:r w:rsidRPr="00EB4D74">
        <w:rPr>
          <w:rFonts w:ascii="Tahoma" w:hAnsi="Tahoma" w:cs="Tahoma"/>
          <w:color w:val="FF6600"/>
          <w:lang w:val="pt-BR"/>
        </w:rPr>
        <w:t>ALTERAÇÕES EM JULHO DE 2012</w:t>
      </w:r>
      <w:bookmarkEnd w:id="687"/>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lang w:val="pt-BR"/>
        </w:rPr>
        <w:t>Lync Online Plano 3</w:t>
      </w:r>
    </w:p>
    <w:p w:rsidR="008B1196" w:rsidRPr="00EB4D74" w:rsidRDefault="008B1196" w:rsidP="008B1196">
      <w:pPr>
        <w:rPr>
          <w:rFonts w:cs="Tahoma"/>
        </w:rPr>
      </w:pPr>
      <w:r w:rsidRPr="00EB4D74">
        <w:rPr>
          <w:rFonts w:cs="Tahoma"/>
          <w:lang w:val="pt-BR"/>
        </w:rPr>
        <w:t>Lync Online Plano 3A</w:t>
      </w:r>
    </w:p>
    <w:p w:rsidR="008B1196" w:rsidRPr="00EB4D74" w:rsidRDefault="008B1196" w:rsidP="008B1196">
      <w:pPr>
        <w:rPr>
          <w:rFonts w:cs="Tahoma"/>
        </w:rPr>
      </w:pPr>
      <w:r w:rsidRPr="00EB4D74">
        <w:rPr>
          <w:rFonts w:cs="Tahoma"/>
          <w:lang w:val="pt-BR"/>
        </w:rPr>
        <w:t>Aplicativos da Web do Office com SharePoint Plano 2A</w:t>
      </w:r>
    </w:p>
    <w:p w:rsidR="008B1196" w:rsidRPr="00EB4D74" w:rsidRDefault="008B1196" w:rsidP="008B1196">
      <w:pPr>
        <w:rPr>
          <w:rFonts w:cs="Tahoma"/>
        </w:rPr>
      </w:pPr>
      <w:r w:rsidRPr="00EB4D74">
        <w:rPr>
          <w:rFonts w:cs="Tahoma"/>
          <w:lang w:val="pt-BR"/>
        </w:rPr>
        <w:t>Learning Solutions IT Academy (SL de Usuário)</w:t>
      </w:r>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Promoções</w:t>
      </w:r>
    </w:p>
    <w:p w:rsidR="008B1196" w:rsidRPr="00EB4D74" w:rsidRDefault="008B1196" w:rsidP="008B1196">
      <w:pPr>
        <w:rPr>
          <w:rFonts w:cs="Tahoma"/>
        </w:rPr>
      </w:pPr>
      <w:bookmarkStart w:id="688" w:name="_Toc325609137"/>
      <w:bookmarkEnd w:id="688"/>
      <w:r w:rsidRPr="00EB4D74">
        <w:rPr>
          <w:rFonts w:cs="Tahoma"/>
          <w:color w:val="000000"/>
          <w:lang w:val="pt-BR"/>
        </w:rPr>
        <w:t>Não há adições, exclusões nem términos de promoções.</w:t>
      </w:r>
    </w:p>
    <w:p w:rsidR="008B1196" w:rsidRPr="00EB4D74" w:rsidRDefault="008B1196" w:rsidP="008B1196">
      <w:pPr>
        <w:rPr>
          <w:rFonts w:cs="Tahoma"/>
        </w:rPr>
      </w:pPr>
      <w:r w:rsidRPr="00EB4D74">
        <w:rPr>
          <w:rFonts w:cs="Tahoma"/>
          <w:szCs w:val="18"/>
        </w:rPr>
        <w:br/>
      </w:r>
      <w:r w:rsidRPr="00EB4D74">
        <w:rPr>
          <w:rFonts w:cs="Tahoma"/>
          <w:b/>
          <w:lang w:val="pt-BR"/>
        </w:rPr>
        <w:t>Exclusões</w:t>
      </w:r>
    </w:p>
    <w:p w:rsidR="008B1196" w:rsidRPr="00EB4D74" w:rsidRDefault="008B1196" w:rsidP="008B1196">
      <w:pPr>
        <w:rPr>
          <w:rFonts w:cs="Tahoma"/>
        </w:rPr>
      </w:pPr>
      <w:r w:rsidRPr="00EB4D74">
        <w:rPr>
          <w:rFonts w:cs="Tahoma"/>
          <w:color w:val="000000"/>
          <w:lang w:val="pt-BR"/>
        </w:rPr>
        <w:t>Não houve exclusões de produtos.</w:t>
      </w:r>
    </w:p>
    <w:p w:rsidR="008B1196" w:rsidRPr="00EB4D74" w:rsidRDefault="008B1196" w:rsidP="008B1196">
      <w:pPr>
        <w:rPr>
          <w:rFonts w:cs="Tahoma"/>
        </w:rPr>
      </w:pPr>
    </w:p>
    <w:p w:rsidR="008B1196" w:rsidRPr="002711AF" w:rsidRDefault="008B1196" w:rsidP="008B1196">
      <w:pPr>
        <w:rPr>
          <w:rFonts w:cs="Tahoma"/>
          <w:b/>
          <w:lang w:val="pt-BR"/>
        </w:rPr>
      </w:pPr>
      <w:r w:rsidRPr="002711AF">
        <w:rPr>
          <w:rFonts w:cs="Tahoma"/>
          <w:b/>
          <w:lang w:val="pt-BR"/>
        </w:rPr>
        <w:t>Outras Alterações</w:t>
      </w:r>
    </w:p>
    <w:p w:rsidR="008B1196" w:rsidRPr="00EB4D74" w:rsidRDefault="008B1196" w:rsidP="008B1196">
      <w:pPr>
        <w:rPr>
          <w:rFonts w:cs="Tahoma"/>
        </w:rPr>
      </w:pPr>
      <w:r w:rsidRPr="00EB4D74">
        <w:rPr>
          <w:rFonts w:cs="Tahoma"/>
          <w:color w:val="000000"/>
          <w:lang w:val="pt-BR"/>
        </w:rPr>
        <w:t>As Seções 3 a 5 foram reorganizadas nas Seções 3 a 9 para melhorias de uso.</w:t>
      </w:r>
    </w:p>
    <w:p w:rsidR="008B1196" w:rsidRPr="00EB4D74" w:rsidRDefault="008B1196" w:rsidP="008B1196">
      <w:pPr>
        <w:ind w:right="720"/>
        <w:rPr>
          <w:rFonts w:cs="Tahoma"/>
        </w:rPr>
      </w:pPr>
    </w:p>
    <w:p w:rsidR="008B1196" w:rsidRPr="00EB4D74" w:rsidRDefault="008B1196" w:rsidP="008B1196">
      <w:pPr>
        <w:ind w:right="720"/>
        <w:rPr>
          <w:rFonts w:cs="Tahoma"/>
          <w:b/>
          <w:color w:val="000000"/>
          <w:szCs w:val="20"/>
        </w:rPr>
      </w:pPr>
    </w:p>
    <w:p w:rsidR="008B1196" w:rsidRPr="00EB4D74" w:rsidRDefault="008B1196" w:rsidP="008B1196">
      <w:pPr>
        <w:pStyle w:val="Heading2"/>
        <w:ind w:left="0"/>
        <w:jc w:val="both"/>
        <w:rPr>
          <w:rFonts w:ascii="Tahoma" w:hAnsi="Tahoma" w:cs="Tahoma"/>
        </w:rPr>
      </w:pPr>
      <w:bookmarkStart w:id="689" w:name="_Toc336338173"/>
      <w:bookmarkStart w:id="690" w:name="_Toc342914811"/>
      <w:bookmarkEnd w:id="689"/>
      <w:r w:rsidRPr="00EB4D74">
        <w:rPr>
          <w:rFonts w:ascii="Tahoma" w:hAnsi="Tahoma" w:cs="Tahoma"/>
          <w:color w:val="FF6600"/>
          <w:lang w:val="pt-BR"/>
        </w:rPr>
        <w:t>ALTERAÇÕES EM JUNHO DE 2012</w:t>
      </w:r>
      <w:bookmarkEnd w:id="690"/>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lang w:val="pt-BR"/>
        </w:rPr>
        <w:t>Dynamics CRM Mobile (Online; Por Usuário)</w:t>
      </w:r>
    </w:p>
    <w:p w:rsidR="008B1196" w:rsidRPr="00EB4D74" w:rsidRDefault="008B1196" w:rsidP="008B1196">
      <w:pPr>
        <w:rPr>
          <w:rFonts w:cs="Tahoma"/>
        </w:rPr>
      </w:pPr>
      <w:r w:rsidRPr="00EB4D74">
        <w:rPr>
          <w:rFonts w:cs="Tahoma"/>
          <w:lang w:val="pt-BR"/>
        </w:rPr>
        <w:t>Dynamics CRM Onprem Mobile</w:t>
      </w:r>
    </w:p>
    <w:p w:rsidR="008B1196" w:rsidRPr="00EB4D74" w:rsidRDefault="008B1196" w:rsidP="008B1196">
      <w:pPr>
        <w:rPr>
          <w:rFonts w:cs="Tahoma"/>
        </w:rPr>
      </w:pPr>
      <w:r w:rsidRPr="00EB4D74">
        <w:rPr>
          <w:rFonts w:cs="Tahoma"/>
          <w:color w:val="000000"/>
          <w:lang w:val="pt-BR"/>
        </w:rPr>
        <w:t>Servidor A (SL de Usuário)</w:t>
      </w:r>
    </w:p>
    <w:p w:rsidR="008B1196" w:rsidRPr="00EB4D74" w:rsidRDefault="008B1196" w:rsidP="008B1196">
      <w:pPr>
        <w:rPr>
          <w:rFonts w:cs="Tahoma"/>
        </w:rPr>
      </w:pPr>
      <w:r w:rsidRPr="00EB4D74">
        <w:rPr>
          <w:rFonts w:cs="Tahoma"/>
          <w:color w:val="000000"/>
          <w:lang w:val="pt-BR"/>
        </w:rPr>
        <w:t>Exchange Online Plan 1A para Alunos</w:t>
      </w:r>
    </w:p>
    <w:p w:rsidR="008B1196" w:rsidRPr="00EB4D74" w:rsidRDefault="008B1196" w:rsidP="008B1196">
      <w:pPr>
        <w:rPr>
          <w:rFonts w:cs="Tahoma"/>
        </w:rPr>
      </w:pPr>
      <w:r w:rsidRPr="00EB4D74">
        <w:rPr>
          <w:rFonts w:cs="Tahoma"/>
          <w:color w:val="000000"/>
          <w:lang w:val="pt-BR"/>
        </w:rPr>
        <w:t>Exchange Online Plano 2A</w:t>
      </w:r>
    </w:p>
    <w:p w:rsidR="008B1196" w:rsidRPr="00EB4D74" w:rsidRDefault="008B1196" w:rsidP="008B1196">
      <w:pPr>
        <w:rPr>
          <w:rFonts w:cs="Tahoma"/>
        </w:rPr>
      </w:pPr>
      <w:r w:rsidRPr="00EB4D74">
        <w:rPr>
          <w:rFonts w:cs="Tahoma"/>
          <w:color w:val="000000"/>
          <w:lang w:val="pt-BR"/>
        </w:rPr>
        <w:t>CAL do Forefront Identity Manager 2010 R2 (Somente usuário)</w:t>
      </w:r>
    </w:p>
    <w:p w:rsidR="008B1196" w:rsidRPr="00EB4D74" w:rsidRDefault="008B1196" w:rsidP="008B1196">
      <w:pPr>
        <w:rPr>
          <w:rFonts w:cs="Tahoma"/>
        </w:rPr>
      </w:pPr>
      <w:r w:rsidRPr="00EB4D74">
        <w:rPr>
          <w:rFonts w:cs="Tahoma"/>
          <w:color w:val="000000"/>
          <w:lang w:val="pt-BR"/>
        </w:rPr>
        <w:t>Forefront Identity Manager 2010 R2 External Connector</w:t>
      </w:r>
    </w:p>
    <w:p w:rsidR="008B1196" w:rsidRPr="00EB4D74" w:rsidRDefault="008B1196" w:rsidP="008B1196">
      <w:pPr>
        <w:rPr>
          <w:rFonts w:cs="Tahoma"/>
        </w:rPr>
      </w:pPr>
      <w:r w:rsidRPr="00EB4D74">
        <w:rPr>
          <w:rFonts w:cs="Tahoma"/>
          <w:color w:val="000000"/>
          <w:lang w:val="pt-BR"/>
        </w:rPr>
        <w:t>Forefront Identity Manager 2010 R2 Server</w:t>
      </w:r>
    </w:p>
    <w:p w:rsidR="008B1196" w:rsidRPr="00EB4D74" w:rsidRDefault="008B1196" w:rsidP="008B1196">
      <w:pPr>
        <w:rPr>
          <w:rFonts w:cs="Tahoma"/>
        </w:rPr>
      </w:pPr>
      <w:r w:rsidRPr="00EB4D74">
        <w:rPr>
          <w:rFonts w:cs="Tahoma"/>
          <w:color w:val="000000"/>
          <w:lang w:val="pt-BR"/>
        </w:rPr>
        <w:t>Forefront Identity Manager 2010 R2 – Windows Live Edition</w:t>
      </w:r>
    </w:p>
    <w:p w:rsidR="008B1196" w:rsidRPr="00EB4D74" w:rsidRDefault="008B1196" w:rsidP="008B1196">
      <w:pPr>
        <w:rPr>
          <w:rFonts w:cs="Tahoma"/>
        </w:rPr>
      </w:pPr>
      <w:r w:rsidRPr="00EB4D74">
        <w:rPr>
          <w:rFonts w:cs="Tahoma"/>
          <w:color w:val="000000"/>
          <w:lang w:val="pt-BR"/>
        </w:rPr>
        <w:t>Office 365 A2-A4 (SL de Usuário)</w:t>
      </w:r>
    </w:p>
    <w:p w:rsidR="008B1196" w:rsidRPr="00EB4D74" w:rsidRDefault="008B1196" w:rsidP="008B1196">
      <w:pPr>
        <w:rPr>
          <w:rFonts w:cs="Tahoma"/>
        </w:rPr>
      </w:pPr>
      <w:r w:rsidRPr="00EB4D74">
        <w:rPr>
          <w:rFonts w:cs="Tahoma"/>
          <w:color w:val="000000"/>
          <w:lang w:val="pt-BR"/>
        </w:rPr>
        <w:t>Assinatura A do Office Professional Plus (SL de Usuário)</w:t>
      </w:r>
    </w:p>
    <w:p w:rsidR="008B1196" w:rsidRPr="00EB4D74" w:rsidRDefault="008B1196" w:rsidP="008B1196">
      <w:pPr>
        <w:rPr>
          <w:rFonts w:cs="Tahoma"/>
        </w:rPr>
      </w:pPr>
      <w:r w:rsidRPr="00EB4D74">
        <w:rPr>
          <w:rFonts w:cs="Tahoma"/>
          <w:color w:val="000000"/>
          <w:lang w:val="pt-BR"/>
        </w:rPr>
        <w:t>Aplicativos da Web do Office A (SL do Usuário)</w:t>
      </w:r>
    </w:p>
    <w:p w:rsidR="008B1196" w:rsidRPr="00EB4D74" w:rsidRDefault="008B1196" w:rsidP="008B1196">
      <w:pPr>
        <w:rPr>
          <w:rFonts w:cs="Tahoma"/>
        </w:rPr>
      </w:pPr>
      <w:r w:rsidRPr="00EB4D74">
        <w:rPr>
          <w:rFonts w:cs="Tahoma"/>
          <w:color w:val="000000"/>
          <w:lang w:val="pt-BR"/>
        </w:rPr>
        <w:t>Armazenamento Extra do SharePoint™ Online de A 1 GB (SL Complementar)</w:t>
      </w:r>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Promoções</w:t>
      </w:r>
    </w:p>
    <w:p w:rsidR="008B1196" w:rsidRPr="00EB4D74" w:rsidRDefault="008B1196" w:rsidP="008B1196">
      <w:pPr>
        <w:rPr>
          <w:rFonts w:cs="Tahoma"/>
        </w:rPr>
      </w:pPr>
      <w:bookmarkStart w:id="691" w:name="_Toc323034103"/>
      <w:bookmarkStart w:id="692" w:name="_Toc325609139"/>
      <w:bookmarkStart w:id="693" w:name="_Toc328145933"/>
      <w:bookmarkEnd w:id="691"/>
      <w:bookmarkEnd w:id="692"/>
      <w:bookmarkEnd w:id="693"/>
      <w:r w:rsidRPr="00EB4D74">
        <w:rPr>
          <w:rFonts w:cs="Tahoma"/>
          <w:color w:val="000000"/>
          <w:lang w:val="pt-BR"/>
        </w:rPr>
        <w:t>Não há adições, exclusões nem términos de promoções.</w:t>
      </w:r>
    </w:p>
    <w:p w:rsidR="008B1196" w:rsidRPr="00EB4D74" w:rsidRDefault="008B1196" w:rsidP="008B1196">
      <w:pPr>
        <w:rPr>
          <w:rFonts w:cs="Tahoma"/>
        </w:rPr>
      </w:pPr>
      <w:r w:rsidRPr="00EB4D74">
        <w:rPr>
          <w:rFonts w:cs="Tahoma"/>
          <w:szCs w:val="18"/>
        </w:rPr>
        <w:lastRenderedPageBreak/>
        <w:br/>
      </w:r>
      <w:r w:rsidRPr="00EB4D74">
        <w:rPr>
          <w:rFonts w:cs="Tahoma"/>
          <w:b/>
          <w:lang w:val="pt-BR"/>
        </w:rPr>
        <w:t>Exclusões</w:t>
      </w:r>
    </w:p>
    <w:p w:rsidR="008B1196" w:rsidRPr="00EB4D74" w:rsidRDefault="008B1196" w:rsidP="008B1196">
      <w:pPr>
        <w:rPr>
          <w:rFonts w:cs="Tahoma"/>
        </w:rPr>
      </w:pPr>
      <w:r w:rsidRPr="00EB4D74">
        <w:rPr>
          <w:rFonts w:cs="Tahoma"/>
          <w:color w:val="000000"/>
          <w:lang w:val="pt-BR"/>
        </w:rPr>
        <w:t>CAL do Forefront Identity Manager 2010 (Somente Usuário)</w:t>
      </w:r>
    </w:p>
    <w:p w:rsidR="008B1196" w:rsidRPr="00EB4D74" w:rsidRDefault="008B1196" w:rsidP="008B1196">
      <w:pPr>
        <w:rPr>
          <w:rFonts w:cs="Tahoma"/>
        </w:rPr>
      </w:pPr>
      <w:r w:rsidRPr="00EB4D74">
        <w:rPr>
          <w:rFonts w:cs="Tahoma"/>
          <w:color w:val="000000"/>
          <w:lang w:val="pt-BR"/>
        </w:rPr>
        <w:t>External Connector do Forefront Identity Manager 2010</w:t>
      </w:r>
    </w:p>
    <w:p w:rsidR="008B1196" w:rsidRPr="00EB4D74" w:rsidRDefault="008B1196" w:rsidP="008B1196">
      <w:pPr>
        <w:rPr>
          <w:rFonts w:cs="Tahoma"/>
        </w:rPr>
      </w:pPr>
      <w:r w:rsidRPr="00EB4D74">
        <w:rPr>
          <w:rFonts w:cs="Tahoma"/>
          <w:color w:val="000000"/>
          <w:lang w:val="pt-BR"/>
        </w:rPr>
        <w:t>Forefront Identity Manager 2010 Server</w:t>
      </w:r>
    </w:p>
    <w:p w:rsidR="008B1196" w:rsidRPr="00EB4D74" w:rsidRDefault="008B1196" w:rsidP="008B1196">
      <w:pPr>
        <w:rPr>
          <w:rFonts w:cs="Tahoma"/>
        </w:rPr>
      </w:pPr>
      <w:r w:rsidRPr="00EB4D74">
        <w:rPr>
          <w:rFonts w:cs="Tahoma"/>
          <w:color w:val="000000"/>
          <w:lang w:val="pt-BR"/>
        </w:rPr>
        <w:t>Forefront Identity Manager 2010 – Windows Live Edition</w:t>
      </w:r>
    </w:p>
    <w:p w:rsidR="008B1196" w:rsidRPr="00EB4D74" w:rsidRDefault="008B1196" w:rsidP="008B1196">
      <w:pPr>
        <w:ind w:right="720"/>
        <w:rPr>
          <w:rFonts w:cs="Tahoma"/>
          <w:b/>
          <w:color w:val="000000"/>
          <w:szCs w:val="20"/>
        </w:rPr>
      </w:pPr>
    </w:p>
    <w:p w:rsidR="008B1196" w:rsidRPr="00EB4D74" w:rsidRDefault="008B1196" w:rsidP="008B1196">
      <w:pPr>
        <w:ind w:right="720"/>
        <w:rPr>
          <w:rFonts w:cs="Tahoma"/>
          <w:b/>
          <w:color w:val="000000"/>
          <w:szCs w:val="20"/>
        </w:rPr>
      </w:pPr>
    </w:p>
    <w:p w:rsidR="008B1196" w:rsidRPr="00EB4D74" w:rsidRDefault="008B1196" w:rsidP="008B1196">
      <w:pPr>
        <w:pStyle w:val="Heading2"/>
        <w:ind w:left="0"/>
        <w:jc w:val="both"/>
        <w:rPr>
          <w:rFonts w:ascii="Tahoma" w:hAnsi="Tahoma" w:cs="Tahoma"/>
        </w:rPr>
      </w:pPr>
      <w:bookmarkStart w:id="694" w:name="_Toc336338174"/>
      <w:bookmarkStart w:id="695" w:name="_Toc342914812"/>
      <w:bookmarkEnd w:id="694"/>
      <w:r w:rsidRPr="00EB4D74">
        <w:rPr>
          <w:rFonts w:ascii="Tahoma" w:hAnsi="Tahoma" w:cs="Tahoma"/>
          <w:color w:val="FF6600"/>
          <w:lang w:val="pt-BR"/>
        </w:rPr>
        <w:t>ALTERAÇÕES EM MAIO DE 2012</w:t>
      </w:r>
      <w:bookmarkEnd w:id="695"/>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lang w:val="pt-BR"/>
        </w:rPr>
        <w:t>Não houve adições de produtos.</w:t>
      </w:r>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Promoções</w:t>
      </w:r>
    </w:p>
    <w:p w:rsidR="008B1196" w:rsidRPr="00EB4D74" w:rsidRDefault="008B1196" w:rsidP="008B1196">
      <w:pPr>
        <w:rPr>
          <w:rFonts w:cs="Tahoma"/>
        </w:rPr>
      </w:pPr>
      <w:r w:rsidRPr="00EB4D74">
        <w:rPr>
          <w:rFonts w:cs="Tahoma"/>
          <w:color w:val="000000"/>
          <w:lang w:val="pt-BR"/>
        </w:rPr>
        <w:t>Exchange Server Standared Promotion</w:t>
      </w:r>
    </w:p>
    <w:p w:rsidR="008B1196" w:rsidRPr="00EB4D74" w:rsidRDefault="008B1196" w:rsidP="008B1196">
      <w:pPr>
        <w:rPr>
          <w:rFonts w:cs="Tahoma"/>
        </w:rPr>
      </w:pPr>
      <w:bookmarkStart w:id="696" w:name="_Toc323034105"/>
      <w:bookmarkStart w:id="697" w:name="_Toc325609141"/>
      <w:bookmarkStart w:id="698" w:name="_Toc328145935"/>
      <w:bookmarkEnd w:id="696"/>
      <w:bookmarkEnd w:id="697"/>
      <w:bookmarkEnd w:id="698"/>
      <w:r w:rsidRPr="00EB4D74">
        <w:rPr>
          <w:rFonts w:cs="Tahoma"/>
          <w:color w:val="000000"/>
          <w:lang w:val="pt-BR"/>
        </w:rPr>
        <w:t>Promoção de Atualização do Open Value Subscription Education Solution N-2</w:t>
      </w:r>
    </w:p>
    <w:p w:rsidR="008B1196" w:rsidRPr="00EB4D74" w:rsidRDefault="008B1196" w:rsidP="008B1196">
      <w:pPr>
        <w:rPr>
          <w:rFonts w:cs="Tahoma"/>
        </w:rPr>
      </w:pPr>
      <w:r w:rsidRPr="00EB4D74">
        <w:rPr>
          <w:rFonts w:cs="Tahoma"/>
          <w:szCs w:val="18"/>
        </w:rPr>
        <w:br/>
      </w:r>
      <w:r w:rsidRPr="00EB4D74">
        <w:rPr>
          <w:rFonts w:cs="Tahoma"/>
          <w:b/>
          <w:lang w:val="pt-BR"/>
        </w:rPr>
        <w:t>Exclusões</w:t>
      </w:r>
    </w:p>
    <w:p w:rsidR="008B1196" w:rsidRPr="00EB4D74" w:rsidRDefault="008B1196" w:rsidP="008B1196">
      <w:pPr>
        <w:rPr>
          <w:rFonts w:cs="Tahoma"/>
        </w:rPr>
      </w:pPr>
      <w:r w:rsidRPr="00EB4D74">
        <w:rPr>
          <w:rFonts w:cs="Tahoma"/>
          <w:color w:val="000000"/>
          <w:lang w:val="pt-BR"/>
        </w:rPr>
        <w:t>Não houve exclusões de produtos.</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jc w:val="both"/>
        <w:rPr>
          <w:rFonts w:ascii="Tahoma" w:hAnsi="Tahoma" w:cs="Tahoma"/>
        </w:rPr>
      </w:pPr>
      <w:bookmarkStart w:id="699" w:name="_Toc336338175"/>
      <w:bookmarkStart w:id="700" w:name="_Toc342914813"/>
      <w:bookmarkEnd w:id="699"/>
      <w:r w:rsidRPr="00EB4D74">
        <w:rPr>
          <w:rFonts w:ascii="Tahoma" w:hAnsi="Tahoma" w:cs="Tahoma"/>
          <w:color w:val="FF6600"/>
          <w:lang w:val="pt-BR"/>
        </w:rPr>
        <w:t>ALTERAÇÕES EM ABRIL DE 2012</w:t>
      </w:r>
      <w:bookmarkEnd w:id="700"/>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color w:val="000000"/>
          <w:lang w:val="pt-BR"/>
        </w:rPr>
        <w:t>SQL Server</w:t>
      </w:r>
      <w:r w:rsidRPr="00EB4D74">
        <w:rPr>
          <w:rFonts w:cs="Tahoma"/>
          <w:color w:val="000000"/>
          <w:vertAlign w:val="superscript"/>
          <w:lang w:val="pt-BR"/>
        </w:rPr>
        <w:t>®</w:t>
      </w:r>
      <w:r w:rsidRPr="00EB4D74">
        <w:rPr>
          <w:rFonts w:cs="Tahoma"/>
          <w:color w:val="000000"/>
          <w:lang w:val="pt-BR"/>
        </w:rPr>
        <w:t xml:space="preserve"> 2012 Business Intelligence</w:t>
      </w:r>
    </w:p>
    <w:p w:rsidR="008B1196" w:rsidRPr="00EB4D74" w:rsidRDefault="008B1196" w:rsidP="008B1196">
      <w:pPr>
        <w:rPr>
          <w:rFonts w:cs="Tahoma"/>
          <w:lang w:val="it-IT"/>
        </w:rPr>
      </w:pPr>
      <w:r w:rsidRPr="00EB4D74">
        <w:rPr>
          <w:rFonts w:cs="Tahoma"/>
          <w:color w:val="000000"/>
          <w:lang w:val="pt-BR"/>
        </w:rPr>
        <w:t>CAL do SQL Server</w:t>
      </w:r>
      <w:r w:rsidRPr="00EB4D74">
        <w:rPr>
          <w:rFonts w:cs="Tahoma"/>
          <w:color w:val="000000"/>
          <w:vertAlign w:val="superscript"/>
          <w:lang w:val="pt-BR"/>
        </w:rPr>
        <w:t>®</w:t>
      </w:r>
      <w:r w:rsidRPr="00EB4D74">
        <w:rPr>
          <w:rFonts w:cs="Tahoma"/>
          <w:color w:val="000000"/>
          <w:lang w:val="pt-BR"/>
        </w:rPr>
        <w:t xml:space="preserve"> 2012 (SL de Dispositivo e Usuário)</w:t>
      </w:r>
    </w:p>
    <w:p w:rsidR="008B1196" w:rsidRPr="00EB4D74" w:rsidRDefault="008B1196" w:rsidP="008B1196">
      <w:pPr>
        <w:rPr>
          <w:rFonts w:cs="Tahoma"/>
        </w:rPr>
      </w:pPr>
      <w:r w:rsidRPr="00EB4D74">
        <w:rPr>
          <w:rFonts w:cs="Tahoma"/>
          <w:color w:val="000000"/>
          <w:lang w:val="pt-BR"/>
        </w:rPr>
        <w:t>SQL Server</w:t>
      </w:r>
      <w:r w:rsidRPr="00EB4D74">
        <w:rPr>
          <w:rFonts w:cs="Tahoma"/>
          <w:color w:val="000000"/>
          <w:vertAlign w:val="superscript"/>
          <w:lang w:val="pt-BR"/>
        </w:rPr>
        <w:t>®</w:t>
      </w:r>
      <w:r w:rsidRPr="00EB4D74">
        <w:rPr>
          <w:rFonts w:cs="Tahoma"/>
          <w:color w:val="000000"/>
          <w:lang w:val="pt-BR"/>
        </w:rPr>
        <w:t xml:space="preserve"> 2012 Developer</w:t>
      </w:r>
    </w:p>
    <w:p w:rsidR="008B1196" w:rsidRPr="00EB4D74" w:rsidRDefault="008B1196" w:rsidP="008B1196">
      <w:pPr>
        <w:rPr>
          <w:rFonts w:cs="Tahoma"/>
        </w:rPr>
      </w:pPr>
      <w:r w:rsidRPr="00EB4D74">
        <w:rPr>
          <w:rFonts w:cs="Tahoma"/>
          <w:color w:val="000000"/>
          <w:lang w:val="pt-BR"/>
        </w:rPr>
        <w:t>SQL Server</w:t>
      </w:r>
      <w:r w:rsidRPr="00EB4D74">
        <w:rPr>
          <w:rFonts w:cs="Tahoma"/>
          <w:color w:val="000000"/>
          <w:vertAlign w:val="superscript"/>
          <w:lang w:val="pt-BR"/>
        </w:rPr>
        <w:t>®</w:t>
      </w:r>
      <w:r w:rsidRPr="00EB4D74">
        <w:rPr>
          <w:rFonts w:cs="Tahoma"/>
          <w:color w:val="000000"/>
          <w:lang w:val="pt-BR"/>
        </w:rPr>
        <w:t xml:space="preserve"> 2012 Enterprise</w:t>
      </w:r>
    </w:p>
    <w:p w:rsidR="008B1196" w:rsidRPr="00EB4D74" w:rsidRDefault="008B1196" w:rsidP="008B1196">
      <w:pPr>
        <w:rPr>
          <w:rFonts w:cs="Tahoma"/>
        </w:rPr>
      </w:pPr>
      <w:r w:rsidRPr="00EB4D74">
        <w:rPr>
          <w:rFonts w:cs="Tahoma"/>
          <w:color w:val="000000"/>
          <w:lang w:val="pt-BR"/>
        </w:rPr>
        <w:t>SQL Server</w:t>
      </w:r>
      <w:r w:rsidRPr="00EB4D74">
        <w:rPr>
          <w:rFonts w:cs="Tahoma"/>
          <w:color w:val="000000"/>
          <w:vertAlign w:val="superscript"/>
          <w:lang w:val="pt-BR"/>
        </w:rPr>
        <w:t>®</w:t>
      </w:r>
      <w:r w:rsidRPr="00EB4D74">
        <w:rPr>
          <w:rFonts w:cs="Tahoma"/>
          <w:color w:val="000000"/>
          <w:lang w:val="pt-BR"/>
        </w:rPr>
        <w:t xml:space="preserve"> 2012 Enterprise Core (duas Licenças Principais de pacote)</w:t>
      </w:r>
    </w:p>
    <w:p w:rsidR="008B1196" w:rsidRPr="00EB4D74" w:rsidRDefault="008B1196" w:rsidP="008B1196">
      <w:pPr>
        <w:rPr>
          <w:rFonts w:cs="Tahoma"/>
        </w:rPr>
      </w:pPr>
      <w:r w:rsidRPr="00EB4D74">
        <w:rPr>
          <w:rFonts w:cs="Tahoma"/>
          <w:color w:val="000000"/>
          <w:lang w:val="pt-BR"/>
        </w:rPr>
        <w:t>SQL Server</w:t>
      </w:r>
      <w:r w:rsidRPr="00EB4D74">
        <w:rPr>
          <w:rFonts w:cs="Tahoma"/>
          <w:color w:val="000000"/>
          <w:vertAlign w:val="superscript"/>
          <w:lang w:val="pt-BR"/>
        </w:rPr>
        <w:t>®</w:t>
      </w:r>
      <w:r w:rsidRPr="00EB4D74">
        <w:rPr>
          <w:rFonts w:cs="Tahoma"/>
          <w:color w:val="000000"/>
          <w:lang w:val="pt-BR"/>
        </w:rPr>
        <w:t xml:space="preserve"> 2012 Standard</w:t>
      </w:r>
    </w:p>
    <w:p w:rsidR="008B1196" w:rsidRPr="00EB4D74" w:rsidRDefault="008B1196" w:rsidP="008B1196">
      <w:pPr>
        <w:rPr>
          <w:rFonts w:cs="Tahoma"/>
        </w:rPr>
      </w:pPr>
      <w:r w:rsidRPr="00EB4D74">
        <w:rPr>
          <w:rFonts w:cs="Tahoma"/>
          <w:color w:val="000000"/>
          <w:lang w:val="pt-BR"/>
        </w:rPr>
        <w:t>SQL Server</w:t>
      </w:r>
      <w:r w:rsidRPr="00EB4D74">
        <w:rPr>
          <w:rFonts w:cs="Tahoma"/>
          <w:color w:val="000000"/>
          <w:vertAlign w:val="superscript"/>
          <w:lang w:val="pt-BR"/>
        </w:rPr>
        <w:t>®</w:t>
      </w:r>
      <w:r w:rsidRPr="00EB4D74">
        <w:rPr>
          <w:rFonts w:cs="Tahoma"/>
          <w:color w:val="000000"/>
          <w:lang w:val="pt-BR"/>
        </w:rPr>
        <w:t xml:space="preserve"> 2012 Standard Core (duas Licenças Principais de pacote)</w:t>
      </w:r>
    </w:p>
    <w:p w:rsidR="008B1196" w:rsidRPr="00EB4D74" w:rsidRDefault="008B1196" w:rsidP="008B1196">
      <w:pPr>
        <w:rPr>
          <w:rFonts w:cs="Tahoma"/>
        </w:rPr>
      </w:pPr>
      <w:r w:rsidRPr="00EB4D74">
        <w:rPr>
          <w:rFonts w:cs="Tahoma"/>
          <w:lang w:val="pt-BR"/>
        </w:rPr>
        <w:t>System Center 2012 Client Management Suite (ML de Cliente) por OSE</w:t>
      </w:r>
    </w:p>
    <w:p w:rsidR="008B1196" w:rsidRPr="00EB4D74" w:rsidRDefault="008B1196" w:rsidP="008B1196">
      <w:pPr>
        <w:rPr>
          <w:rFonts w:cs="Tahoma"/>
        </w:rPr>
      </w:pPr>
      <w:r w:rsidRPr="00EB4D74">
        <w:rPr>
          <w:rFonts w:cs="Tahoma"/>
          <w:lang w:val="pt-BR"/>
        </w:rPr>
        <w:t>System Center 2012 Client Management Suite (ML de Cliente) por Usuário</w:t>
      </w:r>
    </w:p>
    <w:p w:rsidR="008B1196" w:rsidRPr="00EB4D74" w:rsidRDefault="008B1196" w:rsidP="008B1196">
      <w:pPr>
        <w:rPr>
          <w:rFonts w:cs="Tahoma"/>
          <w:lang w:val="it-IT"/>
        </w:rPr>
      </w:pPr>
      <w:r w:rsidRPr="00EB4D74">
        <w:rPr>
          <w:rFonts w:cs="Tahoma"/>
          <w:lang w:val="pt-BR"/>
        </w:rPr>
        <w:t>Licença de Gerenciamento de Cliente (ML de Cliente) do System Center 2012 Configuration Manager (Somente para Aluno)</w:t>
      </w:r>
    </w:p>
    <w:p w:rsidR="008B1196" w:rsidRPr="00EB4D74" w:rsidRDefault="008B1196" w:rsidP="008B1196">
      <w:pPr>
        <w:rPr>
          <w:rFonts w:cs="Tahoma"/>
          <w:lang w:val="it-IT"/>
        </w:rPr>
      </w:pPr>
      <w:r w:rsidRPr="00EB4D74">
        <w:rPr>
          <w:rFonts w:cs="Tahoma"/>
          <w:lang w:val="pt-BR"/>
        </w:rPr>
        <w:t>Licença de Gerenciamento de Cliente do System Center 2012 Configuration Manager por OSE</w:t>
      </w:r>
    </w:p>
    <w:p w:rsidR="008B1196" w:rsidRPr="00EB4D74" w:rsidRDefault="008B1196" w:rsidP="008B1196">
      <w:pPr>
        <w:rPr>
          <w:rFonts w:cs="Tahoma"/>
          <w:lang w:val="it-IT"/>
        </w:rPr>
      </w:pPr>
      <w:r w:rsidRPr="00EB4D74">
        <w:rPr>
          <w:rFonts w:cs="Tahoma"/>
          <w:lang w:val="pt-BR"/>
        </w:rPr>
        <w:t>Licença de Gerenciamento de Cliente do System Center 2012 Configuration Manager por Usuário</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rPr>
          <w:rFonts w:cs="Tahoma"/>
        </w:rPr>
      </w:pPr>
      <w:r w:rsidRPr="00EB4D74">
        <w:rPr>
          <w:rFonts w:cs="Tahoma"/>
          <w:lang w:val="pt-BR"/>
        </w:rPr>
        <w:t>Licença de Gerenciamento do System Center 2012 Datacenter Server (2 processadores)</w:t>
      </w:r>
    </w:p>
    <w:p w:rsidR="008B1196" w:rsidRPr="00EB4D74" w:rsidRDefault="008B1196" w:rsidP="008B1196">
      <w:pPr>
        <w:rPr>
          <w:rFonts w:cs="Tahoma"/>
        </w:rPr>
      </w:pPr>
      <w:r w:rsidRPr="00EB4D74">
        <w:rPr>
          <w:rFonts w:cs="Tahoma"/>
          <w:lang w:val="pt-BR"/>
        </w:rPr>
        <w:t>System Center 2012 Endpoint Protection</w:t>
      </w:r>
    </w:p>
    <w:p w:rsidR="008B1196" w:rsidRPr="00EB4D74" w:rsidRDefault="008B1196" w:rsidP="008B1196">
      <w:pPr>
        <w:rPr>
          <w:rFonts w:cs="Tahoma"/>
        </w:rPr>
      </w:pPr>
      <w:r w:rsidRPr="00EB4D74">
        <w:rPr>
          <w:rFonts w:cs="Tahoma"/>
          <w:lang w:val="pt-BR"/>
        </w:rPr>
        <w:t>Licença de Gerenciamento do System Center 2012 Standard Server (2 processadores)</w:t>
      </w:r>
    </w:p>
    <w:p w:rsidR="008B1196" w:rsidRPr="00EB4D74" w:rsidRDefault="008B1196" w:rsidP="008B1196">
      <w:pPr>
        <w:rPr>
          <w:rFonts w:cs="Tahoma"/>
        </w:rPr>
      </w:pPr>
      <w:r w:rsidRPr="00EB4D74">
        <w:rPr>
          <w:rFonts w:cs="Tahoma"/>
          <w:lang w:val="pt-BR"/>
        </w:rPr>
        <w:t>VDI Suite</w:t>
      </w:r>
    </w:p>
    <w:p w:rsidR="008B1196" w:rsidRPr="00EB4D74" w:rsidRDefault="008B1196" w:rsidP="008B1196">
      <w:pPr>
        <w:rPr>
          <w:rFonts w:cs="Tahoma"/>
        </w:rPr>
      </w:pPr>
      <w:r w:rsidRPr="00EB4D74">
        <w:rPr>
          <w:rFonts w:cs="Tahoma"/>
          <w:szCs w:val="18"/>
        </w:rPr>
        <w:br/>
      </w:r>
      <w:r w:rsidRPr="00EB4D74">
        <w:rPr>
          <w:rFonts w:cs="Tahoma"/>
          <w:b/>
          <w:lang w:val="pt-BR"/>
        </w:rPr>
        <w:t>Exclusões</w:t>
      </w:r>
    </w:p>
    <w:p w:rsidR="008B1196" w:rsidRPr="00EB4D74" w:rsidRDefault="008B1196" w:rsidP="008B1196">
      <w:pPr>
        <w:rPr>
          <w:rFonts w:cs="Tahoma"/>
        </w:rPr>
      </w:pPr>
      <w:r w:rsidRPr="00EB4D74">
        <w:rPr>
          <w:rFonts w:cs="Tahoma"/>
          <w:lang w:val="pt-BR"/>
        </w:rPr>
        <w:t>Core Infrastructure Server Suite Enterprise</w:t>
      </w:r>
    </w:p>
    <w:p w:rsidR="008B1196" w:rsidRPr="00EB4D74" w:rsidRDefault="008B1196" w:rsidP="008B1196">
      <w:pPr>
        <w:rPr>
          <w:rFonts w:cs="Tahoma"/>
        </w:rPr>
      </w:pPr>
      <w:r w:rsidRPr="00EB4D74">
        <w:rPr>
          <w:rFonts w:cs="Tahoma"/>
          <w:lang w:val="pt-BR"/>
        </w:rPr>
        <w:t>Forefront Endpoint Protection</w:t>
      </w:r>
    </w:p>
    <w:p w:rsidR="008B1196" w:rsidRPr="00EB4D74" w:rsidRDefault="008B1196" w:rsidP="008B1196">
      <w:pPr>
        <w:rPr>
          <w:rFonts w:cs="Tahoma"/>
        </w:rPr>
      </w:pPr>
      <w:r w:rsidRPr="00EB4D74">
        <w:rPr>
          <w:rFonts w:cs="Tahoma"/>
          <w:lang w:val="pt-BR"/>
        </w:rPr>
        <w:t>Learning Solutions IT Academy (SL de Serviços)</w:t>
      </w:r>
    </w:p>
    <w:p w:rsidR="008B1196" w:rsidRPr="00EB4D74" w:rsidRDefault="008B1196" w:rsidP="008B1196">
      <w:pPr>
        <w:rPr>
          <w:rFonts w:cs="Tahoma"/>
        </w:rPr>
      </w:pPr>
      <w:r w:rsidRPr="00EB4D74">
        <w:rPr>
          <w:rFonts w:cs="Tahoma"/>
          <w:lang w:val="pt-BR"/>
        </w:rPr>
        <w:t>SQL Server 2008 R2 Datacenter</w:t>
      </w:r>
    </w:p>
    <w:p w:rsidR="008B1196" w:rsidRPr="00EB4D74" w:rsidRDefault="008B1196" w:rsidP="008B1196">
      <w:pPr>
        <w:rPr>
          <w:rFonts w:cs="Tahoma"/>
        </w:rPr>
      </w:pPr>
      <w:r w:rsidRPr="00EB4D74">
        <w:rPr>
          <w:rFonts w:cs="Tahoma"/>
          <w:lang w:val="pt-BR"/>
        </w:rPr>
        <w:t>SQL Server2008 R2 Enterprise</w:t>
      </w:r>
    </w:p>
    <w:p w:rsidR="008B1196" w:rsidRPr="00EB4D74" w:rsidRDefault="008B1196" w:rsidP="008B1196">
      <w:pPr>
        <w:rPr>
          <w:rFonts w:cs="Tahoma"/>
        </w:rPr>
      </w:pPr>
      <w:r w:rsidRPr="00EB4D74">
        <w:rPr>
          <w:rFonts w:cs="Tahoma"/>
          <w:lang w:val="pt-BR"/>
        </w:rPr>
        <w:t>SQL Server2008 R2 Small Business</w:t>
      </w:r>
    </w:p>
    <w:p w:rsidR="008B1196" w:rsidRPr="00EB4D74" w:rsidRDefault="008B1196" w:rsidP="008B1196">
      <w:pPr>
        <w:rPr>
          <w:rFonts w:cs="Tahoma"/>
        </w:rPr>
      </w:pPr>
      <w:r w:rsidRPr="00EB4D74">
        <w:rPr>
          <w:rFonts w:cs="Tahoma"/>
          <w:lang w:val="pt-BR"/>
        </w:rPr>
        <w:t>SQL Server2008 R2 Standard</w:t>
      </w:r>
    </w:p>
    <w:p w:rsidR="008B1196" w:rsidRPr="00EB4D74" w:rsidRDefault="008B1196" w:rsidP="008B1196">
      <w:pPr>
        <w:rPr>
          <w:rFonts w:cs="Tahoma"/>
        </w:rPr>
      </w:pPr>
      <w:r w:rsidRPr="00EB4D74">
        <w:rPr>
          <w:rFonts w:cs="Tahoma"/>
          <w:lang w:val="pt-BR"/>
        </w:rPr>
        <w:t>Processador do SQL Server 2008 R2 Workgroup</w:t>
      </w:r>
    </w:p>
    <w:p w:rsidR="008B1196" w:rsidRPr="00EB4D74" w:rsidRDefault="008B1196" w:rsidP="008B1196">
      <w:pPr>
        <w:rPr>
          <w:rFonts w:cs="Tahoma"/>
        </w:rPr>
      </w:pPr>
      <w:r w:rsidRPr="00EB4D74">
        <w:rPr>
          <w:rFonts w:cs="Tahoma"/>
          <w:lang w:val="pt-BR"/>
        </w:rPr>
        <w:t>SQL Server 2008 R2 Workgroup (Complementar para 5 clientes)</w:t>
      </w:r>
    </w:p>
    <w:p w:rsidR="008B1196" w:rsidRPr="00EB4D74" w:rsidRDefault="008B1196" w:rsidP="008B1196">
      <w:pPr>
        <w:rPr>
          <w:rFonts w:cs="Tahoma"/>
        </w:rPr>
      </w:pPr>
      <w:r w:rsidRPr="00EB4D74">
        <w:rPr>
          <w:rFonts w:cs="Tahoma"/>
          <w:lang w:val="pt-BR"/>
        </w:rPr>
        <w:t>SQL Server2008 R2 Web</w:t>
      </w:r>
    </w:p>
    <w:p w:rsidR="008B1196" w:rsidRPr="00EB4D74" w:rsidRDefault="008B1196" w:rsidP="008B1196">
      <w:pPr>
        <w:rPr>
          <w:rFonts w:cs="Tahoma"/>
        </w:rPr>
      </w:pPr>
      <w:r w:rsidRPr="00EB4D74">
        <w:rPr>
          <w:rFonts w:cs="Tahoma"/>
          <w:lang w:val="pt-BR"/>
        </w:rPr>
        <w:t>System Center Client Management Suite (ML de Cliente) por OSE</w:t>
      </w:r>
    </w:p>
    <w:p w:rsidR="008B1196" w:rsidRPr="00EB4D74" w:rsidRDefault="008B1196" w:rsidP="008B1196">
      <w:pPr>
        <w:rPr>
          <w:rFonts w:cs="Tahoma"/>
        </w:rPr>
      </w:pPr>
      <w:r w:rsidRPr="00EB4D74">
        <w:rPr>
          <w:rFonts w:cs="Tahoma"/>
          <w:lang w:val="pt-BR"/>
        </w:rPr>
        <w:t>System Center Client Management Suite (ML de Cliente) por Usuário</w:t>
      </w:r>
    </w:p>
    <w:p w:rsidR="008B1196" w:rsidRPr="00EB4D74" w:rsidRDefault="008B1196" w:rsidP="008B1196">
      <w:pPr>
        <w:rPr>
          <w:rFonts w:cs="Tahoma"/>
          <w:lang w:val="it-IT"/>
        </w:rPr>
      </w:pPr>
      <w:r w:rsidRPr="00EB4D74">
        <w:rPr>
          <w:rFonts w:cs="Tahoma"/>
          <w:lang w:val="pt-BR"/>
        </w:rPr>
        <w:lastRenderedPageBreak/>
        <w:t>Licença de Gerenciamento de Cliente (ML de Cliente) do System Center Configuration Manager 2007 R3 (Somente para Aluno)</w:t>
      </w:r>
    </w:p>
    <w:p w:rsidR="008B1196" w:rsidRPr="00EB4D74" w:rsidRDefault="008B1196" w:rsidP="008B1196">
      <w:pPr>
        <w:rPr>
          <w:rFonts w:cs="Tahoma"/>
          <w:lang w:val="it-IT"/>
        </w:rPr>
      </w:pPr>
      <w:r w:rsidRPr="00EB4D74">
        <w:rPr>
          <w:rFonts w:cs="Tahoma"/>
          <w:lang w:val="pt-BR"/>
        </w:rPr>
        <w:t>Licença de Gerenciamento de Cliente do System Center Configuration Manager 2007 R3 por OSE</w:t>
      </w:r>
    </w:p>
    <w:p w:rsidR="008B1196" w:rsidRPr="00EB4D74" w:rsidRDefault="008B1196" w:rsidP="008B1196">
      <w:pPr>
        <w:rPr>
          <w:rFonts w:cs="Tahoma"/>
          <w:lang w:val="it-IT"/>
        </w:rPr>
      </w:pPr>
      <w:bookmarkStart w:id="701" w:name="_Toc317591145"/>
      <w:bookmarkStart w:id="702" w:name="_Toc323034107"/>
      <w:bookmarkStart w:id="703" w:name="_Toc325609143"/>
      <w:bookmarkStart w:id="704" w:name="_Toc328145937"/>
      <w:bookmarkEnd w:id="701"/>
      <w:bookmarkEnd w:id="702"/>
      <w:bookmarkEnd w:id="703"/>
      <w:bookmarkEnd w:id="704"/>
      <w:r w:rsidRPr="00EB4D74">
        <w:rPr>
          <w:rFonts w:cs="Tahoma"/>
          <w:lang w:val="pt-BR"/>
        </w:rPr>
        <w:t>Licença de Gerenciamento de Cliente do System Center Configuration Manager 2007 R3 por Usuário</w:t>
      </w:r>
    </w:p>
    <w:p w:rsidR="008B1196" w:rsidRPr="00EB4D74" w:rsidRDefault="008B1196" w:rsidP="008B1196">
      <w:pPr>
        <w:rPr>
          <w:rFonts w:cs="Tahoma"/>
        </w:rPr>
      </w:pPr>
      <w:r w:rsidRPr="00EB4D74">
        <w:rPr>
          <w:rFonts w:cs="Tahoma"/>
          <w:lang w:val="pt-BR"/>
        </w:rPr>
        <w:t>Visual Studio Team Explorer Everywhere 2010</w:t>
      </w:r>
    </w:p>
    <w:p w:rsidR="008B1196" w:rsidRPr="00EB4D74" w:rsidRDefault="008B1196" w:rsidP="008B1196">
      <w:pPr>
        <w:rPr>
          <w:rFonts w:cs="Tahoma"/>
        </w:rPr>
      </w:pPr>
      <w:r w:rsidRPr="00EB4D74">
        <w:rPr>
          <w:rFonts w:cs="Tahoma"/>
          <w:lang w:val="pt-BR"/>
        </w:rPr>
        <w:t>Windows Embedded Device Manager 2011</w:t>
      </w:r>
    </w:p>
    <w:p w:rsidR="008B1196" w:rsidRPr="00EB4D74" w:rsidRDefault="008B1196" w:rsidP="008B1196">
      <w:pPr>
        <w:rPr>
          <w:rFonts w:cs="Tahoma"/>
        </w:rPr>
      </w:pPr>
      <w:r w:rsidRPr="00EB4D74">
        <w:rPr>
          <w:rFonts w:cs="Tahoma"/>
          <w:lang w:val="pt-BR"/>
        </w:rPr>
        <w:t>Windows Embedded Device Manager 2011 com Tecnologia SQL Server 2008</w:t>
      </w:r>
    </w:p>
    <w:p w:rsidR="008B1196" w:rsidRPr="00EB4D74" w:rsidRDefault="008B1196" w:rsidP="008B1196">
      <w:pPr>
        <w:ind w:right="720"/>
        <w:rPr>
          <w:rFonts w:cs="Tahoma"/>
          <w:b/>
          <w:color w:val="000000"/>
          <w:szCs w:val="20"/>
        </w:rPr>
      </w:pPr>
    </w:p>
    <w:p w:rsidR="008B1196" w:rsidRPr="00EB4D74" w:rsidRDefault="008B1196" w:rsidP="008B1196">
      <w:pPr>
        <w:ind w:right="720"/>
        <w:rPr>
          <w:rFonts w:cs="Tahoma"/>
          <w:b/>
          <w:color w:val="000000"/>
          <w:szCs w:val="20"/>
        </w:rPr>
      </w:pPr>
    </w:p>
    <w:p w:rsidR="008B1196" w:rsidRPr="00EB4D74" w:rsidRDefault="008B1196" w:rsidP="008B1196">
      <w:pPr>
        <w:pStyle w:val="Heading2"/>
        <w:ind w:left="0"/>
        <w:jc w:val="both"/>
        <w:rPr>
          <w:rFonts w:ascii="Tahoma" w:hAnsi="Tahoma" w:cs="Tahoma"/>
        </w:rPr>
      </w:pPr>
      <w:bookmarkStart w:id="705" w:name="_Toc336338176"/>
      <w:bookmarkStart w:id="706" w:name="_Toc342914814"/>
      <w:bookmarkEnd w:id="705"/>
      <w:r w:rsidRPr="00EB4D74">
        <w:rPr>
          <w:rFonts w:ascii="Tahoma" w:hAnsi="Tahoma" w:cs="Tahoma"/>
          <w:color w:val="FF6600"/>
          <w:lang w:val="pt-BR"/>
        </w:rPr>
        <w:t>ALTERAÇÕES EM MARÇO DE 2012</w:t>
      </w:r>
      <w:bookmarkEnd w:id="706"/>
    </w:p>
    <w:p w:rsidR="008B1196" w:rsidRPr="00EB4D74" w:rsidRDefault="008B1196" w:rsidP="008B1196">
      <w:pPr>
        <w:ind w:right="720"/>
        <w:rPr>
          <w:rFonts w:cs="Tahoma"/>
          <w:b/>
          <w:color w:val="000000"/>
          <w:szCs w:val="20"/>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lang w:val="pt-BR"/>
        </w:rPr>
        <w:t>Não houve adições de produtos.</w:t>
      </w:r>
    </w:p>
    <w:p w:rsidR="008B1196" w:rsidRPr="00EB4D74" w:rsidRDefault="008B1196" w:rsidP="008B1196">
      <w:pPr>
        <w:rPr>
          <w:rFonts w:cs="Tahoma"/>
        </w:rPr>
      </w:pPr>
      <w:r w:rsidRPr="00EB4D74">
        <w:rPr>
          <w:rFonts w:cs="Tahoma"/>
          <w:b/>
          <w:szCs w:val="18"/>
        </w:rPr>
        <w:br/>
      </w:r>
      <w:r w:rsidRPr="00EB4D74">
        <w:rPr>
          <w:rFonts w:cs="Tahoma"/>
          <w:b/>
          <w:lang w:val="pt-BR"/>
        </w:rPr>
        <w:t>Promoções</w:t>
      </w:r>
    </w:p>
    <w:p w:rsidR="008B1196" w:rsidRPr="00EB4D74" w:rsidRDefault="008B1196" w:rsidP="008B1196">
      <w:pPr>
        <w:outlineLvl w:val="1"/>
        <w:rPr>
          <w:rFonts w:cs="Tahoma"/>
        </w:rPr>
      </w:pPr>
      <w:r w:rsidRPr="00EB4D74">
        <w:rPr>
          <w:rFonts w:cs="Tahoma"/>
          <w:color w:val="000000"/>
          <w:lang w:val="pt-BR"/>
        </w:rPr>
        <w:t>Promoção do Bing Maps para Aplicativos de Linha de Negócio</w:t>
      </w:r>
    </w:p>
    <w:p w:rsidR="008B1196" w:rsidRPr="00EB4D74" w:rsidRDefault="008B1196" w:rsidP="008B1196">
      <w:pPr>
        <w:outlineLvl w:val="1"/>
        <w:rPr>
          <w:rFonts w:cs="Tahoma"/>
        </w:rPr>
      </w:pPr>
      <w:r w:rsidRPr="00EB4D74">
        <w:rPr>
          <w:rFonts w:cs="Tahoma"/>
          <w:color w:val="000000"/>
          <w:lang w:val="pt-BR"/>
        </w:rPr>
        <w:t>Promoção Enrollment for Core Infrastructure Standard Suite</w:t>
      </w:r>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Exclusões</w:t>
      </w:r>
    </w:p>
    <w:p w:rsidR="008B1196" w:rsidRPr="00EB4D74" w:rsidRDefault="008B1196" w:rsidP="008B1196">
      <w:pPr>
        <w:rPr>
          <w:rFonts w:cs="Tahoma"/>
        </w:rPr>
      </w:pPr>
      <w:r w:rsidRPr="00EB4D74">
        <w:rPr>
          <w:rFonts w:cs="Tahoma"/>
          <w:lang w:val="pt-BR"/>
        </w:rPr>
        <w:t>Não houve exclusões de produtos.</w:t>
      </w:r>
    </w:p>
    <w:p w:rsidR="008B1196" w:rsidRPr="00EB4D74" w:rsidRDefault="008B1196" w:rsidP="008B1196">
      <w:pPr>
        <w:ind w:right="720"/>
        <w:rPr>
          <w:rFonts w:cs="Tahoma"/>
          <w:b/>
          <w:color w:val="000000"/>
          <w:szCs w:val="20"/>
        </w:rPr>
      </w:pPr>
    </w:p>
    <w:p w:rsidR="008B1196" w:rsidRPr="00EB4D74" w:rsidRDefault="008B1196" w:rsidP="008B1196">
      <w:pPr>
        <w:ind w:right="720"/>
        <w:rPr>
          <w:rFonts w:cs="Tahoma"/>
          <w:b/>
          <w:color w:val="000000"/>
          <w:szCs w:val="20"/>
        </w:rPr>
      </w:pPr>
    </w:p>
    <w:p w:rsidR="008B1196" w:rsidRPr="00EB4D74" w:rsidRDefault="008B1196" w:rsidP="008B1196">
      <w:pPr>
        <w:pStyle w:val="Heading3"/>
        <w:rPr>
          <w:rFonts w:ascii="Tahoma" w:hAnsi="Tahoma" w:cs="Tahoma"/>
        </w:rPr>
      </w:pPr>
      <w:bookmarkStart w:id="707" w:name="_Toc336338177"/>
      <w:bookmarkStart w:id="708" w:name="_Toc342914815"/>
      <w:bookmarkEnd w:id="707"/>
      <w:r w:rsidRPr="00EB4D74">
        <w:rPr>
          <w:rFonts w:ascii="Tahoma" w:hAnsi="Tahoma" w:cs="Tahoma"/>
          <w:color w:val="FF6600"/>
          <w:sz w:val="24"/>
          <w:lang w:val="pt-BR"/>
        </w:rPr>
        <w:t>ALTERAÇÕES EM FEVEREIRO DE 2012</w:t>
      </w:r>
      <w:bookmarkEnd w:id="708"/>
    </w:p>
    <w:p w:rsidR="008B1196" w:rsidRPr="00EB4D74" w:rsidRDefault="008B1196" w:rsidP="008B1196">
      <w:pPr>
        <w:rPr>
          <w:rFonts w:cs="Tahoma"/>
        </w:rPr>
      </w:pPr>
    </w:p>
    <w:p w:rsidR="008B1196" w:rsidRPr="00EB4D74" w:rsidRDefault="008B1196" w:rsidP="008B1196">
      <w:pPr>
        <w:rPr>
          <w:rFonts w:cs="Tahoma"/>
        </w:rPr>
      </w:pPr>
      <w:r w:rsidRPr="00EB4D74">
        <w:rPr>
          <w:rFonts w:cs="Tahoma"/>
          <w:b/>
          <w:lang w:val="pt-BR"/>
        </w:rPr>
        <w:t>Adições</w:t>
      </w:r>
    </w:p>
    <w:p w:rsidR="008B1196" w:rsidRPr="00EB4D74" w:rsidRDefault="008B1196" w:rsidP="008B1196">
      <w:pPr>
        <w:rPr>
          <w:rFonts w:cs="Tahoma"/>
        </w:rPr>
      </w:pPr>
      <w:r w:rsidRPr="00EB4D74">
        <w:rPr>
          <w:rFonts w:cs="Tahoma"/>
          <w:lang w:val="pt-BR"/>
        </w:rPr>
        <w:t>Não houve adições de produtos.</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Promoções</w:t>
      </w:r>
    </w:p>
    <w:p w:rsidR="008B1196" w:rsidRPr="00EB4D74" w:rsidRDefault="008B1196" w:rsidP="008B1196">
      <w:pPr>
        <w:rPr>
          <w:rFonts w:cs="Tahoma"/>
        </w:rPr>
      </w:pPr>
      <w:r w:rsidRPr="00EB4D74">
        <w:rPr>
          <w:rFonts w:cs="Tahoma"/>
          <w:lang w:val="pt-BR"/>
        </w:rPr>
        <w:t>Data Warehouse em Paralelo do SQL Server</w:t>
      </w:r>
    </w:p>
    <w:p w:rsidR="008B1196" w:rsidRPr="00EB4D74" w:rsidRDefault="008B1196" w:rsidP="008B1196">
      <w:pPr>
        <w:rPr>
          <w:rFonts w:cs="Tahoma"/>
        </w:rPr>
      </w:pPr>
      <w:r w:rsidRPr="00EB4D74">
        <w:rPr>
          <w:rFonts w:cs="Tahoma"/>
          <w:lang w:val="pt-BR"/>
        </w:rPr>
        <w:t>Visual Studio Test Professional com MSDN com 20 % de Desconto</w:t>
      </w:r>
    </w:p>
    <w:p w:rsidR="008B1196" w:rsidRPr="00EB4D74" w:rsidRDefault="008B1196" w:rsidP="008B1196">
      <w:pPr>
        <w:rPr>
          <w:rFonts w:cs="Tahoma"/>
        </w:rPr>
      </w:pPr>
    </w:p>
    <w:p w:rsidR="008B1196" w:rsidRPr="00EB4D74" w:rsidRDefault="008B1196" w:rsidP="008B1196">
      <w:pPr>
        <w:rPr>
          <w:rFonts w:cs="Tahoma"/>
        </w:rPr>
      </w:pPr>
      <w:r w:rsidRPr="00EB4D74">
        <w:rPr>
          <w:rFonts w:cs="Tahoma"/>
          <w:b/>
          <w:color w:val="000000"/>
          <w:lang w:val="pt-BR"/>
        </w:rPr>
        <w:t>Exclusões</w:t>
      </w:r>
    </w:p>
    <w:p w:rsidR="008B1196" w:rsidRPr="00EB4D74" w:rsidRDefault="008B1196" w:rsidP="008B1196">
      <w:pPr>
        <w:spacing w:after="120"/>
        <w:rPr>
          <w:rFonts w:cs="Tahoma"/>
        </w:rPr>
      </w:pPr>
      <w:r w:rsidRPr="00EB4D74">
        <w:rPr>
          <w:rFonts w:cs="Tahoma"/>
          <w:color w:val="000000"/>
          <w:lang w:val="pt-BR"/>
        </w:rPr>
        <w:t>Não houve exclusões de produtos.</w:t>
      </w:r>
      <w:r w:rsidRPr="00EB4D74">
        <w:rPr>
          <w:rFonts w:cs="Tahoma"/>
        </w:rPr>
        <w:br w:type="page"/>
      </w:r>
      <w:bookmarkStart w:id="709" w:name="_Toc336338180"/>
      <w:bookmarkEnd w:id="709"/>
    </w:p>
    <w:p w:rsidR="008B1196" w:rsidRPr="00EB4D74" w:rsidRDefault="008B1196" w:rsidP="008B1196">
      <w:pPr>
        <w:rPr>
          <w:rFonts w:cs="Tahoma"/>
          <w:sz w:val="4"/>
          <w:szCs w:val="4"/>
        </w:rPr>
      </w:pPr>
    </w:p>
    <w:p w:rsidR="008B1196" w:rsidRPr="00EB4D74" w:rsidRDefault="008B1196" w:rsidP="008B1196">
      <w:pPr>
        <w:pStyle w:val="Heading1"/>
        <w:keepNext w:val="0"/>
        <w:spacing w:after="120"/>
        <w:rPr>
          <w:b w:val="0"/>
        </w:rPr>
      </w:pPr>
      <w:bookmarkStart w:id="710" w:name="_Toc342914816"/>
      <w:r w:rsidRPr="00EB4D74">
        <w:rPr>
          <w:rStyle w:val="Heading1Char"/>
          <w:rFonts w:cs="Tahoma"/>
          <w:b/>
        </w:rPr>
        <w:t>SEÇÃO 2 – PROMOÇÕES DE PRODUTOS</w:t>
      </w:r>
      <w:bookmarkEnd w:id="710"/>
    </w:p>
    <w:p w:rsidR="008B1196" w:rsidRPr="00EB4D74" w:rsidRDefault="008B1196" w:rsidP="008B1196">
      <w:pPr>
        <w:ind w:right="720"/>
        <w:rPr>
          <w:rFonts w:cs="Tahoma"/>
        </w:rPr>
      </w:pPr>
    </w:p>
    <w:p w:rsidR="008B1196" w:rsidRPr="00EB4D74" w:rsidRDefault="008B1196" w:rsidP="008B1196">
      <w:pPr>
        <w:pStyle w:val="Heading2"/>
        <w:ind w:left="0"/>
        <w:rPr>
          <w:rFonts w:ascii="Tahoma" w:hAnsi="Tahoma" w:cs="Tahoma"/>
        </w:rPr>
      </w:pPr>
      <w:bookmarkStart w:id="711" w:name="_Toc336338181"/>
      <w:bookmarkStart w:id="712" w:name="_Toc342914817"/>
      <w:bookmarkEnd w:id="711"/>
      <w:r w:rsidRPr="00EB4D74">
        <w:rPr>
          <w:rFonts w:ascii="Tahoma" w:hAnsi="Tahoma" w:cs="Tahoma"/>
          <w:color w:val="FF9429"/>
          <w:lang w:val="pt-BR"/>
        </w:rPr>
        <w:t>Exchange Server Standard Promotion</w:t>
      </w:r>
      <w:bookmarkEnd w:id="712"/>
    </w:p>
    <w:p w:rsidR="008B1196" w:rsidRPr="00EB4D74" w:rsidRDefault="008B1196" w:rsidP="008B1196">
      <w:pPr>
        <w:spacing w:line="276" w:lineRule="auto"/>
        <w:jc w:val="both"/>
        <w:rPr>
          <w:rFonts w:cs="Tahoma"/>
        </w:rPr>
      </w:pPr>
    </w:p>
    <w:p w:rsidR="008B1196" w:rsidRPr="00EB4D74" w:rsidRDefault="008B1196" w:rsidP="008B1196">
      <w:pPr>
        <w:spacing w:after="200" w:line="276" w:lineRule="auto"/>
        <w:rPr>
          <w:rFonts w:cs="Tahoma"/>
          <w:lang w:val="pt-BR"/>
        </w:rPr>
      </w:pPr>
      <w:r w:rsidRPr="00EB4D74">
        <w:rPr>
          <w:rFonts w:cs="Tahoma"/>
          <w:color w:val="000000"/>
          <w:lang w:val="pt-BR"/>
        </w:rPr>
        <w:t>Como oferta por tempo limitado de 1º de maio de 2012 a 31 de dezembro de 2012, a Microsoft oferece até 20% de desconto no preço da licença e até 30% de desconto no preço da Licença e do Software Assurance (L&amp;SA) para o Exchange Server 2010 Standard Edition. Essa promoção está disponível sob os contratos Microsoft Open e Open Value para clientes comerciais e governamentais.</w:t>
      </w:r>
    </w:p>
    <w:p w:rsidR="008B1196" w:rsidRPr="00EB4D74" w:rsidRDefault="008B1196" w:rsidP="008B1196">
      <w:pPr>
        <w:pStyle w:val="Heading2"/>
        <w:ind w:left="0"/>
        <w:rPr>
          <w:rFonts w:ascii="Tahoma" w:hAnsi="Tahoma" w:cs="Tahoma"/>
          <w:lang w:val="pt-BR"/>
        </w:rPr>
      </w:pPr>
      <w:bookmarkStart w:id="713" w:name="_Toc336338182"/>
      <w:bookmarkStart w:id="714" w:name="_Toc342914818"/>
      <w:bookmarkEnd w:id="713"/>
      <w:r w:rsidRPr="00EB4D74">
        <w:rPr>
          <w:rFonts w:ascii="Tahoma" w:hAnsi="Tahoma" w:cs="Tahoma"/>
          <w:color w:val="FF9429"/>
          <w:lang w:val="pt-BR"/>
        </w:rPr>
        <w:t>Data Warehouse em Paralelo do SQL Server</w:t>
      </w:r>
      <w:bookmarkEnd w:id="714"/>
    </w:p>
    <w:p w:rsidR="008B1196" w:rsidRPr="00EB4D74" w:rsidRDefault="008B1196" w:rsidP="008B1196">
      <w:pPr>
        <w:rPr>
          <w:rFonts w:cs="Tahoma"/>
          <w:lang w:val="pt-BR"/>
        </w:rPr>
      </w:pPr>
    </w:p>
    <w:p w:rsidR="008B1196" w:rsidRPr="00EB4D74" w:rsidRDefault="008B1196" w:rsidP="008B1196">
      <w:pPr>
        <w:spacing w:after="200" w:line="276" w:lineRule="auto"/>
        <w:rPr>
          <w:rFonts w:cs="Tahoma"/>
          <w:lang w:val="it-IT"/>
        </w:rPr>
      </w:pPr>
      <w:r w:rsidRPr="00EB4D74">
        <w:rPr>
          <w:rFonts w:cs="Tahoma"/>
          <w:color w:val="000000"/>
          <w:lang w:val="pt-BR"/>
        </w:rPr>
        <w:t>Como oferta por tempo limitado de 1º de fevereiro de 2012 a 31 de dezembro de 2012, a Microsoft oferece uma economia de até 45% na Licença e Software Assurance (L&amp;SA) do SQL Server Parallel Data Warehouse. Esta promoção está disponível de acordo com o Contrato Microsoft Select Plus, o Contrato Microsoft Enterprise, o Programa Enrollment for Application Platform e os Programas de Licenciamento por Volume da Microsoft para Parceiros do Governo Internacionais.</w:t>
      </w:r>
    </w:p>
    <w:p w:rsidR="008B1196" w:rsidRPr="00EB4D74" w:rsidRDefault="008B1196" w:rsidP="008B1196">
      <w:pPr>
        <w:spacing w:after="200" w:line="276" w:lineRule="auto"/>
        <w:rPr>
          <w:rFonts w:cs="Tahoma"/>
          <w:lang w:val="it-IT"/>
        </w:rPr>
      </w:pPr>
      <w:r w:rsidRPr="00EB4D74">
        <w:rPr>
          <w:rFonts w:cs="Tahoma"/>
          <w:lang w:val="pt-BR"/>
        </w:rPr>
        <w:t>Se um cliente já tiver promovido o produto incluído em um registro de Contrato Enterprise existente, essa promoção não poderá ser usada no mesmo registro.</w:t>
      </w:r>
    </w:p>
    <w:p w:rsidR="008B1196" w:rsidRPr="00EB4D74" w:rsidRDefault="008B1196" w:rsidP="008B1196">
      <w:pPr>
        <w:pStyle w:val="Heading2"/>
        <w:ind w:left="0"/>
        <w:rPr>
          <w:rFonts w:ascii="Tahoma" w:hAnsi="Tahoma" w:cs="Tahoma"/>
        </w:rPr>
      </w:pPr>
      <w:bookmarkStart w:id="715" w:name="_Toc336338183"/>
      <w:bookmarkStart w:id="716" w:name="_Toc342914819"/>
      <w:bookmarkEnd w:id="715"/>
      <w:r w:rsidRPr="00EB4D74">
        <w:rPr>
          <w:rFonts w:ascii="Tahoma" w:hAnsi="Tahoma" w:cs="Tahoma"/>
          <w:color w:val="FF9429"/>
          <w:lang w:val="pt-BR"/>
        </w:rPr>
        <w:t>Promoção de Step-up do Windows Server Datacenter</w:t>
      </w:r>
      <w:bookmarkEnd w:id="716"/>
    </w:p>
    <w:p w:rsidR="008B1196" w:rsidRPr="00EB4D74" w:rsidRDefault="008B1196" w:rsidP="008B1196">
      <w:pPr>
        <w:spacing w:line="276" w:lineRule="auto"/>
        <w:rPr>
          <w:rFonts w:cs="Tahoma"/>
        </w:rPr>
      </w:pPr>
    </w:p>
    <w:p w:rsidR="008B1196" w:rsidRPr="00EB4D74" w:rsidRDefault="008B1196" w:rsidP="008B1196">
      <w:pPr>
        <w:spacing w:after="200" w:line="276" w:lineRule="auto"/>
        <w:rPr>
          <w:rFonts w:cs="Tahoma"/>
        </w:rPr>
      </w:pPr>
      <w:r w:rsidRPr="00EB4D74">
        <w:rPr>
          <w:rFonts w:cs="Tahoma"/>
          <w:color w:val="000000"/>
          <w:lang w:val="pt-BR"/>
        </w:rPr>
        <w:t>Como oferta por tempo limitado de 1º de setembro de 2012 a 31 de março de 2013, a Microsoft oferece uma economia de até 20% no preço da Licença e Software Assurance (L&amp;SA) para a edição Windows Server DC. Esta promoção está disponível de acordo com o Contrato Microsoft Enterprise, Enrollment for Application Platform, Enrollment for Core Infrastructure, Microsoft Select Plus e Microsoft Open Value (Todas as verticais).</w:t>
      </w:r>
    </w:p>
    <w:p w:rsidR="008B1196" w:rsidRPr="00EB4D74" w:rsidRDefault="008B1196" w:rsidP="008B1196">
      <w:pPr>
        <w:pStyle w:val="Heading2"/>
        <w:ind w:left="0"/>
        <w:rPr>
          <w:rFonts w:ascii="Tahoma" w:hAnsi="Tahoma" w:cs="Tahoma"/>
        </w:rPr>
      </w:pPr>
      <w:bookmarkStart w:id="717" w:name="_Toc336338184"/>
      <w:bookmarkStart w:id="718" w:name="_Toc342914820"/>
      <w:bookmarkEnd w:id="717"/>
      <w:r w:rsidRPr="00EB4D74">
        <w:rPr>
          <w:rFonts w:ascii="Tahoma" w:hAnsi="Tahoma" w:cs="Tahoma"/>
          <w:color w:val="FF9429"/>
          <w:lang w:val="pt-BR"/>
        </w:rPr>
        <w:t>Forefront Online Protection for Exchange</w:t>
      </w:r>
      <w:bookmarkEnd w:id="718"/>
    </w:p>
    <w:p w:rsidR="008B1196" w:rsidRPr="00EB4D74" w:rsidRDefault="008B1196" w:rsidP="008B1196">
      <w:pPr>
        <w:rPr>
          <w:rFonts w:cs="Tahoma"/>
        </w:rPr>
      </w:pPr>
    </w:p>
    <w:p w:rsidR="008B1196" w:rsidRPr="00EB4D74" w:rsidRDefault="008B1196" w:rsidP="008B1196">
      <w:pPr>
        <w:spacing w:after="200" w:line="276" w:lineRule="auto"/>
        <w:rPr>
          <w:rFonts w:cs="Tahoma"/>
          <w:lang w:val="pt-BR"/>
        </w:rPr>
      </w:pPr>
      <w:r w:rsidRPr="00EB4D74">
        <w:rPr>
          <w:rFonts w:cs="Tahoma"/>
          <w:color w:val="000000"/>
          <w:lang w:val="pt-BR"/>
        </w:rPr>
        <w:t>Como oferta por tempo limitado de 1º de setembro de 2011 a 31 de dezembro de 2012, a Microsoft oferece até 40% de desconto no preço de assinatura mensal do Forefront Online Protection for Exchange. Essa promoção é oferecida sob o Microsoft Select Plus, Open Value, Open Value Subscription e programas de Licenciamento por Volume do Parceiro Governamental Internacional.</w:t>
      </w:r>
    </w:p>
    <w:p w:rsidR="008B1196" w:rsidRPr="00EB4D74" w:rsidRDefault="008B1196" w:rsidP="008B1196">
      <w:pPr>
        <w:pStyle w:val="Heading2"/>
        <w:ind w:left="0"/>
        <w:rPr>
          <w:rFonts w:ascii="Tahoma" w:hAnsi="Tahoma" w:cs="Tahoma"/>
          <w:lang w:val="it-IT"/>
        </w:rPr>
      </w:pPr>
      <w:bookmarkStart w:id="719" w:name="_SECTION_3_–"/>
      <w:bookmarkStart w:id="720" w:name="_Toc336338185"/>
      <w:bookmarkStart w:id="721" w:name="_Toc342914821"/>
      <w:bookmarkEnd w:id="719"/>
      <w:bookmarkEnd w:id="720"/>
      <w:r w:rsidRPr="00EB4D74">
        <w:rPr>
          <w:rFonts w:ascii="Tahoma" w:hAnsi="Tahoma" w:cs="Tahoma"/>
          <w:color w:val="FF9429"/>
          <w:lang w:val="pt-BR"/>
        </w:rPr>
        <w:t>30% de Desconto na Atualização para o Visual Studio Premium com MSDN</w:t>
      </w:r>
      <w:bookmarkEnd w:id="721"/>
    </w:p>
    <w:p w:rsidR="008B1196" w:rsidRPr="00EB4D74" w:rsidRDefault="008B1196" w:rsidP="008B1196">
      <w:pPr>
        <w:rPr>
          <w:rFonts w:cs="Tahoma"/>
          <w:lang w:val="it-IT"/>
        </w:rPr>
      </w:pPr>
    </w:p>
    <w:p w:rsidR="008B1196" w:rsidRPr="00EB4D74" w:rsidRDefault="008B1196" w:rsidP="008B1196">
      <w:pPr>
        <w:spacing w:after="200" w:line="276" w:lineRule="auto"/>
        <w:rPr>
          <w:rFonts w:cs="Tahoma"/>
        </w:rPr>
      </w:pPr>
      <w:r w:rsidRPr="00EB4D74">
        <w:rPr>
          <w:rFonts w:cs="Tahoma"/>
          <w:color w:val="000000"/>
          <w:lang w:val="pt-BR"/>
        </w:rPr>
        <w:t>Como oferta por tempo limitado de 1º de outubro de 2012 a 31 de março de 2013, a Microsoft oferecerá um desconto de 30% no Visual Studio Premium com MSDN para clientes que ativarem o SA no Visual Studio Professional com MSDN. Essa promoção está disponível nos programas Microsoft Enterprise, USG, EAP, Select Plus e Open Value.</w:t>
      </w:r>
    </w:p>
    <w:p w:rsidR="008B1196" w:rsidRPr="00EB4D74" w:rsidRDefault="008B1196" w:rsidP="008B1196">
      <w:pPr>
        <w:pStyle w:val="Heading2"/>
        <w:ind w:left="0"/>
        <w:rPr>
          <w:rFonts w:ascii="Tahoma" w:hAnsi="Tahoma" w:cs="Tahoma"/>
        </w:rPr>
      </w:pPr>
      <w:bookmarkStart w:id="722" w:name="_Toc336338186"/>
      <w:bookmarkStart w:id="723" w:name="_Toc342914822"/>
      <w:bookmarkEnd w:id="722"/>
      <w:r w:rsidRPr="00EB4D74">
        <w:rPr>
          <w:rFonts w:ascii="Tahoma" w:hAnsi="Tahoma" w:cs="Tahoma"/>
          <w:color w:val="FF9429"/>
          <w:lang w:val="pt-BR"/>
        </w:rPr>
        <w:t>Step-up para Windows 8 com SA</w:t>
      </w:r>
      <w:bookmarkEnd w:id="723"/>
    </w:p>
    <w:p w:rsidR="008B1196" w:rsidRPr="00EB4D74" w:rsidRDefault="008B1196" w:rsidP="008B1196">
      <w:pPr>
        <w:rPr>
          <w:rFonts w:cs="Tahoma"/>
        </w:rPr>
      </w:pPr>
    </w:p>
    <w:p w:rsidR="008B1196" w:rsidRPr="00EB4D74" w:rsidRDefault="008B1196" w:rsidP="008B1196">
      <w:pPr>
        <w:spacing w:after="200" w:line="276" w:lineRule="auto"/>
        <w:rPr>
          <w:rFonts w:cs="Tahoma"/>
          <w:color w:val="000000"/>
          <w:lang w:val="pt-BR"/>
        </w:rPr>
      </w:pPr>
      <w:r w:rsidRPr="00EB4D74">
        <w:rPr>
          <w:rFonts w:cs="Tahoma"/>
          <w:color w:val="000000"/>
          <w:lang w:val="pt-BR"/>
        </w:rPr>
        <w:t>Entre 1º de novembro de 2012 e 31 de janeiro de 2013, a Microsoft oferecerá um desconto de 40% nas licenças de atualização Open com Software Assurance (Licença Open ou Programas Open Value) e um desconto de 15% nas licenças de atualização Open. Os preços promocionais são válidos para aquisição de até 150 licenças.</w:t>
      </w:r>
    </w:p>
    <w:p w:rsidR="008B1196" w:rsidRPr="00EB4D74" w:rsidRDefault="008B1196" w:rsidP="008B1196">
      <w:pPr>
        <w:spacing w:after="200" w:line="276" w:lineRule="auto"/>
        <w:rPr>
          <w:rFonts w:cs="Tahoma"/>
          <w:color w:val="000000"/>
          <w:lang w:val="pt-BR"/>
        </w:rPr>
      </w:pPr>
    </w:p>
    <w:p w:rsidR="008B1196" w:rsidRPr="00EB4D74" w:rsidRDefault="008B1196" w:rsidP="008B1196">
      <w:pPr>
        <w:spacing w:after="200" w:line="276" w:lineRule="auto"/>
        <w:rPr>
          <w:rFonts w:cs="Tahoma"/>
          <w:color w:val="000000"/>
          <w:lang w:val="pt-BR"/>
        </w:rPr>
      </w:pPr>
    </w:p>
    <w:p w:rsidR="008B1196" w:rsidRPr="00EB4D74" w:rsidRDefault="008B1196" w:rsidP="008B1196">
      <w:pPr>
        <w:spacing w:after="200" w:line="276" w:lineRule="auto"/>
        <w:rPr>
          <w:rFonts w:cs="Tahoma"/>
          <w:lang w:val="pt-BR"/>
        </w:rPr>
      </w:pPr>
    </w:p>
    <w:p w:rsidR="008B1196" w:rsidRPr="00EB4D74" w:rsidRDefault="008B1196" w:rsidP="008B1196">
      <w:pPr>
        <w:pStyle w:val="Heading2"/>
        <w:ind w:left="0"/>
        <w:rPr>
          <w:rFonts w:ascii="Tahoma" w:hAnsi="Tahoma" w:cs="Tahoma"/>
        </w:rPr>
      </w:pPr>
      <w:bookmarkStart w:id="724" w:name="_Toc342914823"/>
      <w:r w:rsidRPr="00EB4D74">
        <w:rPr>
          <w:rFonts w:ascii="Tahoma" w:hAnsi="Tahoma" w:cs="Tahoma"/>
          <w:color w:val="FF9429"/>
          <w:lang w:val="pt-BR"/>
        </w:rPr>
        <w:lastRenderedPageBreak/>
        <w:t>15% de desconto em Step-ups do Project/Visio</w:t>
      </w:r>
      <w:bookmarkEnd w:id="724"/>
    </w:p>
    <w:p w:rsidR="008B1196" w:rsidRPr="00EB4D74" w:rsidRDefault="008B1196" w:rsidP="008B1196">
      <w:pPr>
        <w:tabs>
          <w:tab w:val="left" w:pos="2385"/>
        </w:tabs>
        <w:rPr>
          <w:rFonts w:cs="Tahoma"/>
        </w:rPr>
      </w:pPr>
    </w:p>
    <w:p w:rsidR="008B1196" w:rsidRPr="00EB4D74" w:rsidRDefault="008B1196" w:rsidP="008B1196">
      <w:pPr>
        <w:spacing w:after="200" w:line="276" w:lineRule="atLeast"/>
        <w:rPr>
          <w:rFonts w:cs="Tahoma"/>
        </w:rPr>
      </w:pPr>
      <w:r w:rsidRPr="00EB4D74">
        <w:rPr>
          <w:rFonts w:cs="Tahoma"/>
          <w:color w:val="000000"/>
          <w:lang w:val="pt-BR"/>
        </w:rPr>
        <w:t>Como oferta por tempo limitado de 1º de dezembro de 2012 a 30 de junho de 2013, a Microsoft oferece até 15% de Desconto em Step-up para Project Professional para Project Standard sob SA, bem com um desconto de 15% em Step-up para Visio Professional para Visio Standard sob SA. Essa promoção está disponível nos programas Microsoft Enterprise, Enterprise Subscription, Select Plus, EAP e Open Value.</w:t>
      </w:r>
    </w:p>
    <w:p w:rsidR="008B1196" w:rsidRPr="00EB4D74" w:rsidRDefault="008B1196" w:rsidP="008B1196">
      <w:pPr>
        <w:pStyle w:val="Heading2"/>
        <w:ind w:left="0"/>
        <w:rPr>
          <w:rFonts w:ascii="Tahoma" w:hAnsi="Tahoma" w:cs="Tahoma"/>
          <w:lang w:val="it-IT"/>
        </w:rPr>
      </w:pPr>
      <w:bookmarkStart w:id="725" w:name="_Toc342914824"/>
      <w:r w:rsidRPr="00EB4D74">
        <w:rPr>
          <w:rFonts w:ascii="Tahoma" w:hAnsi="Tahoma" w:cs="Tahoma"/>
          <w:color w:val="FF9429"/>
          <w:lang w:val="pt-BR"/>
        </w:rPr>
        <w:t>55% de desconto na CAL do Project Server para Compras para Toda a Empresa</w:t>
      </w:r>
      <w:bookmarkEnd w:id="725"/>
    </w:p>
    <w:p w:rsidR="008B1196" w:rsidRPr="00EB4D74" w:rsidRDefault="008B1196" w:rsidP="008B1196">
      <w:pPr>
        <w:rPr>
          <w:rFonts w:cs="Tahoma"/>
          <w:lang w:val="it-IT"/>
        </w:rPr>
      </w:pPr>
    </w:p>
    <w:p w:rsidR="008B1196" w:rsidRPr="00EB4D74" w:rsidRDefault="008B1196" w:rsidP="008B1196">
      <w:pPr>
        <w:spacing w:after="200" w:line="276" w:lineRule="auto"/>
        <w:rPr>
          <w:rFonts w:cs="Tahoma"/>
          <w:lang w:val="it-IT"/>
        </w:rPr>
      </w:pPr>
      <w:r w:rsidRPr="00EB4D74">
        <w:rPr>
          <w:rFonts w:cs="Tahoma"/>
          <w:color w:val="000000"/>
          <w:lang w:val="pt-BR"/>
        </w:rPr>
        <w:t>Como uma oferta por tempo limitado de 1º de dezembro de 2012 a 30 de junho de 2013, a Microsoft oferece um Desconto de 55% na CAL do Project Server se for adquirida para toda a empresa. Essa promoção está disponível nos programas Microsoft Enterprise, Enterprise Subscription e EAP.</w:t>
      </w:r>
    </w:p>
    <w:p w:rsidR="008B1196" w:rsidRPr="00EB4D74" w:rsidRDefault="008B1196" w:rsidP="008B1196">
      <w:pPr>
        <w:pStyle w:val="Heading1"/>
        <w:spacing w:after="120"/>
      </w:pPr>
      <w:r w:rsidRPr="00EB4D74">
        <w:br w:type="page"/>
      </w:r>
      <w:bookmarkStart w:id="726" w:name="_Toc336338188"/>
      <w:bookmarkStart w:id="727" w:name="_Toc342914825"/>
      <w:bookmarkEnd w:id="726"/>
      <w:r w:rsidRPr="00EB4D74">
        <w:lastRenderedPageBreak/>
        <w:t>SEÇÃO 3 – TERMOS do Programa de Licenciamento por Volume</w:t>
      </w:r>
      <w:bookmarkEnd w:id="727"/>
    </w:p>
    <w:p w:rsidR="008B1196" w:rsidRPr="00EB4D74" w:rsidRDefault="008B1196" w:rsidP="008B1196">
      <w:pPr>
        <w:pStyle w:val="Heading3"/>
        <w:ind w:right="720"/>
        <w:rPr>
          <w:rFonts w:ascii="Tahoma" w:hAnsi="Tahoma" w:cs="Tahoma"/>
          <w:sz w:val="24"/>
          <w:szCs w:val="22"/>
          <w:lang w:val="it-IT"/>
        </w:rPr>
      </w:pPr>
      <w:bookmarkStart w:id="728" w:name="_Toc323159724"/>
    </w:p>
    <w:p w:rsidR="008B1196" w:rsidRPr="00EB4D74" w:rsidRDefault="008B1196" w:rsidP="008B1196">
      <w:pPr>
        <w:pStyle w:val="Heading3"/>
        <w:ind w:right="720"/>
        <w:rPr>
          <w:rFonts w:ascii="Tahoma" w:hAnsi="Tahoma" w:cs="Tahoma"/>
          <w:lang w:val="it-IT"/>
        </w:rPr>
      </w:pPr>
      <w:bookmarkStart w:id="729" w:name="_Toc336338189"/>
      <w:bookmarkStart w:id="730" w:name="_Toc342914826"/>
      <w:bookmarkEnd w:id="728"/>
      <w:bookmarkEnd w:id="729"/>
      <w:r w:rsidRPr="00EB4D74">
        <w:rPr>
          <w:rFonts w:ascii="Tahoma" w:hAnsi="Tahoma" w:cs="Tahoma"/>
          <w:sz w:val="24"/>
          <w:lang w:val="pt-BR"/>
        </w:rPr>
        <w:t>Programas de Licenciamento por Volume Aplicáveis</w:t>
      </w:r>
      <w:bookmarkEnd w:id="730"/>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Esta seção se aplica aos seguintes programas de licenciamento por volume, inclusive as versões Academic, Charity e Government, onde aplicável.</w:t>
      </w:r>
    </w:p>
    <w:p w:rsidR="008B1196" w:rsidRPr="00EB4D74" w:rsidRDefault="008B1196" w:rsidP="008B1196">
      <w:pPr>
        <w:rPr>
          <w:rFonts w:cs="Tahoma"/>
          <w:lang w:val="it-IT"/>
        </w:rPr>
      </w:pPr>
    </w:p>
    <w:p w:rsidR="008B1196" w:rsidRPr="00EB4D74" w:rsidRDefault="008B1196" w:rsidP="008B1196">
      <w:pPr>
        <w:numPr>
          <w:ilvl w:val="0"/>
          <w:numId w:val="2"/>
        </w:numPr>
        <w:spacing w:after="60"/>
        <w:rPr>
          <w:rFonts w:cs="Tahoma"/>
        </w:rPr>
      </w:pPr>
      <w:r w:rsidRPr="00EB4D74">
        <w:rPr>
          <w:rFonts w:cs="Tahoma"/>
          <w:lang w:val="pt-BR"/>
        </w:rPr>
        <w:t>Licença Open</w:t>
      </w:r>
    </w:p>
    <w:p w:rsidR="008B1196" w:rsidRPr="00EB4D74" w:rsidRDefault="008B1196" w:rsidP="008B1196">
      <w:pPr>
        <w:numPr>
          <w:ilvl w:val="0"/>
          <w:numId w:val="2"/>
        </w:numPr>
        <w:spacing w:after="60"/>
        <w:rPr>
          <w:rFonts w:cs="Tahoma"/>
        </w:rPr>
      </w:pPr>
      <w:r w:rsidRPr="00EB4D74">
        <w:rPr>
          <w:rFonts w:cs="Tahoma"/>
          <w:lang w:val="pt-BR"/>
        </w:rPr>
        <w:t>Open Value</w:t>
      </w:r>
    </w:p>
    <w:p w:rsidR="008B1196" w:rsidRPr="00EB4D74" w:rsidRDefault="008B1196" w:rsidP="008B1196">
      <w:pPr>
        <w:numPr>
          <w:ilvl w:val="0"/>
          <w:numId w:val="2"/>
        </w:numPr>
        <w:spacing w:after="60"/>
        <w:rPr>
          <w:rFonts w:cs="Tahoma"/>
        </w:rPr>
      </w:pPr>
      <w:r w:rsidRPr="00EB4D74">
        <w:rPr>
          <w:rFonts w:cs="Tahoma"/>
          <w:lang w:val="pt-BR"/>
        </w:rPr>
        <w:t>Open Value Subscription</w:t>
      </w:r>
    </w:p>
    <w:p w:rsidR="008B1196" w:rsidRPr="00EB4D74" w:rsidRDefault="008B1196" w:rsidP="008B1196">
      <w:pPr>
        <w:numPr>
          <w:ilvl w:val="0"/>
          <w:numId w:val="2"/>
        </w:numPr>
        <w:spacing w:after="60"/>
        <w:rPr>
          <w:rFonts w:cs="Tahoma"/>
        </w:rPr>
      </w:pPr>
      <w:r w:rsidRPr="00EB4D74">
        <w:rPr>
          <w:rFonts w:cs="Tahoma"/>
          <w:lang w:val="pt-BR"/>
        </w:rPr>
        <w:t>Select</w:t>
      </w:r>
    </w:p>
    <w:p w:rsidR="008B1196" w:rsidRPr="00EB4D74" w:rsidRDefault="008B1196" w:rsidP="008B1196">
      <w:pPr>
        <w:numPr>
          <w:ilvl w:val="0"/>
          <w:numId w:val="2"/>
        </w:numPr>
        <w:spacing w:after="60"/>
        <w:rPr>
          <w:rFonts w:cs="Tahoma"/>
        </w:rPr>
      </w:pPr>
      <w:r w:rsidRPr="00EB4D74">
        <w:rPr>
          <w:rFonts w:cs="Tahoma"/>
          <w:lang w:val="pt-BR"/>
        </w:rPr>
        <w:t>Select Plus</w:t>
      </w:r>
    </w:p>
    <w:p w:rsidR="008B1196" w:rsidRPr="00EB4D74" w:rsidRDefault="008B1196" w:rsidP="008B1196">
      <w:pPr>
        <w:numPr>
          <w:ilvl w:val="0"/>
          <w:numId w:val="2"/>
        </w:numPr>
        <w:spacing w:after="60"/>
        <w:rPr>
          <w:rFonts w:cs="Tahoma"/>
        </w:rPr>
      </w:pPr>
      <w:r w:rsidRPr="00EB4D74">
        <w:rPr>
          <w:rFonts w:cs="Tahoma"/>
          <w:lang w:val="pt-BR"/>
        </w:rPr>
        <w:t>Contrato Enterprise</w:t>
      </w:r>
    </w:p>
    <w:p w:rsidR="008B1196" w:rsidRPr="00EB4D74" w:rsidRDefault="008B1196" w:rsidP="008B1196">
      <w:pPr>
        <w:numPr>
          <w:ilvl w:val="0"/>
          <w:numId w:val="2"/>
        </w:numPr>
        <w:spacing w:after="60"/>
        <w:rPr>
          <w:rFonts w:cs="Tahoma"/>
        </w:rPr>
      </w:pPr>
      <w:r w:rsidRPr="00EB4D74">
        <w:rPr>
          <w:rFonts w:cs="Tahoma"/>
          <w:lang w:val="pt-BR"/>
        </w:rPr>
        <w:t>Contrato Enterprise Subscription</w:t>
      </w:r>
    </w:p>
    <w:p w:rsidR="008B1196" w:rsidRPr="00EB4D74" w:rsidRDefault="008B1196" w:rsidP="008B1196">
      <w:pPr>
        <w:rPr>
          <w:rFonts w:cs="Tahoma"/>
        </w:rPr>
      </w:pPr>
    </w:p>
    <w:p w:rsidR="008B1196" w:rsidRPr="00EB4D74" w:rsidRDefault="008B1196" w:rsidP="008B1196">
      <w:pPr>
        <w:pStyle w:val="Heading3"/>
        <w:ind w:right="720"/>
        <w:rPr>
          <w:rFonts w:ascii="Tahoma" w:hAnsi="Tahoma" w:cs="Tahoma"/>
          <w:sz w:val="18"/>
          <w:szCs w:val="18"/>
        </w:rPr>
      </w:pPr>
    </w:p>
    <w:p w:rsidR="008B1196" w:rsidRPr="00EB4D74" w:rsidRDefault="008B1196" w:rsidP="008B1196">
      <w:pPr>
        <w:pStyle w:val="Heading3"/>
        <w:ind w:right="720"/>
        <w:rPr>
          <w:rFonts w:ascii="Tahoma" w:hAnsi="Tahoma" w:cs="Tahoma"/>
        </w:rPr>
      </w:pPr>
      <w:bookmarkStart w:id="731" w:name="_Toc336338190"/>
      <w:bookmarkStart w:id="732" w:name="_Toc342914827"/>
      <w:bookmarkEnd w:id="731"/>
      <w:r w:rsidRPr="00EB4D74">
        <w:rPr>
          <w:rFonts w:ascii="Tahoma" w:hAnsi="Tahoma" w:cs="Tahoma"/>
          <w:sz w:val="24"/>
          <w:lang w:val="pt-BR"/>
        </w:rPr>
        <w:t>Pontos e pedidos mínimos</w:t>
      </w:r>
      <w:bookmarkEnd w:id="732"/>
    </w:p>
    <w:p w:rsidR="008B1196" w:rsidRPr="00EB4D74" w:rsidRDefault="008B1196" w:rsidP="008B1196">
      <w:pPr>
        <w:rPr>
          <w:rFonts w:cs="Tahoma"/>
        </w:rPr>
      </w:pPr>
    </w:p>
    <w:p w:rsidR="008B1196" w:rsidRPr="00EB4D74" w:rsidRDefault="008B1196" w:rsidP="008B1196">
      <w:pPr>
        <w:pStyle w:val="AppendixBodyText"/>
        <w:ind w:right="720"/>
        <w:rPr>
          <w:rFonts w:ascii="Tahoma" w:hAnsi="Tahoma" w:cs="Tahoma"/>
          <w:lang w:val="it-IT"/>
        </w:rPr>
      </w:pPr>
      <w:r w:rsidRPr="00EB4D74">
        <w:rPr>
          <w:rFonts w:ascii="Tahoma" w:hAnsi="Tahoma" w:cs="Tahoma"/>
          <w:sz w:val="18"/>
          <w:lang w:val="pt-BR"/>
        </w:rPr>
        <w:t>As opções de Select, Select Plus e Licença Open apresentam uma contagem de “Pontos” que indica o valor em pontos atribuído pela Microsoft a cada licença. Essas contagens de pontos são usadas para calcular a categoria de preço de volume aplicável ao contrato de um cliente. Quando uma contagem de pontos “0” é atribuída a determinado produto, isso significa que ele é oferecido no programa especificado, mas seu valor em pontos é zero. Esta é a relação entre contagens de unidades e licenças:</w:t>
      </w:r>
    </w:p>
    <w:p w:rsidR="008B1196" w:rsidRPr="00EB4D74" w:rsidRDefault="008B1196" w:rsidP="008B1196">
      <w:pPr>
        <w:pStyle w:val="AppendixBodyText"/>
        <w:ind w:right="720"/>
        <w:rPr>
          <w:rFonts w:ascii="Tahoma" w:hAnsi="Tahoma" w:cs="Tahoma"/>
          <w:sz w:val="18"/>
          <w:szCs w:val="18"/>
          <w:highlight w:val="yellow"/>
          <w:lang w:val="it-IT"/>
        </w:rPr>
      </w:pPr>
    </w:p>
    <w:p w:rsidR="008B1196" w:rsidRPr="00EB4D74" w:rsidRDefault="008B1196" w:rsidP="008B1196">
      <w:pPr>
        <w:numPr>
          <w:ilvl w:val="0"/>
          <w:numId w:val="2"/>
        </w:numPr>
        <w:spacing w:after="60"/>
        <w:rPr>
          <w:rFonts w:cs="Tahoma"/>
        </w:rPr>
      </w:pPr>
      <w:r w:rsidRPr="00EB4D74">
        <w:rPr>
          <w:rFonts w:cs="Tahoma"/>
          <w:lang w:val="pt-BR"/>
        </w:rPr>
        <w:t>Licença Padrão: 1 licença</w:t>
      </w:r>
    </w:p>
    <w:p w:rsidR="008B1196" w:rsidRPr="00EB4D74" w:rsidRDefault="008B1196" w:rsidP="008B1196">
      <w:pPr>
        <w:numPr>
          <w:ilvl w:val="0"/>
          <w:numId w:val="2"/>
        </w:numPr>
        <w:spacing w:after="60"/>
        <w:rPr>
          <w:rFonts w:cs="Tahoma"/>
        </w:rPr>
      </w:pPr>
      <w:r w:rsidRPr="00EB4D74">
        <w:rPr>
          <w:rFonts w:cs="Tahoma"/>
          <w:lang w:val="pt-BR"/>
        </w:rPr>
        <w:t>Atualização: 1 licença</w:t>
      </w:r>
    </w:p>
    <w:p w:rsidR="008B1196" w:rsidRPr="00EB4D74" w:rsidRDefault="008B1196" w:rsidP="008B1196">
      <w:pPr>
        <w:numPr>
          <w:ilvl w:val="0"/>
          <w:numId w:val="2"/>
        </w:numPr>
        <w:spacing w:after="60"/>
        <w:rPr>
          <w:rFonts w:cs="Tahoma"/>
        </w:rPr>
      </w:pPr>
      <w:r w:rsidRPr="00EB4D74">
        <w:rPr>
          <w:rFonts w:cs="Tahoma"/>
          <w:lang w:val="pt-BR"/>
        </w:rPr>
        <w:t>Software Assurance: 1 licença</w:t>
      </w:r>
    </w:p>
    <w:p w:rsidR="008B1196" w:rsidRPr="00EB4D74" w:rsidRDefault="008B1196" w:rsidP="008B1196">
      <w:pPr>
        <w:numPr>
          <w:ilvl w:val="0"/>
          <w:numId w:val="2"/>
        </w:numPr>
        <w:spacing w:after="60"/>
        <w:rPr>
          <w:rFonts w:cs="Tahoma"/>
        </w:rPr>
      </w:pPr>
      <w:r w:rsidRPr="00EB4D74">
        <w:rPr>
          <w:rFonts w:cs="Tahoma"/>
          <w:lang w:val="pt-BR"/>
        </w:rPr>
        <w:t>Licença e Software Assurance: 2 licenças</w:t>
      </w:r>
    </w:p>
    <w:p w:rsidR="008B1196" w:rsidRPr="00EB4D74" w:rsidRDefault="008B1196" w:rsidP="008B1196">
      <w:pPr>
        <w:numPr>
          <w:ilvl w:val="0"/>
          <w:numId w:val="2"/>
        </w:numPr>
        <w:spacing w:after="60"/>
        <w:rPr>
          <w:rFonts w:cs="Tahoma"/>
        </w:rPr>
      </w:pPr>
      <w:r w:rsidRPr="00EB4D74">
        <w:rPr>
          <w:rFonts w:cs="Tahoma"/>
          <w:lang w:val="pt-BR"/>
        </w:rPr>
        <w:t>Atualização e Software Assurance: 2 licenças</w:t>
      </w:r>
    </w:p>
    <w:p w:rsidR="008B1196" w:rsidRPr="00EB4D74" w:rsidRDefault="008B1196" w:rsidP="008B1196">
      <w:pPr>
        <w:numPr>
          <w:ilvl w:val="0"/>
          <w:numId w:val="2"/>
        </w:numPr>
        <w:spacing w:after="60"/>
        <w:rPr>
          <w:rFonts w:cs="Tahoma"/>
        </w:rPr>
      </w:pPr>
      <w:r w:rsidRPr="00EB4D74">
        <w:rPr>
          <w:rFonts w:cs="Tahoma"/>
          <w:lang w:val="pt-BR"/>
        </w:rPr>
        <w:t>Licença Work-at-Home: 1 licença</w:t>
      </w:r>
    </w:p>
    <w:p w:rsidR="008B1196" w:rsidRPr="00EB4D74" w:rsidRDefault="008B1196" w:rsidP="008B1196">
      <w:pPr>
        <w:numPr>
          <w:ilvl w:val="0"/>
          <w:numId w:val="2"/>
        </w:numPr>
        <w:spacing w:after="60"/>
        <w:rPr>
          <w:rFonts w:cs="Tahoma"/>
        </w:rPr>
      </w:pPr>
      <w:r w:rsidRPr="00EB4D74">
        <w:rPr>
          <w:rFonts w:cs="Tahoma"/>
          <w:lang w:val="pt-BR"/>
        </w:rPr>
        <w:t>Licença Step-up: 1 licença</w:t>
      </w:r>
    </w:p>
    <w:p w:rsidR="008B1196" w:rsidRPr="00EB4D74" w:rsidRDefault="008B1196" w:rsidP="008B1196">
      <w:pPr>
        <w:numPr>
          <w:ilvl w:val="0"/>
          <w:numId w:val="2"/>
        </w:numPr>
        <w:spacing w:after="60"/>
        <w:rPr>
          <w:rFonts w:cs="Tahoma"/>
        </w:rPr>
      </w:pPr>
      <w:r w:rsidRPr="00EB4D74">
        <w:rPr>
          <w:rFonts w:cs="Tahoma"/>
          <w:lang w:val="pt-BR"/>
        </w:rPr>
        <w:t>Licença: 1 licença</w:t>
      </w:r>
    </w:p>
    <w:p w:rsidR="008B1196" w:rsidRPr="00EB4D74" w:rsidRDefault="008B1196" w:rsidP="008B1196">
      <w:pPr>
        <w:numPr>
          <w:ilvl w:val="0"/>
          <w:numId w:val="2"/>
        </w:numPr>
        <w:spacing w:after="60"/>
        <w:rPr>
          <w:rFonts w:cs="Tahoma"/>
        </w:rPr>
      </w:pPr>
      <w:r w:rsidRPr="00EB4D74">
        <w:rPr>
          <w:rFonts w:cs="Tahoma"/>
          <w:lang w:val="pt-BR"/>
        </w:rPr>
        <w:t>Licença de Assinatura: 1 licença</w:t>
      </w:r>
    </w:p>
    <w:p w:rsidR="008B1196" w:rsidRPr="00EB4D74" w:rsidRDefault="008B1196" w:rsidP="008B1196">
      <w:pPr>
        <w:rPr>
          <w:rFonts w:cs="Tahoma"/>
        </w:rPr>
      </w:pPr>
    </w:p>
    <w:p w:rsidR="008B1196" w:rsidRPr="00EB4D74" w:rsidRDefault="008B1196" w:rsidP="008B1196">
      <w:pPr>
        <w:pStyle w:val="Heading2"/>
        <w:ind w:left="0"/>
        <w:rPr>
          <w:rFonts w:ascii="Tahoma" w:hAnsi="Tahoma" w:cs="Tahoma"/>
          <w:sz w:val="18"/>
          <w:szCs w:val="18"/>
        </w:rPr>
      </w:pPr>
    </w:p>
    <w:p w:rsidR="008B1196" w:rsidRPr="00EB4D74" w:rsidRDefault="008B1196" w:rsidP="008B1196">
      <w:pPr>
        <w:pStyle w:val="Heading2"/>
        <w:ind w:left="0"/>
        <w:rPr>
          <w:rFonts w:ascii="Tahoma" w:hAnsi="Tahoma" w:cs="Tahoma"/>
        </w:rPr>
      </w:pPr>
      <w:bookmarkStart w:id="733" w:name="_Toc336338191"/>
      <w:bookmarkStart w:id="734" w:name="_Toc342914828"/>
      <w:bookmarkStart w:id="735" w:name="_Toc323159726"/>
      <w:bookmarkEnd w:id="733"/>
      <w:r w:rsidRPr="00EB4D74">
        <w:rPr>
          <w:rFonts w:ascii="Tahoma" w:hAnsi="Tahoma" w:cs="Tahoma"/>
          <w:lang w:val="pt-BR"/>
        </w:rPr>
        <w:t>Requisitos Mínimos de Pedidos</w:t>
      </w:r>
      <w:bookmarkEnd w:id="734"/>
    </w:p>
    <w:bookmarkEnd w:id="735"/>
    <w:p w:rsidR="008B1196" w:rsidRPr="00EB4D74" w:rsidRDefault="008B1196" w:rsidP="008B1196">
      <w:pPr>
        <w:rPr>
          <w:rFonts w:cs="Tahoma"/>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4"/>
        <w:gridCol w:w="7022"/>
      </w:tblGrid>
      <w:tr w:rsidR="008B1196" w:rsidRPr="00EB4D74" w:rsidTr="00EA30FC">
        <w:trPr>
          <w:tblHeader/>
        </w:trPr>
        <w:tc>
          <w:tcPr>
            <w:tcW w:w="1905" w:type="dxa"/>
            <w:shd w:val="clear" w:color="auto" w:fill="FABF8F"/>
          </w:tcPr>
          <w:p w:rsidR="008B1196" w:rsidRPr="00EB4D74" w:rsidRDefault="008B1196" w:rsidP="00EA30FC">
            <w:pPr>
              <w:pStyle w:val="AppendixBodyText"/>
              <w:ind w:right="720"/>
              <w:jc w:val="center"/>
              <w:rPr>
                <w:rFonts w:ascii="Tahoma" w:hAnsi="Tahoma" w:cs="Tahoma"/>
                <w:b/>
                <w:color w:val="000000"/>
                <w:sz w:val="22"/>
                <w:szCs w:val="18"/>
                <w:lang w:eastAsia="ja-JP"/>
              </w:rPr>
            </w:pPr>
            <w:r w:rsidRPr="00EB4D74">
              <w:rPr>
                <w:rFonts w:ascii="Tahoma" w:hAnsi="Tahoma" w:cs="Tahoma"/>
                <w:b/>
                <w:color w:val="000000"/>
                <w:sz w:val="22"/>
                <w:szCs w:val="18"/>
                <w:lang w:val="pt-BR" w:eastAsia="ja-JP"/>
              </w:rPr>
              <w:t>Programas</w:t>
            </w:r>
          </w:p>
        </w:tc>
        <w:tc>
          <w:tcPr>
            <w:tcW w:w="7311" w:type="dxa"/>
            <w:shd w:val="clear" w:color="auto" w:fill="FABF8F"/>
          </w:tcPr>
          <w:p w:rsidR="008B1196" w:rsidRPr="00EB4D74" w:rsidRDefault="008B1196" w:rsidP="00EA30FC">
            <w:pPr>
              <w:pStyle w:val="AppendixBodyText"/>
              <w:ind w:right="720"/>
              <w:jc w:val="center"/>
              <w:rPr>
                <w:rFonts w:ascii="Tahoma" w:hAnsi="Tahoma" w:cs="Tahoma"/>
                <w:b/>
                <w:color w:val="000000"/>
                <w:sz w:val="22"/>
                <w:szCs w:val="18"/>
                <w:lang w:eastAsia="ja-JP"/>
              </w:rPr>
            </w:pPr>
            <w:r w:rsidRPr="00EB4D74">
              <w:rPr>
                <w:rFonts w:ascii="Tahoma" w:hAnsi="Tahoma" w:cs="Tahoma"/>
                <w:b/>
                <w:color w:val="000000"/>
                <w:sz w:val="22"/>
                <w:szCs w:val="18"/>
                <w:lang w:val="pt-BR" w:eastAsia="ja-JP"/>
              </w:rPr>
              <w:t>Requisitos Mínimos de Pedidos</w:t>
            </w:r>
          </w:p>
        </w:tc>
      </w:tr>
      <w:tr w:rsidR="008B1196" w:rsidRPr="00EB4D74" w:rsidTr="00EA30FC">
        <w:tc>
          <w:tcPr>
            <w:tcW w:w="1905" w:type="dxa"/>
          </w:tcPr>
          <w:p w:rsidR="008B1196" w:rsidRPr="00EB4D74" w:rsidRDefault="008B1196" w:rsidP="00EA30FC">
            <w:pPr>
              <w:pStyle w:val="AppendixBodyText"/>
              <w:ind w:right="344"/>
              <w:rPr>
                <w:rFonts w:ascii="Tahoma" w:hAnsi="Tahoma" w:cs="Tahoma"/>
                <w:b/>
                <w:color w:val="000000"/>
                <w:sz w:val="18"/>
                <w:szCs w:val="18"/>
                <w:lang w:eastAsia="ja-JP"/>
              </w:rPr>
            </w:pPr>
            <w:r w:rsidRPr="00EB4D74">
              <w:rPr>
                <w:rFonts w:ascii="Tahoma" w:hAnsi="Tahoma" w:cs="Tahoma"/>
                <w:b/>
                <w:color w:val="000000"/>
                <w:lang w:val="pt-BR"/>
              </w:rPr>
              <w:t>Licença Open, Open Value e Open Value Subscription (Commercial e Government)</w:t>
            </w:r>
          </w:p>
        </w:tc>
        <w:tc>
          <w:tcPr>
            <w:tcW w:w="7311" w:type="dxa"/>
          </w:tcPr>
          <w:p w:rsidR="008B1196" w:rsidRPr="00EB4D74" w:rsidRDefault="008B1196" w:rsidP="00EA30FC">
            <w:pPr>
              <w:pStyle w:val="AppendixBodyText"/>
              <w:ind w:right="720"/>
              <w:rPr>
                <w:rFonts w:ascii="Tahoma" w:hAnsi="Tahoma" w:cs="Tahoma"/>
                <w:lang w:val="it-IT"/>
              </w:rPr>
            </w:pPr>
            <w:r w:rsidRPr="00EB4D74">
              <w:rPr>
                <w:rFonts w:ascii="Tahoma" w:hAnsi="Tahoma" w:cs="Tahoma"/>
                <w:b/>
                <w:sz w:val="18"/>
                <w:lang w:val="pt-BR"/>
              </w:rPr>
              <w:t>Licença Open:</w:t>
            </w:r>
          </w:p>
          <w:p w:rsidR="008B1196" w:rsidRPr="00EB4D74" w:rsidRDefault="008B1196" w:rsidP="00EA30FC">
            <w:pPr>
              <w:pStyle w:val="AppendixBodyText"/>
              <w:ind w:right="720"/>
              <w:rPr>
                <w:rFonts w:ascii="Tahoma" w:hAnsi="Tahoma" w:cs="Tahoma"/>
                <w:lang w:val="it-IT"/>
              </w:rPr>
            </w:pPr>
            <w:r w:rsidRPr="00EB4D74">
              <w:rPr>
                <w:rFonts w:ascii="Tahoma" w:hAnsi="Tahoma" w:cs="Tahoma"/>
                <w:sz w:val="18"/>
                <w:lang w:val="pt-BR"/>
              </w:rPr>
              <w:t>A Licença Open requer um pedido mínimo de 5 licenças, 5 SA ou qualquer combinação para estabelecer um Número de Autorização. Por exemplo, 2 Licença e Software Assurance e 1 Licença Padrão satisfariam a compra mínima de 5 licenças necessária para a entrada em qualquer um dos programas.</w:t>
            </w:r>
          </w:p>
          <w:p w:rsidR="008B1196" w:rsidRPr="00EB4D74" w:rsidRDefault="008B1196" w:rsidP="00EA30FC">
            <w:pPr>
              <w:pStyle w:val="AppendixBodyText"/>
              <w:ind w:right="720"/>
              <w:rPr>
                <w:rFonts w:ascii="Tahoma" w:hAnsi="Tahoma" w:cs="Tahoma"/>
                <w:lang w:val="it-IT"/>
              </w:rPr>
            </w:pPr>
          </w:p>
          <w:p w:rsidR="008B1196" w:rsidRPr="00EB4D74" w:rsidRDefault="008B1196" w:rsidP="00EA30FC">
            <w:pPr>
              <w:pStyle w:val="AppendixBodyText"/>
              <w:ind w:right="720"/>
              <w:rPr>
                <w:rFonts w:ascii="Tahoma" w:hAnsi="Tahoma" w:cs="Tahoma"/>
                <w:lang w:val="it-IT"/>
              </w:rPr>
            </w:pPr>
          </w:p>
          <w:p w:rsidR="008B1196" w:rsidRPr="00EB4D74" w:rsidRDefault="008B1196" w:rsidP="00EA30FC">
            <w:pPr>
              <w:pStyle w:val="AppendixBodyText"/>
              <w:ind w:right="720"/>
              <w:rPr>
                <w:rFonts w:ascii="Tahoma" w:hAnsi="Tahoma" w:cs="Tahoma"/>
              </w:rPr>
            </w:pPr>
            <w:r w:rsidRPr="00EB4D74">
              <w:rPr>
                <w:rFonts w:ascii="Tahoma" w:hAnsi="Tahoma" w:cs="Tahoma"/>
                <w:b/>
                <w:sz w:val="18"/>
                <w:lang w:val="pt-BR"/>
              </w:rPr>
              <w:lastRenderedPageBreak/>
              <w:t>Open Value and Open Value Subscription:</w:t>
            </w:r>
          </w:p>
          <w:p w:rsidR="008B1196" w:rsidRPr="00EB4D74" w:rsidRDefault="008B1196" w:rsidP="00EA30FC">
            <w:pPr>
              <w:pStyle w:val="AppendixBodyText"/>
              <w:ind w:right="720"/>
              <w:rPr>
                <w:rFonts w:ascii="Tahoma" w:hAnsi="Tahoma" w:cs="Tahoma"/>
                <w:lang w:val="it-IT"/>
              </w:rPr>
            </w:pPr>
            <w:r w:rsidRPr="00EB4D74">
              <w:rPr>
                <w:rFonts w:ascii="Tahoma" w:hAnsi="Tahoma" w:cs="Tahoma"/>
                <w:sz w:val="18"/>
                <w:lang w:val="pt-BR" w:eastAsia="ja-JP"/>
              </w:rPr>
              <w:t>O Open Value requer um pedido mínimo de 5 U&amp;SA, 5 L&amp;SA, 5 SA, 5 Licenças de Assinatura ou qualquer combinação para celebrar um contrato.</w:t>
            </w:r>
          </w:p>
          <w:p w:rsidR="008B1196" w:rsidRPr="00EB4D74" w:rsidRDefault="008B1196" w:rsidP="00EA30FC">
            <w:pPr>
              <w:pStyle w:val="AppendixBodyText"/>
              <w:ind w:right="720"/>
              <w:rPr>
                <w:rFonts w:ascii="Tahoma" w:hAnsi="Tahoma" w:cs="Tahoma"/>
                <w:sz w:val="18"/>
                <w:szCs w:val="18"/>
                <w:lang w:val="it-IT"/>
              </w:rPr>
            </w:pPr>
          </w:p>
          <w:p w:rsidR="008B1196" w:rsidRPr="00EB4D74" w:rsidRDefault="008B1196" w:rsidP="00EA30FC">
            <w:pPr>
              <w:pStyle w:val="AppendixBodyText"/>
              <w:ind w:right="720"/>
              <w:rPr>
                <w:rFonts w:ascii="Tahoma" w:hAnsi="Tahoma" w:cs="Tahoma"/>
                <w:sz w:val="18"/>
                <w:lang w:val="it-IT" w:eastAsia="ja-JP"/>
              </w:rPr>
            </w:pPr>
            <w:r w:rsidRPr="00EB4D74">
              <w:rPr>
                <w:rFonts w:ascii="Tahoma" w:hAnsi="Tahoma" w:cs="Tahoma"/>
                <w:b/>
                <w:sz w:val="18"/>
                <w:lang w:val="pt-BR"/>
              </w:rPr>
              <w:t xml:space="preserve">Observação: </w:t>
            </w:r>
            <w:r w:rsidRPr="00EB4D74">
              <w:rPr>
                <w:rFonts w:ascii="Tahoma" w:hAnsi="Tahoma" w:cs="Tahoma"/>
                <w:sz w:val="18"/>
                <w:lang w:val="pt-BR" w:eastAsia="ja-JP"/>
              </w:rPr>
              <w:t xml:space="preserve">uma licença individual para determinados produtos nos programas Open e Open Value satisfaz o requisito mínimo de 5 licenças. </w:t>
            </w:r>
            <w:r w:rsidRPr="00EB4D74">
              <w:rPr>
                <w:rFonts w:ascii="Tahoma" w:hAnsi="Tahoma" w:cs="Tahoma"/>
                <w:sz w:val="18"/>
                <w:lang w:val="pt-BR"/>
              </w:rPr>
              <w:t>Consulte as notas de produtos individuais para determinar quais produtos se qualificam para essa exceção.</w:t>
            </w:r>
          </w:p>
        </w:tc>
      </w:tr>
      <w:tr w:rsidR="008B1196" w:rsidRPr="00EB4D74" w:rsidTr="00EA30FC">
        <w:tc>
          <w:tcPr>
            <w:tcW w:w="1905" w:type="dxa"/>
          </w:tcPr>
          <w:p w:rsidR="008B1196" w:rsidRPr="00EB4D74" w:rsidRDefault="008B1196" w:rsidP="00EA30FC">
            <w:pPr>
              <w:pStyle w:val="AppendixBodyText"/>
              <w:ind w:right="358"/>
              <w:rPr>
                <w:rFonts w:ascii="Tahoma" w:hAnsi="Tahoma" w:cs="Tahoma"/>
                <w:b/>
                <w:color w:val="000000"/>
                <w:szCs w:val="18"/>
                <w:lang w:eastAsia="ja-JP"/>
              </w:rPr>
            </w:pPr>
            <w:r w:rsidRPr="00EB4D74">
              <w:rPr>
                <w:rFonts w:ascii="Tahoma" w:hAnsi="Tahoma" w:cs="Tahoma"/>
                <w:b/>
                <w:color w:val="000000"/>
                <w:szCs w:val="18"/>
                <w:lang w:eastAsia="ja-JP"/>
              </w:rPr>
              <w:lastRenderedPageBreak/>
              <w:t xml:space="preserve">Open Value Subscription </w:t>
            </w:r>
            <w:r w:rsidRPr="00EB4D74">
              <w:rPr>
                <w:rFonts w:ascii="Tahoma" w:hAnsi="Tahoma" w:cs="Tahoma"/>
                <w:b/>
                <w:color w:val="000000"/>
                <w:lang w:val="pt-BR"/>
              </w:rPr>
              <w:t>–</w:t>
            </w:r>
            <w:r w:rsidRPr="00EB4D74">
              <w:rPr>
                <w:rFonts w:ascii="Tahoma" w:hAnsi="Tahoma" w:cs="Tahoma"/>
                <w:b/>
                <w:color w:val="000000"/>
                <w:szCs w:val="18"/>
                <w:lang w:eastAsia="ja-JP"/>
              </w:rPr>
              <w:t xml:space="preserve"> ES</w:t>
            </w:r>
          </w:p>
        </w:tc>
        <w:tc>
          <w:tcPr>
            <w:tcW w:w="7311" w:type="dxa"/>
          </w:tcPr>
          <w:p w:rsidR="008B1196" w:rsidRPr="00EB4D74" w:rsidRDefault="008B1196" w:rsidP="00EA30FC">
            <w:pPr>
              <w:rPr>
                <w:rFonts w:cs="Tahoma"/>
                <w:szCs w:val="18"/>
                <w:lang w:val="it-IT"/>
              </w:rPr>
            </w:pPr>
            <w:r w:rsidRPr="00EB4D74">
              <w:rPr>
                <w:rFonts w:cs="Tahoma"/>
                <w:lang w:val="pt-BR"/>
              </w:rPr>
              <w:t>Open Value Subscription – ES requer pelo menos um Produto da Plataforma Desktop para uma Contagem para toda a Organização de pelo menos 5 OU pelo menos um Produto da Plataforma Desktop para a Contagem de Estudantes de pelo menos 5.</w:t>
            </w:r>
          </w:p>
        </w:tc>
      </w:tr>
      <w:tr w:rsidR="008B1196" w:rsidRPr="00EB4D74" w:rsidTr="00EA30FC">
        <w:tc>
          <w:tcPr>
            <w:tcW w:w="1905" w:type="dxa"/>
          </w:tcPr>
          <w:p w:rsidR="008B1196" w:rsidRPr="00EB4D74" w:rsidRDefault="008B1196" w:rsidP="00EA30FC">
            <w:pPr>
              <w:pStyle w:val="AppendixBodyText"/>
              <w:ind w:right="720"/>
              <w:rPr>
                <w:rFonts w:ascii="Tahoma" w:hAnsi="Tahoma" w:cs="Tahoma"/>
                <w:b/>
                <w:color w:val="000000"/>
                <w:szCs w:val="18"/>
                <w:lang w:eastAsia="ja-JP"/>
              </w:rPr>
            </w:pPr>
            <w:r w:rsidRPr="00EB4D74">
              <w:rPr>
                <w:rFonts w:ascii="Tahoma" w:hAnsi="Tahoma" w:cs="Tahoma"/>
                <w:b/>
                <w:color w:val="000000"/>
                <w:lang w:val="pt-BR"/>
              </w:rPr>
              <w:t>Select</w:t>
            </w:r>
          </w:p>
        </w:tc>
        <w:tc>
          <w:tcPr>
            <w:tcW w:w="7311" w:type="dxa"/>
          </w:tcPr>
          <w:p w:rsidR="008B1196" w:rsidRPr="00EB4D74" w:rsidRDefault="008B1196" w:rsidP="00EA30FC">
            <w:pPr>
              <w:pStyle w:val="AppendixBodyText"/>
              <w:ind w:right="720"/>
              <w:rPr>
                <w:rFonts w:ascii="Tahoma" w:hAnsi="Tahoma" w:cs="Tahoma"/>
                <w:color w:val="000000"/>
                <w:sz w:val="18"/>
                <w:szCs w:val="18"/>
                <w:lang w:val="it-IT" w:eastAsia="ja-JP"/>
              </w:rPr>
            </w:pPr>
            <w:r w:rsidRPr="00EB4D74">
              <w:rPr>
                <w:rFonts w:ascii="Tahoma" w:hAnsi="Tahoma" w:cs="Tahoma"/>
                <w:color w:val="000000"/>
                <w:sz w:val="18"/>
                <w:szCs w:val="18"/>
                <w:lang w:val="pt-BR"/>
              </w:rPr>
              <w:t xml:space="preserve">A Licença Select requer um pedido mínimo de 1.500 pontos por pool ao longo do prazo do contrato. </w:t>
            </w:r>
            <w:r w:rsidRPr="00EB4D74">
              <w:rPr>
                <w:rFonts w:ascii="Tahoma" w:hAnsi="Tahoma" w:cs="Tahoma"/>
                <w:color w:val="000000"/>
                <w:sz w:val="18"/>
                <w:lang w:val="pt-BR"/>
              </w:rPr>
              <w:t>Os requisitos de quantidade mínima do pedido poderão ser dispensados caso seja fornecido um contrato qualificado.</w:t>
            </w:r>
          </w:p>
        </w:tc>
      </w:tr>
      <w:tr w:rsidR="008B1196" w:rsidRPr="00EB4D74" w:rsidTr="00EA30FC">
        <w:tc>
          <w:tcPr>
            <w:tcW w:w="1905" w:type="dxa"/>
          </w:tcPr>
          <w:p w:rsidR="008B1196" w:rsidRPr="00EB4D74" w:rsidRDefault="008B1196" w:rsidP="00EA30FC">
            <w:pPr>
              <w:pStyle w:val="AppendixBodyText"/>
              <w:ind w:right="720"/>
              <w:rPr>
                <w:rFonts w:ascii="Tahoma" w:hAnsi="Tahoma" w:cs="Tahoma"/>
                <w:b/>
                <w:color w:val="000000"/>
                <w:szCs w:val="18"/>
                <w:lang w:eastAsia="ja-JP"/>
              </w:rPr>
            </w:pPr>
            <w:r w:rsidRPr="00EB4D74">
              <w:rPr>
                <w:rFonts w:ascii="Tahoma" w:hAnsi="Tahoma" w:cs="Tahoma"/>
                <w:b/>
                <w:color w:val="000000"/>
                <w:lang w:val="pt-BR"/>
              </w:rPr>
              <w:t>Select Plus</w:t>
            </w:r>
          </w:p>
        </w:tc>
        <w:tc>
          <w:tcPr>
            <w:tcW w:w="7311" w:type="dxa"/>
          </w:tcPr>
          <w:p w:rsidR="008B1196" w:rsidRPr="00EB4D74" w:rsidRDefault="008B1196" w:rsidP="00EA30FC">
            <w:pPr>
              <w:pStyle w:val="AppendixBodyText"/>
              <w:ind w:right="720"/>
              <w:rPr>
                <w:rFonts w:ascii="Tahoma" w:hAnsi="Tahoma" w:cs="Tahoma"/>
                <w:lang w:val="it-IT"/>
              </w:rPr>
            </w:pPr>
            <w:r w:rsidRPr="00EB4D74">
              <w:rPr>
                <w:rFonts w:ascii="Tahoma" w:hAnsi="Tahoma" w:cs="Tahoma"/>
                <w:color w:val="000000"/>
                <w:sz w:val="18"/>
                <w:szCs w:val="18"/>
                <w:lang w:val="pt-BR"/>
              </w:rPr>
              <w:t xml:space="preserve">O Select Plus requer um pedido mínimo inicial de 500 pontos por pool durante o primeiro ano. </w:t>
            </w:r>
            <w:r w:rsidRPr="00EB4D74">
              <w:rPr>
                <w:rFonts w:ascii="Tahoma" w:hAnsi="Tahoma" w:cs="Tahoma"/>
                <w:color w:val="000000"/>
                <w:sz w:val="18"/>
                <w:lang w:val="pt-BR"/>
              </w:rPr>
              <w:t>Esse requisito de quantidade no pedido poderá ser dispensado caso seja fornecido um contrato qualificado.</w:t>
            </w:r>
          </w:p>
          <w:p w:rsidR="008B1196" w:rsidRPr="00EB4D74" w:rsidRDefault="008B1196" w:rsidP="00EA30FC">
            <w:pPr>
              <w:pStyle w:val="AppendixBodyText"/>
              <w:ind w:right="720"/>
              <w:rPr>
                <w:rFonts w:ascii="Tahoma" w:hAnsi="Tahoma" w:cs="Tahoma"/>
                <w:sz w:val="18"/>
                <w:szCs w:val="18"/>
                <w:lang w:val="it-IT"/>
              </w:rPr>
            </w:pPr>
          </w:p>
          <w:p w:rsidR="008B1196" w:rsidRPr="00EB4D74" w:rsidRDefault="008B1196" w:rsidP="00EA30FC">
            <w:pPr>
              <w:rPr>
                <w:rFonts w:cs="Tahoma"/>
              </w:rPr>
            </w:pPr>
            <w:bookmarkStart w:id="736" w:name="_Toc323159727"/>
            <w:bookmarkEnd w:id="736"/>
            <w:r w:rsidRPr="00EB4D74">
              <w:rPr>
                <w:rFonts w:cs="Tahoma"/>
                <w:b/>
                <w:lang w:val="pt-BR"/>
              </w:rPr>
              <w:t>Categorias de preços no Select Plus</w:t>
            </w:r>
          </w:p>
          <w:p w:rsidR="008B1196" w:rsidRPr="00EB4D74" w:rsidRDefault="008B1196" w:rsidP="00EA30FC">
            <w:pPr>
              <w:tabs>
                <w:tab w:val="num" w:pos="0"/>
              </w:tabs>
              <w:rPr>
                <w:rFonts w:cs="Tahoma"/>
              </w:rPr>
            </w:pPr>
          </w:p>
          <w:p w:rsidR="008B1196" w:rsidRPr="00EB4D74" w:rsidRDefault="008B1196" w:rsidP="00EA30FC">
            <w:pPr>
              <w:rPr>
                <w:rFonts w:cs="Tahoma"/>
              </w:rPr>
            </w:pPr>
            <w:r w:rsidRPr="00EB4D74">
              <w:rPr>
                <w:rFonts w:cs="Tahoma"/>
                <w:lang w:val="pt-BR"/>
              </w:rPr>
              <w:t>Os clientes estarão qualificados para o Programa Select Plus se corresponderem a um desses critérios:</w:t>
            </w:r>
          </w:p>
          <w:p w:rsidR="008B1196" w:rsidRPr="00EB4D74" w:rsidRDefault="008B1196" w:rsidP="00EA30FC">
            <w:pPr>
              <w:rPr>
                <w:rFonts w:cs="Tahoma"/>
              </w:rPr>
            </w:pPr>
          </w:p>
          <w:p w:rsidR="008B1196" w:rsidRPr="00EB4D74" w:rsidRDefault="008B1196" w:rsidP="00EA30FC">
            <w:pPr>
              <w:pStyle w:val="ListParagraph"/>
              <w:numPr>
                <w:ilvl w:val="0"/>
                <w:numId w:val="4"/>
              </w:numPr>
              <w:spacing w:after="60"/>
              <w:contextualSpacing w:val="0"/>
              <w:rPr>
                <w:rFonts w:ascii="Tahoma" w:hAnsi="Tahoma" w:cs="Tahoma"/>
                <w:szCs w:val="24"/>
              </w:rPr>
            </w:pPr>
            <w:r w:rsidRPr="00EB4D74">
              <w:rPr>
                <w:rFonts w:ascii="Tahoma" w:hAnsi="Tahoma" w:cs="Tahoma"/>
                <w:sz w:val="18"/>
                <w:szCs w:val="24"/>
                <w:lang w:val="pt-BR"/>
              </w:rPr>
              <w:t>Manutenção de um Registro Enterprise ativo sob um Contrato Enterprise separado ou um Registro Enterprise Subscription sob um Contrato Enterprise Subscription (os clientes Academic poderão usar um Contrato para Campus ou Contrato School ativo ou um Registro para Soluções Educacionais ativo como contrato qualificado);</w:t>
            </w:r>
          </w:p>
          <w:p w:rsidR="008B1196" w:rsidRPr="00EB4D74" w:rsidRDefault="008B1196" w:rsidP="00EA30FC">
            <w:pPr>
              <w:numPr>
                <w:ilvl w:val="0"/>
                <w:numId w:val="4"/>
              </w:numPr>
              <w:spacing w:after="60"/>
              <w:rPr>
                <w:rFonts w:cs="Tahoma"/>
                <w:lang w:val="it-IT"/>
              </w:rPr>
            </w:pPr>
            <w:r w:rsidRPr="00EB4D74">
              <w:rPr>
                <w:rFonts w:cs="Tahoma"/>
                <w:lang w:val="pt-BR"/>
              </w:rPr>
              <w:t>Envio de um pedido que cumpra um mínimo de 500 pontos para cada pool de produtos selecionado pelo Cliente durante o primeiro ano;</w:t>
            </w:r>
          </w:p>
          <w:p w:rsidR="008B1196" w:rsidRPr="00EB4D74" w:rsidRDefault="008B1196" w:rsidP="00EA30FC">
            <w:pPr>
              <w:pStyle w:val="ListParagraph"/>
              <w:numPr>
                <w:ilvl w:val="0"/>
                <w:numId w:val="4"/>
              </w:numPr>
              <w:spacing w:after="60"/>
              <w:contextualSpacing w:val="0"/>
              <w:rPr>
                <w:rFonts w:ascii="Tahoma" w:hAnsi="Tahoma" w:cs="Tahoma"/>
                <w:szCs w:val="24"/>
                <w:lang w:val="it-IT"/>
              </w:rPr>
            </w:pPr>
            <w:r w:rsidRPr="00EB4D74">
              <w:rPr>
                <w:rFonts w:ascii="Tahoma" w:hAnsi="Tahoma" w:cs="Tahoma"/>
                <w:sz w:val="18"/>
                <w:szCs w:val="24"/>
                <w:lang w:val="pt-BR"/>
              </w:rPr>
              <w:t>Identificação de um contrato em que a quantidade do pedido mínimo tenha sido comprada durante os 12 meses anteriores à data de início de vigência do Contrato Select Plus do cliente; e</w:t>
            </w:r>
          </w:p>
          <w:p w:rsidR="008B1196" w:rsidRPr="00EB4D74" w:rsidRDefault="008B1196" w:rsidP="00EA30FC">
            <w:pPr>
              <w:rPr>
                <w:rFonts w:cs="Tahoma"/>
                <w:lang w:val="it-IT"/>
              </w:rPr>
            </w:pPr>
          </w:p>
          <w:p w:rsidR="008B1196" w:rsidRPr="00EB4D74" w:rsidRDefault="008B1196" w:rsidP="00EA30FC">
            <w:pPr>
              <w:rPr>
                <w:rFonts w:cs="Tahoma"/>
                <w:lang w:val="it-IT"/>
              </w:rPr>
            </w:pPr>
            <w:r w:rsidRPr="00EB4D74">
              <w:rPr>
                <w:rFonts w:cs="Tahoma"/>
                <w:szCs w:val="18"/>
                <w:lang w:val="pt-BR"/>
              </w:rPr>
              <w:t>Para as opções 2 e 3 acima, o Cliente terá que manter um mínimo de 500 pontos em cada pool de produtos que selecionar por ocasião da verificação de conformidade.</w:t>
            </w:r>
          </w:p>
          <w:p w:rsidR="008B1196" w:rsidRPr="00EB4D74" w:rsidRDefault="008B1196" w:rsidP="00EA30FC">
            <w:pPr>
              <w:rPr>
                <w:rFonts w:cs="Tahoma"/>
                <w:lang w:val="it-IT"/>
              </w:rPr>
            </w:pPr>
          </w:p>
          <w:p w:rsidR="008B1196" w:rsidRPr="00EB4D74" w:rsidRDefault="008B1196" w:rsidP="00EA30FC">
            <w:pPr>
              <w:rPr>
                <w:rFonts w:cs="Tahoma"/>
                <w:lang w:val="it-IT"/>
              </w:rPr>
            </w:pPr>
            <w:r w:rsidRPr="00EB4D74">
              <w:rPr>
                <w:rFonts w:cs="Tahoma"/>
                <w:lang w:val="pt-BR"/>
              </w:rPr>
              <w:t>Os preços do Cliente baseiam-se no contrato entre o Cliente e seu revendedor. Porém, a Microsoft sugere ao revendedor os seguintes critérios de preços e pontos para orientá-lo quanto ao preço final para o consumidor:</w:t>
            </w:r>
          </w:p>
          <w:p w:rsidR="008B1196" w:rsidRPr="00EB4D74" w:rsidRDefault="008B1196" w:rsidP="00EA30FC">
            <w:pPr>
              <w:rPr>
                <w:rFonts w:cs="Tahoma"/>
                <w:sz w:val="12"/>
                <w:szCs w:val="12"/>
                <w:lang w:val="it-IT"/>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B1196" w:rsidRPr="00EB4D74" w:rsidTr="00EA30FC">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jc w:val="center"/>
                    <w:rPr>
                      <w:rFonts w:cs="Tahoma"/>
                      <w:b/>
                      <w:sz w:val="20"/>
                      <w:szCs w:val="18"/>
                      <w:lang w:val="it-IT"/>
                    </w:rPr>
                  </w:pPr>
                  <w:r w:rsidRPr="00EB4D74">
                    <w:rPr>
                      <w:rFonts w:cs="Tahoma"/>
                      <w:b/>
                      <w:sz w:val="20"/>
                      <w:szCs w:val="18"/>
                      <w:lang w:val="pt-BR"/>
                    </w:rPr>
                    <w:t>Categoria de preço no Select Plus —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jc w:val="center"/>
                    <w:rPr>
                      <w:rFonts w:cs="Tahoma"/>
                      <w:b/>
                      <w:sz w:val="20"/>
                      <w:szCs w:val="18"/>
                      <w:lang w:val="it-IT"/>
                    </w:rPr>
                  </w:pPr>
                  <w:r w:rsidRPr="00EB4D74">
                    <w:rPr>
                      <w:rFonts w:cs="Tahoma"/>
                      <w:b/>
                      <w:sz w:val="20"/>
                      <w:szCs w:val="18"/>
                      <w:lang w:val="pt-BR"/>
                    </w:rPr>
                    <w:t>Mínimo de Pontos Anuais por Pool</w:t>
                  </w:r>
                </w:p>
              </w:tc>
            </w:tr>
            <w:tr w:rsidR="008B1196" w:rsidRPr="00EB4D74"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pt-BR"/>
                    </w:rPr>
                    <w:t>A</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it-IT"/>
                    </w:rPr>
                    <w:t>500</w:t>
                  </w:r>
                </w:p>
              </w:tc>
            </w:tr>
            <w:tr w:rsidR="008B1196" w:rsidRPr="00EB4D74"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pt-BR"/>
                    </w:rPr>
                    <w:t>B</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it-IT"/>
                    </w:rPr>
                    <w:t>4.000</w:t>
                  </w:r>
                </w:p>
              </w:tc>
            </w:tr>
            <w:tr w:rsidR="008B1196" w:rsidRPr="00EB4D74"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pt-BR"/>
                    </w:rPr>
                    <w:t>C</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it-IT"/>
                    </w:rPr>
                    <w:t>10.000</w:t>
                  </w:r>
                </w:p>
              </w:tc>
            </w:tr>
            <w:tr w:rsidR="008B1196" w:rsidRPr="00EB4D74" w:rsidTr="00EA30FC">
              <w:trPr>
                <w:trHeight w:hRule="exact" w:val="389"/>
                <w:jc w:val="center"/>
              </w:trPr>
              <w:tc>
                <w:tcPr>
                  <w:tcW w:w="27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pt-BR"/>
                    </w:rPr>
                    <w:t>D</w:t>
                  </w:r>
                </w:p>
              </w:tc>
              <w:tc>
                <w:tcPr>
                  <w:tcW w:w="28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jc w:val="center"/>
                    <w:rPr>
                      <w:rFonts w:cs="Tahoma"/>
                      <w:szCs w:val="18"/>
                      <w:lang w:val="it-IT"/>
                    </w:rPr>
                  </w:pPr>
                  <w:r w:rsidRPr="00EB4D74">
                    <w:rPr>
                      <w:rFonts w:cs="Tahoma"/>
                      <w:szCs w:val="18"/>
                      <w:lang w:val="it-IT"/>
                    </w:rPr>
                    <w:t>25.000</w:t>
                  </w:r>
                </w:p>
              </w:tc>
            </w:tr>
          </w:tbl>
          <w:p w:rsidR="008B1196" w:rsidRPr="00EB4D74" w:rsidRDefault="008B1196" w:rsidP="00EA30FC">
            <w:pPr>
              <w:pStyle w:val="AppendixBodyText"/>
              <w:ind w:right="720"/>
              <w:rPr>
                <w:rFonts w:ascii="Tahoma" w:hAnsi="Tahoma" w:cs="Tahoma"/>
                <w:i/>
                <w:sz w:val="16"/>
                <w:lang w:val="pt-BR"/>
              </w:rPr>
            </w:pPr>
          </w:p>
          <w:p w:rsidR="008B1196" w:rsidRPr="00EB4D74" w:rsidRDefault="008B1196" w:rsidP="00EA30FC">
            <w:pPr>
              <w:pStyle w:val="AppendixBodyText"/>
              <w:ind w:right="720"/>
              <w:rPr>
                <w:rFonts w:ascii="Tahoma" w:hAnsi="Tahoma" w:cs="Tahoma"/>
                <w:i/>
                <w:sz w:val="16"/>
                <w:lang w:val="pt-BR"/>
              </w:rPr>
            </w:pPr>
          </w:p>
          <w:p w:rsidR="008B1196" w:rsidRPr="00EB4D74" w:rsidRDefault="008B1196" w:rsidP="00EA30FC">
            <w:pPr>
              <w:pStyle w:val="AppendixBodyText"/>
              <w:ind w:right="720"/>
              <w:rPr>
                <w:rFonts w:ascii="Tahoma" w:hAnsi="Tahoma" w:cs="Tahoma"/>
                <w:i/>
                <w:sz w:val="4"/>
                <w:szCs w:val="4"/>
                <w:lang w:val="pt-BR"/>
              </w:rPr>
            </w:pPr>
          </w:p>
          <w:p w:rsidR="008B1196" w:rsidRPr="00EB4D74" w:rsidRDefault="008B1196" w:rsidP="00EA30FC">
            <w:pPr>
              <w:pStyle w:val="AppendixBodyText"/>
              <w:ind w:right="720"/>
              <w:rPr>
                <w:rFonts w:ascii="Tahoma" w:hAnsi="Tahoma" w:cs="Tahoma"/>
                <w:sz w:val="12"/>
                <w:lang w:val="it-IT" w:eastAsia="ja-JP"/>
              </w:rPr>
            </w:pPr>
            <w:r w:rsidRPr="00EB4D74">
              <w:rPr>
                <w:rFonts w:ascii="Tahoma" w:hAnsi="Tahoma" w:cs="Tahoma"/>
                <w:i/>
                <w:sz w:val="16"/>
                <w:lang w:val="pt-BR"/>
              </w:rPr>
              <w:lastRenderedPageBreak/>
              <w:t>Observação: Quaisquer pontos que o cliente tenha em excesso na categoria de preços mínima serão transportados para o próximo ano para verificação de conformidade desses anos. Por exemplo, se o cliente tiver 4.500 pontos na verificação de conformidade anual, 500 pontos serão transportados para o ano seguinte para serem usados em relação à conformidade desses anos.</w:t>
            </w:r>
          </w:p>
        </w:tc>
      </w:tr>
      <w:tr w:rsidR="008B1196" w:rsidRPr="00EB4D74" w:rsidTr="00EA30FC">
        <w:trPr>
          <w:cantSplit/>
        </w:trPr>
        <w:tc>
          <w:tcPr>
            <w:tcW w:w="1905" w:type="dxa"/>
          </w:tcPr>
          <w:p w:rsidR="008B1196" w:rsidRPr="00EB4D74" w:rsidRDefault="008B1196" w:rsidP="00EA30FC">
            <w:pPr>
              <w:pStyle w:val="AppendixBodyText"/>
              <w:ind w:right="720"/>
              <w:rPr>
                <w:rFonts w:ascii="Tahoma" w:hAnsi="Tahoma" w:cs="Tahoma"/>
                <w:b/>
                <w:color w:val="000000"/>
                <w:szCs w:val="18"/>
                <w:lang w:eastAsia="ja-JP"/>
              </w:rPr>
            </w:pPr>
            <w:r w:rsidRPr="00EB4D74">
              <w:rPr>
                <w:rFonts w:ascii="Tahoma" w:hAnsi="Tahoma" w:cs="Tahoma"/>
                <w:b/>
                <w:color w:val="000000"/>
                <w:lang w:val="pt-BR"/>
              </w:rPr>
              <w:lastRenderedPageBreak/>
              <w:t>Contrato School</w:t>
            </w:r>
          </w:p>
        </w:tc>
        <w:tc>
          <w:tcPr>
            <w:tcW w:w="7311" w:type="dxa"/>
          </w:tcPr>
          <w:p w:rsidR="008B1196" w:rsidRPr="00EB4D74" w:rsidRDefault="008B1196" w:rsidP="00EA30FC">
            <w:pPr>
              <w:pStyle w:val="AppendixBodyText"/>
              <w:ind w:right="720"/>
              <w:rPr>
                <w:rFonts w:ascii="Tahoma" w:hAnsi="Tahoma" w:cs="Tahoma"/>
                <w:lang w:val="it-IT"/>
              </w:rPr>
            </w:pPr>
            <w:r w:rsidRPr="00EB4D74">
              <w:rPr>
                <w:rFonts w:ascii="Tahoma" w:hAnsi="Tahoma" w:cs="Tahoma"/>
                <w:sz w:val="18"/>
                <w:lang w:val="pt-BR"/>
              </w:rPr>
              <w:t>O Contrato School requer um pedido mínimo de 300 unidades. As unidades são determinadas multiplicando-se o número total de produtos de aplicativo, sistema e CAL selecionados pelo número total de PCs qualificados ou FTEs/Funcionários qualificados. Observe que o requisito de pedido mínimo pode variar conforme a região geográfica.</w:t>
            </w:r>
          </w:p>
          <w:p w:rsidR="008B1196" w:rsidRPr="00EB4D74" w:rsidRDefault="008B1196" w:rsidP="00EA30FC">
            <w:pPr>
              <w:pStyle w:val="AppendixBodyText"/>
              <w:ind w:right="720"/>
              <w:rPr>
                <w:rFonts w:ascii="Tahoma" w:hAnsi="Tahoma" w:cs="Tahoma"/>
                <w:sz w:val="18"/>
                <w:szCs w:val="18"/>
                <w:lang w:val="it-IT"/>
              </w:rPr>
            </w:pPr>
          </w:p>
          <w:p w:rsidR="008B1196" w:rsidRPr="00EB4D74" w:rsidRDefault="008B1196" w:rsidP="00EA30FC">
            <w:pPr>
              <w:tabs>
                <w:tab w:val="left" w:pos="8640"/>
              </w:tabs>
              <w:ind w:right="720"/>
              <w:rPr>
                <w:rFonts w:cs="Tahoma"/>
                <w:color w:val="000000"/>
                <w:szCs w:val="20"/>
                <w:lang w:val="it-IT" w:eastAsia="ja-JP"/>
              </w:rPr>
            </w:pPr>
            <w:r w:rsidRPr="00EB4D74">
              <w:rPr>
                <w:rFonts w:cs="Tahoma"/>
                <w:b/>
                <w:color w:val="000000"/>
                <w:lang w:val="pt-BR"/>
              </w:rPr>
              <w:t xml:space="preserve">Observação: </w:t>
            </w:r>
            <w:r w:rsidRPr="00EB4D74">
              <w:rPr>
                <w:rFonts w:cs="Tahoma"/>
                <w:color w:val="000000"/>
                <w:lang w:val="pt-BR"/>
              </w:rPr>
              <w:t>Os clientes de Contrato School não estão qualificados para escolher produtos de aplicativo, sistema, Licença de Assinatura (usuário/dispositivo) e CAL para apenas uma parte dos PCs incluídos na assinatura, salvo se explicitamente disposto nas Notas de Condições do Produto na Lista de Produtos. Por exemplo, se a assinatura for para um total de 100 PCs, os produtos de aplicativo, sistema, Licença de Assinatura (usuário/dispositivo) e CAL selecionados serão para todos os 100 PCs, ainda que apenas uma parte desses PCs venha a executar um produto específico.</w:t>
            </w:r>
          </w:p>
        </w:tc>
      </w:tr>
      <w:tr w:rsidR="008B1196" w:rsidRPr="00EB4D74" w:rsidTr="00EA30FC">
        <w:tc>
          <w:tcPr>
            <w:tcW w:w="1905" w:type="dxa"/>
          </w:tcPr>
          <w:p w:rsidR="008B1196" w:rsidRPr="00EB4D74" w:rsidRDefault="008B1196" w:rsidP="00EA30FC">
            <w:pPr>
              <w:pStyle w:val="AppendixBodyText"/>
              <w:ind w:right="720"/>
              <w:rPr>
                <w:rFonts w:ascii="Tahoma" w:hAnsi="Tahoma" w:cs="Tahoma"/>
                <w:b/>
                <w:color w:val="000000"/>
                <w:sz w:val="18"/>
                <w:szCs w:val="18"/>
                <w:lang w:val="it-IT" w:eastAsia="ja-JP"/>
              </w:rPr>
            </w:pPr>
            <w:r w:rsidRPr="00EB4D74">
              <w:rPr>
                <w:rFonts w:ascii="Tahoma" w:hAnsi="Tahoma" w:cs="Tahoma"/>
                <w:b/>
                <w:lang w:val="pt-BR"/>
              </w:rPr>
              <w:t>Contrato Enterprise e Contrato Enterprise Subscription</w:t>
            </w:r>
          </w:p>
        </w:tc>
        <w:tc>
          <w:tcPr>
            <w:tcW w:w="7311" w:type="dxa"/>
          </w:tcPr>
          <w:p w:rsidR="008B1196" w:rsidRPr="00EB4D74" w:rsidRDefault="008B1196" w:rsidP="00EA30FC">
            <w:pPr>
              <w:rPr>
                <w:rFonts w:cs="Tahoma"/>
                <w:lang w:val="it-IT"/>
              </w:rPr>
            </w:pPr>
            <w:r w:rsidRPr="00EB4D74">
              <w:rPr>
                <w:rFonts w:cs="Tahoma"/>
                <w:lang w:val="pt-BR"/>
              </w:rPr>
              <w:t>Contrato Enterprise (EA) e Contrato Enterprise Subscription (ESA) exige um mínimo de 250 Dispositivos Qualificados/Desktops ou Usuários Qualificados.</w:t>
            </w:r>
          </w:p>
          <w:p w:rsidR="008B1196" w:rsidRPr="00EB4D74" w:rsidRDefault="008B1196" w:rsidP="00EA30FC">
            <w:pPr>
              <w:rPr>
                <w:rFonts w:cs="Tahoma"/>
                <w:lang w:val="it-IT"/>
              </w:rPr>
            </w:pPr>
          </w:p>
          <w:p w:rsidR="008B1196" w:rsidRPr="00EB4D74" w:rsidRDefault="008B1196" w:rsidP="00EA30FC">
            <w:pPr>
              <w:rPr>
                <w:rFonts w:cs="Tahoma"/>
                <w:lang w:val="it-IT"/>
              </w:rPr>
            </w:pPr>
            <w:r w:rsidRPr="00EB4D74">
              <w:rPr>
                <w:rFonts w:cs="Tahoma"/>
                <w:b/>
                <w:lang w:val="pt-BR"/>
              </w:rPr>
              <w:t>Desktop Qualificado/Desktop</w:t>
            </w:r>
          </w:p>
          <w:p w:rsidR="008B1196" w:rsidRPr="00EB4D74" w:rsidRDefault="008B1196" w:rsidP="00EA30FC">
            <w:pPr>
              <w:rPr>
                <w:rFonts w:cs="Tahoma"/>
                <w:lang w:val="it-IT"/>
              </w:rPr>
            </w:pPr>
            <w:bookmarkStart w:id="737" w:name="_Toc323159729"/>
            <w:bookmarkStart w:id="738" w:name="_Toc325313134"/>
            <w:bookmarkStart w:id="739" w:name="_Toc325609169"/>
            <w:bookmarkEnd w:id="737"/>
            <w:bookmarkEnd w:id="738"/>
            <w:bookmarkEnd w:id="739"/>
            <w:r w:rsidRPr="00EB4D74">
              <w:rPr>
                <w:rFonts w:cs="Tahoma"/>
                <w:lang w:val="pt-BR"/>
              </w:rPr>
              <w:t>Apesar de qualquer disposição em contrário no Contrato de Licenciamento por Volume, os Dispositivos Qualificados/Desktops não incluem nenhum dispositivo de terceiros qualificado a partir do qual seus usuários acessam e usam somente o software sob os Direitos de Uso de Roaming para o seguinte:</w:t>
            </w:r>
          </w:p>
          <w:p w:rsidR="008B1196" w:rsidRPr="00EB4D74" w:rsidRDefault="008B1196" w:rsidP="00EA30FC">
            <w:pPr>
              <w:rPr>
                <w:rFonts w:cs="Tahoma"/>
                <w:lang w:val="it-IT"/>
              </w:rPr>
            </w:pPr>
          </w:p>
          <w:p w:rsidR="008B1196" w:rsidRPr="00EB4D74" w:rsidRDefault="008B1196" w:rsidP="00EA30FC">
            <w:pPr>
              <w:rPr>
                <w:rFonts w:cs="Tahoma"/>
              </w:rPr>
            </w:pPr>
            <w:r w:rsidRPr="00EB4D74">
              <w:rPr>
                <w:rFonts w:cs="Tahoma"/>
                <w:lang w:val="pt-BR"/>
              </w:rPr>
              <w:t>Software Assurance do Windows,</w:t>
            </w:r>
          </w:p>
          <w:p w:rsidR="008B1196" w:rsidRPr="00EB4D74" w:rsidRDefault="008B1196" w:rsidP="00EA30FC">
            <w:pPr>
              <w:rPr>
                <w:rFonts w:cs="Tahoma"/>
              </w:rPr>
            </w:pPr>
          </w:p>
          <w:p w:rsidR="008B1196" w:rsidRPr="00EB4D74" w:rsidRDefault="008B1196" w:rsidP="00EA30FC">
            <w:pPr>
              <w:numPr>
                <w:ilvl w:val="0"/>
                <w:numId w:val="10"/>
              </w:numPr>
              <w:spacing w:after="60"/>
              <w:rPr>
                <w:rFonts w:cs="Tahoma"/>
              </w:rPr>
            </w:pPr>
            <w:r w:rsidRPr="00EB4D74">
              <w:rPr>
                <w:rFonts w:cs="Tahoma"/>
                <w:lang w:val="pt-BR"/>
              </w:rPr>
              <w:t>Windows Virtual Desktop Access (VECD),</w:t>
            </w:r>
          </w:p>
          <w:p w:rsidR="008B1196" w:rsidRPr="00EB4D74" w:rsidRDefault="008B1196" w:rsidP="00EA30FC">
            <w:pPr>
              <w:numPr>
                <w:ilvl w:val="0"/>
                <w:numId w:val="10"/>
              </w:numPr>
              <w:spacing w:after="60"/>
              <w:rPr>
                <w:rFonts w:cs="Tahoma"/>
              </w:rPr>
            </w:pPr>
            <w:r w:rsidRPr="00EB4D74">
              <w:rPr>
                <w:rFonts w:cs="Tahoma"/>
                <w:lang w:val="pt-BR"/>
              </w:rPr>
              <w:t>Pacotes do Virtual Desktop Infrastructure,</w:t>
            </w:r>
          </w:p>
          <w:p w:rsidR="008B1196" w:rsidRPr="00EB4D74" w:rsidRDefault="008B1196" w:rsidP="00EA30FC">
            <w:pPr>
              <w:numPr>
                <w:ilvl w:val="0"/>
                <w:numId w:val="10"/>
              </w:numPr>
              <w:spacing w:after="60"/>
              <w:rPr>
                <w:rFonts w:cs="Tahoma"/>
              </w:rPr>
            </w:pPr>
            <w:r w:rsidRPr="00EB4D74">
              <w:rPr>
                <w:rFonts w:cs="Tahoma"/>
                <w:lang w:val="pt-BR"/>
              </w:rPr>
              <w:t>MDOP para Software Assurance e</w:t>
            </w:r>
          </w:p>
          <w:p w:rsidR="008B1196" w:rsidRPr="00EB4D74" w:rsidRDefault="008B1196" w:rsidP="00EA30FC">
            <w:pPr>
              <w:numPr>
                <w:ilvl w:val="0"/>
                <w:numId w:val="10"/>
              </w:numPr>
              <w:spacing w:after="60"/>
              <w:rPr>
                <w:rFonts w:cs="Tahoma"/>
              </w:rPr>
            </w:pPr>
            <w:r w:rsidRPr="00EB4D74">
              <w:rPr>
                <w:rFonts w:cs="Tahoma"/>
                <w:lang w:val="pt-BR"/>
              </w:rPr>
              <w:t>Software Assurance para todas as edições do Office, Project e Visio que incluem os Direitos de Uso de Roaming.</w:t>
            </w:r>
          </w:p>
          <w:p w:rsidR="008B1196" w:rsidRPr="00EB4D74" w:rsidRDefault="008B1196" w:rsidP="00EA30FC">
            <w:pPr>
              <w:rPr>
                <w:rFonts w:cs="Tahoma"/>
              </w:rPr>
            </w:pPr>
          </w:p>
          <w:p w:rsidR="008B1196" w:rsidRPr="00EB4D74" w:rsidRDefault="008B1196" w:rsidP="00EA30FC">
            <w:pPr>
              <w:rPr>
                <w:rFonts w:cs="Tahoma"/>
                <w:lang w:val="it-IT"/>
              </w:rPr>
            </w:pPr>
            <w:bookmarkStart w:id="740" w:name="_Toc323159730"/>
            <w:bookmarkStart w:id="741" w:name="_Toc325313135"/>
            <w:bookmarkStart w:id="742" w:name="_Toc325609170"/>
            <w:r w:rsidRPr="00EB4D74">
              <w:rPr>
                <w:rFonts w:cs="Tahoma"/>
                <w:lang w:val="pt-BR"/>
              </w:rPr>
              <w:t xml:space="preserve">“Dispositivo de terceiros qualificado” é um dispositivo não controlado, direta ou indiretamente, por você nem por suas afiliadas (por exemplo, um quiosque público de terceiros). </w:t>
            </w:r>
            <w:bookmarkEnd w:id="740"/>
            <w:bookmarkEnd w:id="741"/>
            <w:bookmarkEnd w:id="742"/>
            <w:r w:rsidRPr="00EB4D74">
              <w:rPr>
                <w:rFonts w:cs="Tahoma"/>
                <w:lang w:val="pt-BR"/>
              </w:rPr>
              <w:t>Para obter mais informações sobre esse produto, consulte os Direitos de Uso de Produto.</w:t>
            </w:r>
          </w:p>
          <w:p w:rsidR="008B1196" w:rsidRPr="00EB4D74" w:rsidRDefault="008B1196" w:rsidP="00EA30FC">
            <w:pPr>
              <w:pStyle w:val="Heading3"/>
              <w:ind w:left="70"/>
              <w:rPr>
                <w:rFonts w:ascii="Tahoma" w:hAnsi="Tahoma" w:cs="Tahoma"/>
                <w:sz w:val="22"/>
                <w:szCs w:val="22"/>
                <w:lang w:val="it-IT"/>
              </w:rPr>
            </w:pPr>
          </w:p>
          <w:p w:rsidR="008B1196" w:rsidRPr="00EB4D74" w:rsidRDefault="008B1196" w:rsidP="00EA30FC">
            <w:pPr>
              <w:rPr>
                <w:rFonts w:cs="Tahoma"/>
                <w:lang w:val="it-IT"/>
              </w:rPr>
            </w:pPr>
            <w:r w:rsidRPr="00EB4D74">
              <w:rPr>
                <w:rFonts w:cs="Tahoma"/>
                <w:b/>
                <w:lang w:val="pt-BR"/>
              </w:rPr>
              <w:t>Isenções de Usuários Qualificados</w:t>
            </w:r>
          </w:p>
          <w:p w:rsidR="008B1196" w:rsidRPr="00EB4D74" w:rsidRDefault="008B1196" w:rsidP="00EA30FC">
            <w:pPr>
              <w:pStyle w:val="AppendixBodyText"/>
              <w:ind w:left="70" w:right="720"/>
              <w:rPr>
                <w:rFonts w:ascii="Tahoma" w:hAnsi="Tahoma" w:cs="Tahoma"/>
                <w:lang w:val="it-IT"/>
              </w:rPr>
            </w:pPr>
            <w:r w:rsidRPr="00EB4D74">
              <w:rPr>
                <w:rFonts w:ascii="Tahoma" w:hAnsi="Tahoma" w:cs="Tahoma"/>
                <w:sz w:val="18"/>
                <w:lang w:val="pt-BR"/>
              </w:rPr>
              <w:t>Uma pessoa que acesse software de servidor ou serviços online exclusivamente sob as licenças identificadas na lista a seguir está isenta de ser contada como um Usuário Qualificado:</w:t>
            </w:r>
          </w:p>
          <w:p w:rsidR="008B1196" w:rsidRPr="00EB4D74" w:rsidRDefault="008B1196" w:rsidP="00EA30FC">
            <w:pPr>
              <w:pStyle w:val="AppendixBodyText"/>
              <w:ind w:right="720"/>
              <w:rPr>
                <w:rFonts w:ascii="Tahoma" w:hAnsi="Tahoma" w:cs="Tahoma"/>
                <w:sz w:val="18"/>
                <w:szCs w:val="18"/>
                <w:lang w:val="it-IT"/>
              </w:rPr>
            </w:pPr>
          </w:p>
          <w:p w:rsidR="008B1196" w:rsidRPr="00EB4D74" w:rsidRDefault="008B1196" w:rsidP="00EA30FC">
            <w:pPr>
              <w:pStyle w:val="AppendixFlushBulletedList"/>
              <w:numPr>
                <w:ilvl w:val="0"/>
                <w:numId w:val="5"/>
              </w:numPr>
              <w:spacing w:after="60"/>
              <w:ind w:left="1627" w:right="720"/>
              <w:rPr>
                <w:rFonts w:ascii="Tahoma" w:hAnsi="Tahoma" w:cs="Tahoma"/>
              </w:rPr>
            </w:pPr>
            <w:r w:rsidRPr="00EB4D74">
              <w:rPr>
                <w:rFonts w:ascii="Tahoma" w:hAnsi="Tahoma" w:cs="Tahoma"/>
                <w:sz w:val="18"/>
                <w:lang w:val="pt-BR"/>
              </w:rPr>
              <w:t>Licença de Assinatura do Usuário do Office 365 Plano K1 ou K2 (USL)</w:t>
            </w:r>
          </w:p>
          <w:p w:rsidR="008B1196" w:rsidRPr="00EB4D74" w:rsidRDefault="008B1196" w:rsidP="00EA30FC">
            <w:pPr>
              <w:pStyle w:val="AppendixFlushBulletedList"/>
              <w:numPr>
                <w:ilvl w:val="0"/>
                <w:numId w:val="5"/>
              </w:numPr>
              <w:spacing w:after="60"/>
              <w:ind w:left="1627" w:right="720"/>
              <w:rPr>
                <w:rFonts w:ascii="Tahoma" w:hAnsi="Tahoma" w:cs="Tahoma"/>
              </w:rPr>
            </w:pPr>
            <w:r w:rsidRPr="00EB4D74">
              <w:rPr>
                <w:rFonts w:ascii="Tahoma" w:hAnsi="Tahoma" w:cs="Tahoma"/>
                <w:sz w:val="18"/>
                <w:lang w:val="pt-BR"/>
              </w:rPr>
              <w:t>USL do Quiosque do SharePoint Online</w:t>
            </w:r>
          </w:p>
          <w:p w:rsidR="008B1196" w:rsidRPr="00EB4D74" w:rsidRDefault="008B1196" w:rsidP="00EA30FC">
            <w:pPr>
              <w:pStyle w:val="AppendixFlushBulletedList"/>
              <w:numPr>
                <w:ilvl w:val="0"/>
                <w:numId w:val="5"/>
              </w:numPr>
              <w:spacing w:after="60"/>
              <w:ind w:left="1627" w:right="720"/>
              <w:rPr>
                <w:rFonts w:ascii="Tahoma" w:hAnsi="Tahoma" w:cs="Tahoma"/>
              </w:rPr>
            </w:pPr>
            <w:r w:rsidRPr="00EB4D74">
              <w:rPr>
                <w:rFonts w:ascii="Tahoma" w:hAnsi="Tahoma" w:cs="Tahoma"/>
                <w:sz w:val="18"/>
                <w:lang w:val="pt-BR"/>
              </w:rPr>
              <w:t>USL do Quiosque do Exchange Online</w:t>
            </w:r>
          </w:p>
          <w:p w:rsidR="008B1196" w:rsidRPr="00EB4D74" w:rsidRDefault="008B1196" w:rsidP="00EA30FC">
            <w:pPr>
              <w:pStyle w:val="AppendixFlushBulletedList"/>
              <w:tabs>
                <w:tab w:val="clear" w:pos="360"/>
              </w:tabs>
              <w:spacing w:after="60"/>
              <w:ind w:right="720"/>
              <w:rPr>
                <w:rFonts w:ascii="Tahoma" w:hAnsi="Tahoma" w:cs="Tahoma"/>
                <w:sz w:val="18"/>
                <w:lang w:val="pt-BR"/>
              </w:rPr>
            </w:pPr>
          </w:p>
          <w:p w:rsidR="008B1196" w:rsidRPr="00EB4D74" w:rsidRDefault="008B1196" w:rsidP="00EA30FC">
            <w:pPr>
              <w:pStyle w:val="AppendixFlushBulletedList"/>
              <w:tabs>
                <w:tab w:val="clear" w:pos="360"/>
              </w:tabs>
              <w:spacing w:after="60"/>
              <w:ind w:right="720"/>
              <w:rPr>
                <w:rFonts w:ascii="Tahoma" w:hAnsi="Tahoma" w:cs="Tahoma"/>
                <w:sz w:val="18"/>
                <w:lang w:val="pt-BR"/>
              </w:rPr>
            </w:pPr>
          </w:p>
          <w:p w:rsidR="008B1196" w:rsidRPr="00EB4D74" w:rsidRDefault="008B1196" w:rsidP="00EA30FC">
            <w:pPr>
              <w:pStyle w:val="AppendixFlushBulletedList"/>
              <w:tabs>
                <w:tab w:val="clear" w:pos="360"/>
              </w:tabs>
              <w:spacing w:after="60"/>
              <w:ind w:right="720"/>
              <w:rPr>
                <w:rFonts w:ascii="Tahoma" w:hAnsi="Tahoma" w:cs="Tahoma"/>
              </w:rPr>
            </w:pPr>
          </w:p>
          <w:p w:rsidR="008B1196" w:rsidRPr="00EB4D74" w:rsidRDefault="008B1196" w:rsidP="00EA30FC">
            <w:pPr>
              <w:pStyle w:val="AppendixFlushBulletedList"/>
              <w:numPr>
                <w:ilvl w:val="0"/>
                <w:numId w:val="5"/>
              </w:numPr>
              <w:spacing w:after="60"/>
              <w:ind w:left="1627" w:right="720"/>
              <w:rPr>
                <w:rFonts w:ascii="Tahoma" w:hAnsi="Tahoma" w:cs="Tahoma"/>
              </w:rPr>
            </w:pPr>
            <w:r w:rsidRPr="00EB4D74">
              <w:rPr>
                <w:rFonts w:ascii="Tahoma" w:hAnsi="Tahoma" w:cs="Tahoma"/>
                <w:sz w:val="18"/>
                <w:lang w:val="pt-BR"/>
              </w:rPr>
              <w:lastRenderedPageBreak/>
              <w:t>Licenças para produtos de software de servidor ou serviços online que não requeiram licenças individuais para os usuários ou dispositivos que acessem esses produtos ou serviços online (como Licenças de Acesso para Cliente, Licenças de Gerenciamento de Cliente, USLs e DSLs)</w:t>
            </w:r>
          </w:p>
          <w:p w:rsidR="008B1196" w:rsidRPr="00EB4D74" w:rsidRDefault="008B1196" w:rsidP="00EA30FC">
            <w:pPr>
              <w:pStyle w:val="AppendixFlushBulletedList"/>
              <w:numPr>
                <w:ilvl w:val="0"/>
                <w:numId w:val="5"/>
              </w:numPr>
              <w:spacing w:after="60"/>
              <w:ind w:left="1627" w:right="720"/>
              <w:rPr>
                <w:rFonts w:ascii="Tahoma" w:hAnsi="Tahoma" w:cs="Tahoma"/>
              </w:rPr>
            </w:pPr>
            <w:r w:rsidRPr="00EB4D74">
              <w:rPr>
                <w:rFonts w:ascii="Tahoma" w:hAnsi="Tahoma" w:cs="Tahoma"/>
                <w:sz w:val="18"/>
                <w:lang w:val="pt-BR"/>
              </w:rPr>
              <w:t>Qualquer External Connector License</w:t>
            </w:r>
          </w:p>
          <w:p w:rsidR="008B1196" w:rsidRPr="00EB4D74" w:rsidRDefault="008B1196" w:rsidP="00EA30FC">
            <w:pPr>
              <w:pStyle w:val="AppendixBodyText"/>
              <w:ind w:left="1080" w:right="720"/>
              <w:rPr>
                <w:rFonts w:ascii="Tahoma" w:hAnsi="Tahoma" w:cs="Tahoma"/>
                <w:sz w:val="16"/>
              </w:rPr>
            </w:pPr>
          </w:p>
          <w:p w:rsidR="008B1196" w:rsidRPr="00EB4D74" w:rsidRDefault="008B1196" w:rsidP="00EA30FC">
            <w:pPr>
              <w:pStyle w:val="AppendixBodyText"/>
              <w:keepNext/>
              <w:keepLines/>
              <w:ind w:right="720"/>
              <w:rPr>
                <w:rFonts w:ascii="Tahoma" w:hAnsi="Tahoma" w:cs="Tahoma"/>
                <w:sz w:val="18"/>
                <w:lang w:eastAsia="ja-JP"/>
              </w:rPr>
            </w:pPr>
            <w:r w:rsidRPr="00EB4D74">
              <w:rPr>
                <w:rFonts w:ascii="Tahoma" w:hAnsi="Tahoma" w:cs="Tahoma"/>
                <w:sz w:val="18"/>
                <w:lang w:val="pt-BR"/>
              </w:rPr>
              <w:t>Essas isenções de Usuários Qualificados aplicam-se a todos os clientes de EA e ESA, sem levar em conta se isenções de Usuários Qualificados estão contempladas especificamente nos termos e condições dos contratos dos clientes.</w:t>
            </w:r>
          </w:p>
        </w:tc>
      </w:tr>
      <w:tr w:rsidR="008B1196" w:rsidRPr="00EB4D74" w:rsidTr="00EA30FC">
        <w:tc>
          <w:tcPr>
            <w:tcW w:w="1905" w:type="dxa"/>
          </w:tcPr>
          <w:p w:rsidR="008B1196" w:rsidRPr="00EB4D74" w:rsidRDefault="008B1196" w:rsidP="00EA30FC">
            <w:pPr>
              <w:pStyle w:val="AppendixBodyText"/>
              <w:ind w:right="720"/>
              <w:rPr>
                <w:rFonts w:ascii="Tahoma" w:hAnsi="Tahoma" w:cs="Tahoma"/>
                <w:b/>
                <w:lang w:eastAsia="ja-JP"/>
              </w:rPr>
            </w:pPr>
            <w:r w:rsidRPr="00EB4D74">
              <w:rPr>
                <w:rFonts w:ascii="Tahoma" w:hAnsi="Tahoma" w:cs="Tahoma"/>
                <w:b/>
                <w:color w:val="000000"/>
                <w:lang w:val="pt-BR"/>
              </w:rPr>
              <w:lastRenderedPageBreak/>
              <w:t>EES</w:t>
            </w:r>
          </w:p>
        </w:tc>
        <w:tc>
          <w:tcPr>
            <w:tcW w:w="7311" w:type="dxa"/>
          </w:tcPr>
          <w:p w:rsidR="008B1196" w:rsidRPr="00EB4D74" w:rsidRDefault="008B1196" w:rsidP="00EA30FC">
            <w:pPr>
              <w:pStyle w:val="ListParagraph"/>
              <w:ind w:left="0"/>
              <w:contextualSpacing w:val="0"/>
              <w:rPr>
                <w:rFonts w:ascii="Tahoma" w:hAnsi="Tahoma" w:cs="Tahoma"/>
                <w:szCs w:val="24"/>
                <w:lang w:val="it-IT"/>
              </w:rPr>
            </w:pPr>
            <w:r w:rsidRPr="00EB4D74">
              <w:rPr>
                <w:rFonts w:ascii="Tahoma" w:hAnsi="Tahoma" w:cs="Tahoma"/>
                <w:sz w:val="18"/>
                <w:szCs w:val="24"/>
                <w:lang w:val="pt-BR"/>
              </w:rPr>
              <w:t>O EES requer um pedido mínimo conforme especificado a seguir:</w:t>
            </w:r>
          </w:p>
          <w:p w:rsidR="008B1196" w:rsidRPr="00EB4D74" w:rsidRDefault="008B1196" w:rsidP="00EA30FC">
            <w:pPr>
              <w:pStyle w:val="ListParagraph"/>
              <w:spacing w:after="60"/>
              <w:ind w:left="0"/>
              <w:contextualSpacing w:val="0"/>
              <w:rPr>
                <w:rFonts w:ascii="Tahoma" w:hAnsi="Tahoma" w:cs="Tahoma"/>
                <w:sz w:val="18"/>
                <w:szCs w:val="18"/>
                <w:lang w:val="it-IT"/>
              </w:rPr>
            </w:pPr>
          </w:p>
          <w:p w:rsidR="008B1196" w:rsidRPr="00EB4D74" w:rsidRDefault="008B1196" w:rsidP="00EA30FC">
            <w:pPr>
              <w:pStyle w:val="AppendixFlushBulletedList"/>
              <w:numPr>
                <w:ilvl w:val="0"/>
                <w:numId w:val="5"/>
              </w:numPr>
              <w:spacing w:after="60"/>
              <w:ind w:right="720"/>
              <w:rPr>
                <w:rFonts w:ascii="Tahoma" w:hAnsi="Tahoma" w:cs="Tahoma"/>
                <w:lang w:val="it-IT"/>
              </w:rPr>
            </w:pPr>
            <w:r w:rsidRPr="00EB4D74">
              <w:rPr>
                <w:rFonts w:ascii="Tahoma" w:hAnsi="Tahoma" w:cs="Tahoma"/>
                <w:sz w:val="18"/>
                <w:lang w:val="pt-BR"/>
              </w:rPr>
              <w:t>pelo menos um Produto da Plataforma Desktop para a Contagem de toda a Organização de, pelo menos, 1.000 OU</w:t>
            </w:r>
          </w:p>
          <w:p w:rsidR="008B1196" w:rsidRPr="00EB4D74" w:rsidRDefault="008B1196" w:rsidP="00EA30FC">
            <w:pPr>
              <w:pStyle w:val="AppendixFlushBulletedList"/>
              <w:numPr>
                <w:ilvl w:val="0"/>
                <w:numId w:val="5"/>
              </w:numPr>
              <w:spacing w:after="60"/>
              <w:ind w:right="720"/>
              <w:rPr>
                <w:rFonts w:ascii="Tahoma" w:hAnsi="Tahoma" w:cs="Tahoma"/>
                <w:lang w:val="it-IT"/>
              </w:rPr>
            </w:pPr>
            <w:r w:rsidRPr="00EB4D74">
              <w:rPr>
                <w:rFonts w:ascii="Tahoma" w:hAnsi="Tahoma" w:cs="Tahoma"/>
                <w:sz w:val="18"/>
                <w:lang w:val="pt-BR"/>
              </w:rPr>
              <w:t>pelo menos um Serviço Online da Plataforma para o Corpo Docente/Funcionários na quantidade de 1.000 OU</w:t>
            </w:r>
          </w:p>
          <w:p w:rsidR="008B1196" w:rsidRPr="00EB4D74" w:rsidRDefault="008B1196" w:rsidP="00EA30FC">
            <w:pPr>
              <w:pStyle w:val="AppendixFlushBulletedList"/>
              <w:numPr>
                <w:ilvl w:val="0"/>
                <w:numId w:val="5"/>
              </w:numPr>
              <w:spacing w:after="60"/>
              <w:ind w:right="720"/>
              <w:rPr>
                <w:rFonts w:ascii="Tahoma" w:hAnsi="Tahoma" w:cs="Tahoma"/>
                <w:lang w:val="it-IT"/>
              </w:rPr>
            </w:pPr>
            <w:r w:rsidRPr="00EB4D74">
              <w:rPr>
                <w:rFonts w:ascii="Tahoma" w:hAnsi="Tahoma" w:cs="Tahoma"/>
                <w:sz w:val="18"/>
                <w:lang w:val="pt-BR"/>
              </w:rPr>
              <w:t>pelo menos um Produto da Plataforma Desktop para a Contagem de Estudantes de, pelo menos, 1.000 OU</w:t>
            </w:r>
          </w:p>
          <w:p w:rsidR="008B1196" w:rsidRPr="00EB4D74" w:rsidRDefault="008B1196" w:rsidP="00EA30FC">
            <w:pPr>
              <w:pStyle w:val="AppendixFlushBulletedList"/>
              <w:numPr>
                <w:ilvl w:val="0"/>
                <w:numId w:val="5"/>
              </w:numPr>
              <w:spacing w:after="60"/>
              <w:ind w:right="720"/>
              <w:rPr>
                <w:rFonts w:ascii="Tahoma" w:hAnsi="Tahoma" w:cs="Tahoma"/>
                <w:lang w:val="it-IT"/>
              </w:rPr>
            </w:pPr>
            <w:r w:rsidRPr="00EB4D74">
              <w:rPr>
                <w:rFonts w:ascii="Tahoma" w:hAnsi="Tahoma" w:cs="Tahoma"/>
                <w:sz w:val="18"/>
                <w:lang w:val="pt-BR"/>
              </w:rPr>
              <w:t>pelo menos um Serviço Online da Plataforma para Estudantes na quantidade de 1.000</w:t>
            </w:r>
          </w:p>
          <w:p w:rsidR="008B1196" w:rsidRPr="00EB4D74" w:rsidRDefault="008B1196" w:rsidP="00EA30FC">
            <w:pPr>
              <w:rPr>
                <w:rFonts w:cs="Tahoma"/>
                <w:lang w:val="it-IT"/>
              </w:rPr>
            </w:pPr>
          </w:p>
          <w:p w:rsidR="008B1196" w:rsidRPr="00EB4D74" w:rsidRDefault="008B1196" w:rsidP="00EA30FC">
            <w:pPr>
              <w:rPr>
                <w:rFonts w:cs="Tahoma"/>
                <w:lang w:val="it-IT"/>
              </w:rPr>
            </w:pPr>
            <w:r w:rsidRPr="00EB4D74">
              <w:rPr>
                <w:rFonts w:cs="Tahoma"/>
                <w:b/>
                <w:color w:val="000000"/>
                <w:lang w:val="pt-BR"/>
              </w:rPr>
              <w:t xml:space="preserve">Observação: </w:t>
            </w:r>
            <w:r w:rsidRPr="00EB4D74">
              <w:rPr>
                <w:rFonts w:cs="Tahoma"/>
                <w:color w:val="000000"/>
                <w:lang w:val="pt-BR"/>
              </w:rPr>
              <w:t>Esse requisito de quantidade no pedido poderá ser dispensado caso seja fornecido um registro qualificado.</w:t>
            </w:r>
          </w:p>
          <w:p w:rsidR="008B1196" w:rsidRPr="00EB4D74" w:rsidRDefault="008B1196" w:rsidP="00EA30FC">
            <w:pPr>
              <w:rPr>
                <w:rFonts w:cs="Tahoma"/>
                <w:lang w:val="it-IT"/>
              </w:rPr>
            </w:pPr>
          </w:p>
          <w:p w:rsidR="008B1196" w:rsidRPr="00EB4D74" w:rsidRDefault="008B1196" w:rsidP="00EA30FC">
            <w:pPr>
              <w:rPr>
                <w:rFonts w:cs="Tahoma"/>
                <w:lang w:val="it-IT"/>
              </w:rPr>
            </w:pPr>
            <w:r w:rsidRPr="00EB4D74">
              <w:rPr>
                <w:rFonts w:cs="Tahoma"/>
                <w:b/>
                <w:color w:val="000000"/>
                <w:szCs w:val="18"/>
                <w:lang w:val="pt-BR"/>
              </w:rPr>
              <w:t xml:space="preserve">Observação: </w:t>
            </w:r>
            <w:r w:rsidRPr="00EB4D74">
              <w:rPr>
                <w:rFonts w:cs="Tahoma"/>
                <w:color w:val="000000"/>
                <w:lang w:val="pt-BR"/>
              </w:rPr>
              <w:t>As CALs (Licenças de acesso para cliente) compradas em razão do Enrollment for Education Solutions (EES) que podem ser licenciadas não para toda a organização podem ser designadas e usadas como CALs de dispositivo ou CALs de usuário, a critério da Instituição. As CALs de usuário não podem ser reatribuídas como CALs de dispositivo, e CALs de dispositivo não podem ser reatribuídas como CALs de usuário, exceto como pode ser visto a seguir. Qualquer CAL solicitada não para toda a empresa pode ser reatribuída e usada como uma CAL de dispositivo ou usuário mediante a renovação da assinatura por meio de um novo Contrato.</w:t>
            </w:r>
          </w:p>
          <w:p w:rsidR="008B1196" w:rsidRPr="00EB4D74" w:rsidRDefault="008B1196" w:rsidP="00EA30FC">
            <w:pPr>
              <w:rPr>
                <w:rFonts w:cs="Tahoma"/>
                <w:lang w:val="it-IT" w:eastAsia="ja-JP"/>
              </w:rPr>
            </w:pPr>
          </w:p>
        </w:tc>
      </w:tr>
    </w:tbl>
    <w:p w:rsidR="008B1196" w:rsidRPr="00EB4D74" w:rsidRDefault="008B1196" w:rsidP="008B1196">
      <w:pPr>
        <w:pStyle w:val="Heading3"/>
        <w:ind w:right="720"/>
        <w:rPr>
          <w:rFonts w:ascii="Tahoma" w:hAnsi="Tahoma" w:cs="Tahoma"/>
          <w:sz w:val="18"/>
          <w:szCs w:val="22"/>
          <w:lang w:val="it-IT"/>
        </w:rPr>
      </w:pPr>
      <w:bookmarkStart w:id="743" w:name="_Toc323159731"/>
      <w:bookmarkStart w:id="744" w:name="_Toc325609171"/>
      <w:bookmarkStart w:id="745" w:name="_Toc336338192"/>
    </w:p>
    <w:p w:rsidR="008B1196" w:rsidRPr="00EB4D74" w:rsidRDefault="008B1196" w:rsidP="008B1196">
      <w:pPr>
        <w:pStyle w:val="Heading3"/>
        <w:ind w:right="720"/>
        <w:rPr>
          <w:rFonts w:ascii="Tahoma" w:hAnsi="Tahoma" w:cs="Tahoma"/>
          <w:sz w:val="18"/>
          <w:szCs w:val="22"/>
          <w:lang w:val="it-IT"/>
        </w:rPr>
      </w:pPr>
    </w:p>
    <w:p w:rsidR="008B1196" w:rsidRPr="00EB4D74" w:rsidRDefault="008B1196" w:rsidP="008B1196">
      <w:pPr>
        <w:pStyle w:val="Heading3"/>
        <w:ind w:right="720"/>
        <w:rPr>
          <w:rFonts w:ascii="Tahoma" w:hAnsi="Tahoma" w:cs="Tahoma"/>
        </w:rPr>
      </w:pPr>
      <w:bookmarkStart w:id="746" w:name="_Toc342914829"/>
      <w:bookmarkEnd w:id="743"/>
      <w:bookmarkEnd w:id="744"/>
      <w:bookmarkEnd w:id="745"/>
      <w:r w:rsidRPr="00EB4D74">
        <w:rPr>
          <w:rFonts w:ascii="Tahoma" w:hAnsi="Tahoma" w:cs="Tahoma"/>
          <w:sz w:val="24"/>
          <w:lang w:val="pt-BR"/>
        </w:rPr>
        <w:t>Plataformas</w:t>
      </w:r>
      <w:bookmarkEnd w:id="746"/>
    </w:p>
    <w:p w:rsidR="008B1196" w:rsidRPr="00EB4D74" w:rsidRDefault="008B1196" w:rsidP="008B1196">
      <w:pPr>
        <w:rPr>
          <w:rFonts w:cs="Tahoma"/>
        </w:rPr>
      </w:pPr>
    </w:p>
    <w:tbl>
      <w:tblPr>
        <w:tblW w:w="0" w:type="auto"/>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8B1196" w:rsidRPr="00EB4D74" w:rsidTr="00EA30FC">
        <w:trPr>
          <w:tblHeader/>
        </w:trPr>
        <w:tc>
          <w:tcPr>
            <w:tcW w:w="1890" w:type="dxa"/>
            <w:shd w:val="clear" w:color="auto" w:fill="FABF8F"/>
          </w:tcPr>
          <w:p w:rsidR="008B1196" w:rsidRPr="00EB4D74" w:rsidRDefault="008B1196" w:rsidP="00EA30FC">
            <w:pPr>
              <w:rPr>
                <w:rFonts w:cs="Tahoma"/>
                <w:b/>
                <w:sz w:val="22"/>
                <w:lang w:eastAsia="ja-JP"/>
              </w:rPr>
            </w:pPr>
            <w:r w:rsidRPr="00EB4D74">
              <w:rPr>
                <w:rFonts w:cs="Tahoma"/>
                <w:b/>
                <w:sz w:val="22"/>
                <w:lang w:val="pt-BR"/>
              </w:rPr>
              <w:t>Programas</w:t>
            </w:r>
          </w:p>
        </w:tc>
        <w:tc>
          <w:tcPr>
            <w:tcW w:w="7308" w:type="dxa"/>
            <w:shd w:val="clear" w:color="auto" w:fill="FABF8F"/>
          </w:tcPr>
          <w:p w:rsidR="008B1196" w:rsidRPr="00EB4D74" w:rsidRDefault="008B1196" w:rsidP="00EA30FC">
            <w:pPr>
              <w:jc w:val="center"/>
              <w:rPr>
                <w:rFonts w:cs="Tahoma"/>
                <w:b/>
                <w:sz w:val="22"/>
                <w:lang w:eastAsia="ja-JP"/>
              </w:rPr>
            </w:pPr>
            <w:r w:rsidRPr="00EB4D74">
              <w:rPr>
                <w:rFonts w:cs="Tahoma"/>
                <w:b/>
                <w:sz w:val="22"/>
                <w:lang w:val="pt-BR" w:eastAsia="ja-JP"/>
              </w:rPr>
              <w:t>Plataformas</w:t>
            </w:r>
          </w:p>
        </w:tc>
      </w:tr>
      <w:tr w:rsidR="008B1196" w:rsidRPr="00EB4D74" w:rsidTr="00EA30FC">
        <w:tc>
          <w:tcPr>
            <w:tcW w:w="1890" w:type="dxa"/>
          </w:tcPr>
          <w:p w:rsidR="008B1196" w:rsidRPr="00EB4D74" w:rsidRDefault="008B1196" w:rsidP="00EA30FC">
            <w:pPr>
              <w:rPr>
                <w:rFonts w:cs="Tahoma"/>
                <w:b/>
                <w:lang w:val="it-IT" w:eastAsia="ja-JP"/>
              </w:rPr>
            </w:pPr>
            <w:r w:rsidRPr="00EB4D74">
              <w:rPr>
                <w:rFonts w:cs="Tahoma"/>
                <w:b/>
                <w:lang w:val="pt-BR"/>
              </w:rPr>
              <w:t>Contrato Enterprise e Contrato Enterprise Subscription</w:t>
            </w:r>
          </w:p>
        </w:tc>
        <w:tc>
          <w:tcPr>
            <w:tcW w:w="7308" w:type="dxa"/>
          </w:tcPr>
          <w:p w:rsidR="008B1196" w:rsidRPr="00EB4D74" w:rsidRDefault="008B1196" w:rsidP="00EA30FC">
            <w:pPr>
              <w:numPr>
                <w:ilvl w:val="0"/>
                <w:numId w:val="3"/>
              </w:numPr>
              <w:ind w:left="720"/>
              <w:rPr>
                <w:rFonts w:cs="Tahoma"/>
                <w:lang w:val="it-IT"/>
              </w:rPr>
            </w:pPr>
            <w:r w:rsidRPr="00EB4D74">
              <w:rPr>
                <w:rFonts w:cs="Tahoma"/>
                <w:color w:val="000000"/>
                <w:lang w:val="pt-BR"/>
              </w:rPr>
              <w:t>Produtos da Plataforma de Desktop Empresarial</w:t>
            </w:r>
          </w:p>
          <w:p w:rsidR="008B1196" w:rsidRPr="00EB4D74" w:rsidRDefault="008B1196" w:rsidP="00EA30FC">
            <w:pPr>
              <w:rPr>
                <w:rFonts w:cs="Tahoma"/>
                <w:lang w:val="it-IT"/>
              </w:rPr>
            </w:pPr>
          </w:p>
          <w:p w:rsidR="008B1196" w:rsidRPr="00EB4D74" w:rsidRDefault="008B1196" w:rsidP="00EA30FC">
            <w:pPr>
              <w:ind w:left="360"/>
              <w:rPr>
                <w:rFonts w:cs="Tahoma"/>
                <w:lang w:val="pt-BR"/>
              </w:rPr>
            </w:pPr>
            <w:r w:rsidRPr="00EB4D74">
              <w:rPr>
                <w:rFonts w:cs="Tahoma"/>
                <w:lang w:val="pt-BR"/>
              </w:rPr>
              <w:t xml:space="preserve">Os produtos da plataforma Enterprise Desktop estão disponíveis para os clientes do Contrato Enterprise. A Plataforma de Desktop Enterprise inclui a versão mais atual do Office Professional Plus, a Atualização de Sistema Operacional Windows 8 Pro ou Windows Virtual Desktop Access (VDA) e a licença de acesso para cliente do Pacote de CAL Empresarial. </w:t>
            </w:r>
            <w:r w:rsidRPr="00EB4D74">
              <w:rPr>
                <w:rFonts w:cs="Tahoma"/>
                <w:color w:val="000000"/>
                <w:lang w:val="pt-BR"/>
              </w:rPr>
              <w:t>Os produtos da Plataforma de Desktop Empresarial são identificados por um “E” na coluna Contrato Enterprise. Para os clientes de Contratos Enterprise e Enterprise Subscription, a Plataforma de Desktop Empresarial também pode ser adquirida com o MDOP.</w:t>
            </w:r>
          </w:p>
          <w:p w:rsidR="008B1196" w:rsidRPr="00EB4D74" w:rsidRDefault="008B1196" w:rsidP="00EA30FC">
            <w:pPr>
              <w:rPr>
                <w:rFonts w:cs="Tahoma"/>
                <w:lang w:val="pt-BR"/>
              </w:rPr>
            </w:pPr>
          </w:p>
          <w:p w:rsidR="008B1196" w:rsidRPr="00EB4D74" w:rsidRDefault="008B1196" w:rsidP="00EA30FC">
            <w:pPr>
              <w:rPr>
                <w:rFonts w:cs="Tahoma"/>
                <w:lang w:val="pt-BR"/>
              </w:rPr>
            </w:pPr>
          </w:p>
          <w:p w:rsidR="008B1196" w:rsidRPr="00EB4D74" w:rsidRDefault="008B1196" w:rsidP="00EA30FC">
            <w:pPr>
              <w:numPr>
                <w:ilvl w:val="0"/>
                <w:numId w:val="3"/>
              </w:numPr>
              <w:ind w:left="720"/>
              <w:rPr>
                <w:rFonts w:cs="Tahoma"/>
                <w:lang w:val="it-IT"/>
              </w:rPr>
            </w:pPr>
            <w:r w:rsidRPr="00EB4D74">
              <w:rPr>
                <w:rFonts w:cs="Tahoma"/>
                <w:color w:val="000000"/>
                <w:lang w:val="pt-BR"/>
              </w:rPr>
              <w:lastRenderedPageBreak/>
              <w:t>Produtos da Plataforma de Desktop Profissional</w:t>
            </w:r>
          </w:p>
          <w:p w:rsidR="008B1196" w:rsidRPr="00EB4D74" w:rsidRDefault="008B1196" w:rsidP="00EA30FC">
            <w:pPr>
              <w:ind w:left="720"/>
              <w:rPr>
                <w:rFonts w:cs="Tahoma"/>
                <w:lang w:val="it-IT"/>
              </w:rPr>
            </w:pPr>
          </w:p>
          <w:p w:rsidR="008B1196" w:rsidRPr="00EB4D74" w:rsidRDefault="008B1196" w:rsidP="00EA30FC">
            <w:pPr>
              <w:ind w:left="360"/>
              <w:rPr>
                <w:rFonts w:cs="Tahoma"/>
                <w:lang w:val="pt-BR"/>
              </w:rPr>
            </w:pPr>
            <w:r w:rsidRPr="00EB4D74">
              <w:rPr>
                <w:rFonts w:cs="Tahoma"/>
                <w:color w:val="000000"/>
                <w:szCs w:val="18"/>
                <w:lang w:val="pt-BR"/>
              </w:rPr>
              <w:t xml:space="preserve">Os produtos da Plataforma de Desktop Profissional estão disponíveis para os clientes de Contratos Enterprise. </w:t>
            </w:r>
            <w:r w:rsidRPr="00EB4D74">
              <w:rPr>
                <w:rFonts w:cs="Tahoma"/>
                <w:color w:val="000000"/>
                <w:lang w:val="pt-BR"/>
              </w:rPr>
              <w:t>A Plataforma de Desktop Profissional inclui a versão mais atual do Office Professional Plus, a Atualização de Sistema Operacional Windows 8 Pro ou o Windows Virtual Desktop Access (VDA) (somente para contratos EA) e a licença de acesso para cliente do Pacote de CAL Principal. Os produtos da Plataforma de Desktop Profissional são identificados por um “E” na coluna Contrato Enterprise. Para os clientes de Contratos Enterprise e Enterprise Subscription, a Plataforma de Desktop Profissional também pode ser adquirida com o MDOP.</w:t>
            </w:r>
          </w:p>
          <w:p w:rsidR="008B1196" w:rsidRPr="00EB4D74" w:rsidRDefault="008B1196" w:rsidP="00EA30FC">
            <w:pPr>
              <w:rPr>
                <w:rFonts w:cs="Tahoma"/>
                <w:szCs w:val="18"/>
                <w:lang w:val="pt-BR" w:eastAsia="ja-JP"/>
              </w:rPr>
            </w:pPr>
          </w:p>
        </w:tc>
      </w:tr>
      <w:tr w:rsidR="008B1196" w:rsidRPr="00EB4D74" w:rsidTr="00EA30FC">
        <w:trPr>
          <w:cantSplit/>
          <w:trHeight w:val="278"/>
        </w:trPr>
        <w:tc>
          <w:tcPr>
            <w:tcW w:w="1890" w:type="dxa"/>
          </w:tcPr>
          <w:p w:rsidR="008B1196" w:rsidRPr="00EB4D74" w:rsidRDefault="008B1196" w:rsidP="00EA30FC">
            <w:pPr>
              <w:rPr>
                <w:rFonts w:cs="Tahoma"/>
                <w:b/>
                <w:lang w:eastAsia="ja-JP"/>
              </w:rPr>
            </w:pPr>
            <w:r w:rsidRPr="00EB4D74">
              <w:rPr>
                <w:rFonts w:cs="Tahoma"/>
                <w:b/>
                <w:sz w:val="20"/>
                <w:lang w:val="pt-BR"/>
              </w:rPr>
              <w:lastRenderedPageBreak/>
              <w:t>Open Value e Open Value Subscription (Commercial e Government)</w:t>
            </w:r>
          </w:p>
        </w:tc>
        <w:tc>
          <w:tcPr>
            <w:tcW w:w="7308" w:type="dxa"/>
          </w:tcPr>
          <w:p w:rsidR="008B1196" w:rsidRPr="00EB4D74" w:rsidRDefault="008B1196" w:rsidP="00EA30FC">
            <w:pPr>
              <w:numPr>
                <w:ilvl w:val="0"/>
                <w:numId w:val="3"/>
              </w:numPr>
              <w:ind w:left="720"/>
              <w:rPr>
                <w:rFonts w:cs="Tahoma"/>
                <w:lang w:val="it-IT"/>
              </w:rPr>
            </w:pPr>
            <w:r w:rsidRPr="00EB4D74">
              <w:rPr>
                <w:rFonts w:cs="Tahoma"/>
                <w:lang w:val="pt-BR"/>
              </w:rPr>
              <w:t>Produtos da Plataforma de Desktop Personalizado</w:t>
            </w:r>
          </w:p>
          <w:p w:rsidR="008B1196" w:rsidRPr="00EB4D74" w:rsidRDefault="008B1196" w:rsidP="00EA30FC">
            <w:pPr>
              <w:rPr>
                <w:rFonts w:cs="Tahoma"/>
                <w:lang w:val="it-IT"/>
              </w:rPr>
            </w:pPr>
          </w:p>
          <w:p w:rsidR="008B1196" w:rsidRPr="00EB4D74" w:rsidRDefault="008B1196" w:rsidP="00EA30FC">
            <w:pPr>
              <w:ind w:left="360"/>
              <w:rPr>
                <w:rFonts w:cs="Tahoma"/>
                <w:lang w:val="it-IT"/>
              </w:rPr>
            </w:pPr>
            <w:r w:rsidRPr="00EB4D74">
              <w:rPr>
                <w:rFonts w:cs="Tahoma"/>
                <w:lang w:val="pt-BR"/>
              </w:rPr>
              <w:t xml:space="preserve">Os produtos da Plataforma Desktop Personalizados estão disponíveis para os clientes Open Value e Open Value Subscription quando selecionam a opção para toda a Organização/Empresa. </w:t>
            </w:r>
            <w:r w:rsidRPr="00EB4D74">
              <w:rPr>
                <w:rFonts w:cs="Tahoma"/>
                <w:color w:val="000000"/>
                <w:lang w:val="pt-BR"/>
              </w:rPr>
              <w:t>A Plataforma de Desktop Personalizado inclui versões atuais do Office Professional Plus, a Atualização* de Sistema Operacional Windows 8 Pro, a licença de acesso para cliente Enterprise CAL Suite, Core CAL Suite, Essential Business Server CAL Suite ou Small Business Server CAL Suite. Os produtos da Plataforma de Desktop Personalizado são identificados por um “E” nas colunas Open Value.</w:t>
            </w:r>
          </w:p>
          <w:p w:rsidR="008B1196" w:rsidRPr="00EB4D74" w:rsidRDefault="008B1196" w:rsidP="00EA30FC">
            <w:pPr>
              <w:rPr>
                <w:rFonts w:cs="Tahoma"/>
                <w:szCs w:val="18"/>
                <w:lang w:val="it-IT" w:eastAsia="ja-JP"/>
              </w:rPr>
            </w:pPr>
          </w:p>
        </w:tc>
      </w:tr>
      <w:tr w:rsidR="008B1196" w:rsidRPr="00EB4D74" w:rsidTr="00EA30FC">
        <w:trPr>
          <w:trHeight w:val="278"/>
        </w:trPr>
        <w:tc>
          <w:tcPr>
            <w:tcW w:w="1890" w:type="dxa"/>
          </w:tcPr>
          <w:p w:rsidR="008B1196" w:rsidRPr="00EB4D74" w:rsidRDefault="008B1196" w:rsidP="00EA30FC">
            <w:pPr>
              <w:rPr>
                <w:rFonts w:cs="Tahoma"/>
                <w:b/>
                <w:lang w:eastAsia="ja-JP"/>
              </w:rPr>
            </w:pPr>
            <w:r w:rsidRPr="00EB4D74">
              <w:rPr>
                <w:rFonts w:cs="Tahoma"/>
                <w:b/>
                <w:sz w:val="20"/>
                <w:lang w:val="pt-BR"/>
              </w:rPr>
              <w:t>Academic Platforms (EES, OVS-ES e School Agreement)</w:t>
            </w:r>
          </w:p>
        </w:tc>
        <w:tc>
          <w:tcPr>
            <w:tcW w:w="7308" w:type="dxa"/>
          </w:tcPr>
          <w:p w:rsidR="008B1196" w:rsidRPr="00EB4D74" w:rsidRDefault="008B1196" w:rsidP="00EA30FC">
            <w:pPr>
              <w:numPr>
                <w:ilvl w:val="0"/>
                <w:numId w:val="3"/>
              </w:numPr>
              <w:spacing w:after="60"/>
              <w:ind w:left="720"/>
              <w:rPr>
                <w:rFonts w:cs="Tahoma"/>
                <w:lang w:val="it-IT"/>
              </w:rPr>
            </w:pPr>
            <w:r w:rsidRPr="00EB4D74">
              <w:rPr>
                <w:rFonts w:cs="Tahoma"/>
                <w:lang w:val="pt-BR"/>
              </w:rPr>
              <w:t>Produtos da Plataforma Desktop Educacional e da Plataforma Desktop School com Enterprise CAL Suite</w:t>
            </w:r>
          </w:p>
          <w:p w:rsidR="008B1196" w:rsidRPr="00EB4D74" w:rsidRDefault="008B1196" w:rsidP="00EA30FC">
            <w:pPr>
              <w:numPr>
                <w:ilvl w:val="0"/>
                <w:numId w:val="3"/>
              </w:numPr>
              <w:spacing w:after="60"/>
              <w:ind w:left="720"/>
              <w:rPr>
                <w:rFonts w:cs="Tahoma"/>
                <w:lang w:val="it-IT"/>
              </w:rPr>
            </w:pPr>
            <w:r w:rsidRPr="00EB4D74">
              <w:rPr>
                <w:rFonts w:cs="Tahoma"/>
                <w:lang w:val="pt-BR"/>
              </w:rPr>
              <w:t>Produtos da Plataforma Desktop Educacional e da Plataforma Desktop School com Core CAL Suite</w:t>
            </w:r>
          </w:p>
          <w:p w:rsidR="008B1196" w:rsidRPr="00EB4D74" w:rsidRDefault="008B1196" w:rsidP="00EA30FC">
            <w:pPr>
              <w:rPr>
                <w:rFonts w:cs="Tahoma"/>
                <w:lang w:val="it-IT"/>
              </w:rPr>
            </w:pPr>
          </w:p>
          <w:p w:rsidR="008B1196" w:rsidRPr="00EB4D74" w:rsidRDefault="008B1196" w:rsidP="00EA30FC">
            <w:pPr>
              <w:ind w:left="360"/>
              <w:rPr>
                <w:rFonts w:cs="Tahoma"/>
                <w:lang w:val="pt-BR"/>
              </w:rPr>
            </w:pPr>
            <w:r w:rsidRPr="00EB4D74">
              <w:rPr>
                <w:rFonts w:cs="Tahoma"/>
                <w:lang w:val="pt-BR"/>
              </w:rPr>
              <w:t>Os Produtos da Plataforma Desktop Educacional estão disponíveis para os clientes das Soluções Educacionais do Registro (EES) e Open Value Subscription – Soluções Educacionais (OVS-ES). Os Produtos da Plataforma Desktop School estão disponíveis para os clientes de Contratos School. A Plataforma de Desktop Educacional com Enterprise CAL Suite e a Plataforma de Desktop School com Enterprise CAL Suite incluem a versão mais atual do Office Professional Plus ou Office para Mac, a Atualização de Sistema Operacional Windows 8 Pro e a licença de acesso para cliente Enterprise CAL Suite.</w:t>
            </w:r>
          </w:p>
          <w:p w:rsidR="008B1196" w:rsidRPr="00EB4D74" w:rsidRDefault="008B1196" w:rsidP="00EA30FC">
            <w:pPr>
              <w:ind w:left="360"/>
              <w:rPr>
                <w:rFonts w:cs="Tahoma"/>
                <w:lang w:val="pt-BR"/>
              </w:rPr>
            </w:pPr>
          </w:p>
          <w:p w:rsidR="008B1196" w:rsidRPr="00EB4D74" w:rsidRDefault="008B1196" w:rsidP="00EA30FC">
            <w:pPr>
              <w:ind w:left="360"/>
              <w:rPr>
                <w:rFonts w:cs="Tahoma"/>
                <w:lang w:val="it-IT"/>
              </w:rPr>
            </w:pPr>
            <w:r w:rsidRPr="00EB4D74">
              <w:rPr>
                <w:rFonts w:cs="Tahoma"/>
                <w:lang w:val="pt-BR"/>
              </w:rPr>
              <w:t>O Produto de Plataforma Desktop School na lista de preços conta como 3 unidades.</w:t>
            </w:r>
          </w:p>
          <w:p w:rsidR="008B1196" w:rsidRPr="00EB4D74" w:rsidRDefault="008B1196" w:rsidP="00EA30FC">
            <w:pPr>
              <w:rPr>
                <w:rFonts w:cs="Tahoma"/>
                <w:lang w:val="it-IT"/>
              </w:rPr>
            </w:pPr>
          </w:p>
          <w:p w:rsidR="008B1196" w:rsidRPr="00EB4D74" w:rsidRDefault="008B1196" w:rsidP="00EA30FC">
            <w:pPr>
              <w:tabs>
                <w:tab w:val="left" w:pos="8640"/>
              </w:tabs>
              <w:ind w:left="360" w:right="720"/>
              <w:rPr>
                <w:rFonts w:cs="Tahoma"/>
                <w:spacing w:val="-3"/>
                <w:lang w:val="it-IT"/>
              </w:rPr>
            </w:pPr>
            <w:r w:rsidRPr="00EB4D74">
              <w:rPr>
                <w:rFonts w:cs="Tahoma"/>
                <w:b/>
                <w:bCs/>
                <w:color w:val="000000"/>
                <w:spacing w:val="-3"/>
                <w:szCs w:val="18"/>
                <w:lang w:val="pt-BR"/>
              </w:rPr>
              <w:t xml:space="preserve">Observação: </w:t>
            </w:r>
            <w:r w:rsidRPr="00EB4D74">
              <w:rPr>
                <w:rFonts w:cs="Tahoma"/>
                <w:bCs/>
                <w:color w:val="000000"/>
                <w:spacing w:val="-3"/>
                <w:szCs w:val="18"/>
                <w:lang w:val="pt-BR"/>
              </w:rPr>
              <w:t xml:space="preserve">Os clientes EES e OVS-ES não estão qualificados para optar pelos Produtos de Plataforma Desktop e produtos individuais de CAL incluídos no Core CAL Suíte ou Enterprise CAL Suite somente para uma parte da Contagem para toda a Organização e/ou Contagem de Estudantes. </w:t>
            </w:r>
            <w:r w:rsidRPr="00EB4D74">
              <w:rPr>
                <w:rFonts w:cs="Tahoma"/>
                <w:color w:val="000000"/>
                <w:spacing w:val="-3"/>
                <w:lang w:val="pt-BR"/>
              </w:rPr>
              <w:t>Por exemplo, se a assinatura for para uma Contagem de 1.200 funcionários em tempo integral para toda a Organização, os produtos da Plataforma de Desktop e os produtos componentes do Pacote de CAL selecionados serão 1.000 para Contagem para toda a Organização, mesmo que uma parte desses PCs execute uma Plataforma de Desktop ou produto componente de CAL.</w:t>
            </w:r>
          </w:p>
          <w:p w:rsidR="008B1196" w:rsidRPr="00EB4D74" w:rsidRDefault="008B1196" w:rsidP="00EA30FC">
            <w:pPr>
              <w:rPr>
                <w:rFonts w:cs="Tahoma"/>
                <w:szCs w:val="18"/>
                <w:lang w:val="it-IT" w:eastAsia="ja-JP"/>
              </w:rPr>
            </w:pPr>
          </w:p>
        </w:tc>
      </w:tr>
    </w:tbl>
    <w:p w:rsidR="008B1196" w:rsidRPr="00EB4D74" w:rsidRDefault="008B1196" w:rsidP="008B1196">
      <w:pPr>
        <w:pStyle w:val="Heading3"/>
        <w:ind w:right="720"/>
        <w:rPr>
          <w:rFonts w:ascii="Tahoma" w:hAnsi="Tahoma" w:cs="Tahoma"/>
          <w:b w:val="0"/>
          <w:sz w:val="18"/>
          <w:szCs w:val="22"/>
          <w:lang w:val="it-IT"/>
        </w:rPr>
      </w:pPr>
    </w:p>
    <w:p w:rsidR="008B1196" w:rsidRPr="00EB4D74" w:rsidRDefault="008B1196" w:rsidP="008B1196">
      <w:pPr>
        <w:rPr>
          <w:lang w:val="it-IT"/>
        </w:rPr>
      </w:pPr>
    </w:p>
    <w:p w:rsidR="008B1196" w:rsidRPr="00EB4D74" w:rsidRDefault="008B1196" w:rsidP="008B1196">
      <w:pPr>
        <w:rPr>
          <w:lang w:val="it-IT"/>
        </w:rPr>
      </w:pPr>
    </w:p>
    <w:p w:rsidR="008B1196" w:rsidRPr="00EB4D74" w:rsidRDefault="008B1196" w:rsidP="008B1196">
      <w:pPr>
        <w:rPr>
          <w:lang w:val="it-IT"/>
        </w:rPr>
      </w:pPr>
    </w:p>
    <w:p w:rsidR="008B1196" w:rsidRPr="00EB4D74" w:rsidRDefault="008B1196" w:rsidP="008B1196">
      <w:pPr>
        <w:rPr>
          <w:lang w:val="it-IT"/>
        </w:rPr>
      </w:pPr>
    </w:p>
    <w:p w:rsidR="008B1196" w:rsidRPr="00EB4D74" w:rsidRDefault="008B1196" w:rsidP="008B1196">
      <w:pPr>
        <w:rPr>
          <w:lang w:val="it-IT"/>
        </w:rPr>
      </w:pPr>
    </w:p>
    <w:p w:rsidR="008B1196" w:rsidRPr="00EB4D74" w:rsidRDefault="008B1196" w:rsidP="008B1196">
      <w:pPr>
        <w:rPr>
          <w:lang w:val="it-IT"/>
        </w:rPr>
      </w:pPr>
    </w:p>
    <w:p w:rsidR="008B1196" w:rsidRPr="00EB4D74" w:rsidRDefault="008B1196" w:rsidP="008B1196">
      <w:pPr>
        <w:pStyle w:val="Heading3"/>
        <w:ind w:right="720"/>
        <w:rPr>
          <w:rFonts w:ascii="Tahoma" w:hAnsi="Tahoma" w:cs="Tahoma"/>
          <w:b w:val="0"/>
          <w:sz w:val="18"/>
          <w:szCs w:val="22"/>
          <w:lang w:val="it-IT"/>
        </w:rPr>
      </w:pPr>
      <w:bookmarkStart w:id="747" w:name="_Toc336338193"/>
    </w:p>
    <w:p w:rsidR="008B1196" w:rsidRPr="00EB4D74" w:rsidRDefault="008B1196" w:rsidP="008B1196">
      <w:pPr>
        <w:pStyle w:val="Heading3"/>
        <w:ind w:right="720"/>
        <w:rPr>
          <w:rFonts w:ascii="Tahoma" w:hAnsi="Tahoma" w:cs="Tahoma"/>
          <w:lang w:val="it-IT"/>
        </w:rPr>
      </w:pPr>
      <w:bookmarkStart w:id="748" w:name="_Toc342914830"/>
      <w:bookmarkEnd w:id="747"/>
      <w:r w:rsidRPr="00EB4D74">
        <w:rPr>
          <w:rFonts w:ascii="Tahoma" w:hAnsi="Tahoma" w:cs="Tahoma"/>
          <w:sz w:val="24"/>
          <w:lang w:val="pt-BR"/>
        </w:rPr>
        <w:lastRenderedPageBreak/>
        <w:t>Definição de Gerenciamento para Dispositivos Qualificados</w:t>
      </w:r>
      <w:bookmarkEnd w:id="748"/>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eastAsia="ja-JP"/>
        </w:rPr>
        <w:t xml:space="preserve">Um cliente de Licenciamento por Volume “gerencia” qualquer dispositivo no qual ele controla direta ou indiretamente um ou mais ambientes de sistema operacional. </w:t>
      </w:r>
      <w:r w:rsidRPr="00EB4D74">
        <w:rPr>
          <w:rFonts w:cs="Tahoma"/>
          <w:lang w:val="pt-BR"/>
        </w:rPr>
        <w:t>Por exemplo, um cliente de Licenciamento por Volume gerencia qualquer dispositivo</w:t>
      </w:r>
    </w:p>
    <w:p w:rsidR="008B1196" w:rsidRPr="00EB4D74" w:rsidRDefault="008B1196" w:rsidP="008B1196">
      <w:pPr>
        <w:spacing w:after="60"/>
        <w:rPr>
          <w:rFonts w:cs="Tahoma"/>
          <w:lang w:val="it-IT"/>
        </w:rPr>
      </w:pPr>
    </w:p>
    <w:p w:rsidR="008B1196" w:rsidRPr="00EB4D74" w:rsidRDefault="008B1196" w:rsidP="008B1196">
      <w:pPr>
        <w:numPr>
          <w:ilvl w:val="0"/>
          <w:numId w:val="2"/>
        </w:numPr>
        <w:spacing w:after="60"/>
        <w:rPr>
          <w:rFonts w:cs="Tahoma"/>
          <w:lang w:val="it-IT"/>
        </w:rPr>
      </w:pPr>
      <w:r w:rsidRPr="00EB4D74">
        <w:rPr>
          <w:rFonts w:cs="Tahoma"/>
          <w:lang w:val="pt-BR"/>
        </w:rPr>
        <w:t>que ele permite ingressar em seu domínio OU</w:t>
      </w:r>
    </w:p>
    <w:p w:rsidR="008B1196" w:rsidRPr="00EB4D74" w:rsidRDefault="008B1196" w:rsidP="008B1196">
      <w:pPr>
        <w:numPr>
          <w:ilvl w:val="0"/>
          <w:numId w:val="2"/>
        </w:numPr>
        <w:spacing w:after="60"/>
        <w:rPr>
          <w:rFonts w:cs="Tahoma"/>
          <w:spacing w:val="-4"/>
          <w:lang w:val="it-IT"/>
        </w:rPr>
      </w:pPr>
      <w:r w:rsidRPr="00EB4D74">
        <w:rPr>
          <w:rFonts w:cs="Tahoma"/>
          <w:spacing w:val="-4"/>
          <w:lang w:val="pt-BR"/>
        </w:rPr>
        <w:t>que ele autentica como um requisito para usar aplicativos enquanto ele está em suas instalações OU</w:t>
      </w:r>
    </w:p>
    <w:p w:rsidR="008B1196" w:rsidRPr="00EB4D74" w:rsidRDefault="008B1196" w:rsidP="008B1196">
      <w:pPr>
        <w:numPr>
          <w:ilvl w:val="0"/>
          <w:numId w:val="2"/>
        </w:numPr>
        <w:spacing w:after="60"/>
        <w:rPr>
          <w:rFonts w:cs="Tahoma"/>
        </w:rPr>
      </w:pPr>
      <w:r w:rsidRPr="00EB4D74">
        <w:rPr>
          <w:rFonts w:cs="Tahoma"/>
          <w:lang w:val="pt-BR"/>
        </w:rPr>
        <w:t>no qual que ele instala agentes (por exemplo, antivírus, antimalware ou outros agentes autorizados pela política do cliente) OU</w:t>
      </w:r>
    </w:p>
    <w:p w:rsidR="008B1196" w:rsidRPr="00EB4D74" w:rsidRDefault="008B1196" w:rsidP="008B1196">
      <w:pPr>
        <w:numPr>
          <w:ilvl w:val="0"/>
          <w:numId w:val="2"/>
        </w:numPr>
        <w:spacing w:after="60"/>
        <w:rPr>
          <w:rFonts w:cs="Tahoma"/>
          <w:lang w:val="it-IT"/>
        </w:rPr>
      </w:pPr>
      <w:r w:rsidRPr="00EB4D74">
        <w:rPr>
          <w:rFonts w:cs="Tahoma"/>
          <w:lang w:val="pt-BR"/>
        </w:rPr>
        <w:t>ao qual ele se aplica direta ou indiretamente e impõe* políticas de grupo OU</w:t>
      </w:r>
    </w:p>
    <w:p w:rsidR="008B1196" w:rsidRPr="00EB4D74" w:rsidRDefault="008B1196" w:rsidP="008B1196">
      <w:pPr>
        <w:numPr>
          <w:ilvl w:val="0"/>
          <w:numId w:val="2"/>
        </w:numPr>
        <w:spacing w:after="60"/>
        <w:rPr>
          <w:rFonts w:cs="Tahoma"/>
          <w:lang w:val="it-IT"/>
        </w:rPr>
      </w:pPr>
      <w:r w:rsidRPr="00EB4D74">
        <w:rPr>
          <w:rFonts w:cs="Tahoma"/>
          <w:lang w:val="pt-BR"/>
        </w:rPr>
        <w:t>no qual ele solicita ou recebe dados e configura ou fornece instruções sobre o hardware ou software direta ou indiretamente associado ao ambiente de sistema operacional OU</w:t>
      </w:r>
    </w:p>
    <w:p w:rsidR="008B1196" w:rsidRPr="00EB4D74" w:rsidRDefault="008B1196" w:rsidP="008B1196">
      <w:pPr>
        <w:numPr>
          <w:ilvl w:val="0"/>
          <w:numId w:val="2"/>
        </w:numPr>
        <w:spacing w:after="60"/>
        <w:rPr>
          <w:rFonts w:cs="Tahoma"/>
          <w:lang w:val="it-IT"/>
        </w:rPr>
      </w:pPr>
      <w:r w:rsidRPr="00EB4D74">
        <w:rPr>
          <w:rFonts w:cs="Tahoma"/>
          <w:lang w:val="pt-BR"/>
        </w:rPr>
        <w:t>que ele permite acessar uma infraestrutura de desktop virtual (VDI) fora do Windows Software Assurance, Windows Intune (Por Dispositivo) ou Direitos de Roaming do Windows Virtual Desktop Access.</w:t>
      </w:r>
    </w:p>
    <w:p w:rsidR="008B1196" w:rsidRPr="00EB4D74" w:rsidRDefault="008B1196" w:rsidP="008B1196">
      <w:pPr>
        <w:rPr>
          <w:rFonts w:cs="Tahoma"/>
          <w:lang w:val="it-IT"/>
        </w:rPr>
      </w:pPr>
      <w:r w:rsidRPr="00EB4D74">
        <w:rPr>
          <w:rFonts w:cs="Tahoma"/>
          <w:lang w:val="pt-BR"/>
        </w:rP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*Um cliente de Licenciamento por Volume que procura por atualizações de segurança/vírus ou software de sistema operacional atualizado e só notifica o usuário se eles não estiverem atualizados, não é uma “política de grupo imposta” para fins deste exemplo.</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749" w:name="_Toc243157227"/>
      <w:bookmarkStart w:id="750" w:name="_Toc336338194"/>
      <w:bookmarkStart w:id="751" w:name="_Toc342914831"/>
      <w:bookmarkEnd w:id="749"/>
      <w:bookmarkEnd w:id="750"/>
      <w:r w:rsidRPr="00EB4D74">
        <w:rPr>
          <w:rFonts w:ascii="Tahoma" w:hAnsi="Tahoma" w:cs="Tahoma"/>
          <w:sz w:val="24"/>
          <w:lang w:val="pt-BR"/>
        </w:rPr>
        <w:t>Produtos qualificados para o Desconto de Atualização (UTD)</w:t>
      </w:r>
      <w:bookmarkEnd w:id="751"/>
    </w:p>
    <w:p w:rsidR="008B1196" w:rsidRPr="00EB4D74" w:rsidRDefault="008B1196" w:rsidP="008B1196">
      <w:pPr>
        <w:pStyle w:val="Heading3"/>
        <w:rPr>
          <w:rFonts w:ascii="Tahoma" w:hAnsi="Tahoma" w:cs="Tahoma"/>
          <w:sz w:val="18"/>
          <w:szCs w:val="18"/>
          <w:lang w:val="it-IT"/>
        </w:rPr>
      </w:pPr>
    </w:p>
    <w:p w:rsidR="008B1196" w:rsidRPr="00EB4D74" w:rsidRDefault="008B1196" w:rsidP="008B1196">
      <w:pPr>
        <w:rPr>
          <w:lang w:val="it-IT"/>
        </w:rPr>
      </w:pPr>
      <w:r w:rsidRPr="00EB4D74">
        <w:rPr>
          <w:lang w:val="pt-BR"/>
        </w:rPr>
        <w:t xml:space="preserve">Os clientes Open Value Subscription estão qualificados para o Desconto UTD durante o primeiro ano do contrato da assinatura. Os clientes qualificados podem adquirir qualquer Licença UTD identificada abaixo se estiverem licenciados para uma das versões qualificadas correspondentes, anteriores ou atuais, por meio de OEM, FPP ou Licenciamento por Volume. </w:t>
      </w:r>
      <w:r w:rsidRPr="00EB4D74">
        <w:rPr>
          <w:color w:val="000000"/>
          <w:lang w:val="pt-BR"/>
        </w:rPr>
        <w:t>Em geral, esse desconto só é dado para a versão atual ou a imediatamente anterior do produto. O Desconto UTD é independente da plataforma, de modo que usuários de Mac também estão qualificados.</w:t>
      </w:r>
    </w:p>
    <w:p w:rsidR="008B1196" w:rsidRPr="00EB4D74" w:rsidRDefault="008B1196" w:rsidP="008B1196">
      <w:pPr>
        <w:pStyle w:val="FootnoteBulletLevel1"/>
        <w:ind w:left="360" w:right="720" w:firstLine="0"/>
        <w:rPr>
          <w:rFonts w:ascii="Tahoma" w:hAnsi="Tahoma" w:cs="Tahoma"/>
          <w:lang w:val="it-IT"/>
        </w:rPr>
      </w:pPr>
    </w:p>
    <w:tbl>
      <w:tblPr>
        <w:tblW w:w="0" w:type="auto"/>
        <w:tblInd w:w="723" w:type="dxa"/>
        <w:tblCellMar>
          <w:left w:w="0" w:type="dxa"/>
          <w:right w:w="0" w:type="dxa"/>
        </w:tblCellMar>
        <w:tblLook w:val="04A0" w:firstRow="1" w:lastRow="0" w:firstColumn="1" w:lastColumn="0" w:noHBand="0" w:noVBand="1"/>
      </w:tblPr>
      <w:tblGrid>
        <w:gridCol w:w="3809"/>
        <w:gridCol w:w="4298"/>
      </w:tblGrid>
      <w:tr w:rsidR="008B1196" w:rsidRPr="00EB4D74" w:rsidTr="00EA30FC">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8B1196" w:rsidRPr="00EB4D74" w:rsidRDefault="008B1196" w:rsidP="00EA30FC">
            <w:pPr>
              <w:ind w:right="720"/>
              <w:jc w:val="center"/>
              <w:rPr>
                <w:rFonts w:eastAsia="Times New Roman" w:cs="Tahoma"/>
                <w:b/>
                <w:bCs/>
                <w:color w:val="404040"/>
              </w:rPr>
            </w:pPr>
            <w:r w:rsidRPr="00EB4D74">
              <w:rPr>
                <w:rFonts w:cs="Tahoma"/>
                <w:b/>
                <w:lang w:val="pt-BR"/>
              </w:rPr>
              <w:t>Licença UTD</w:t>
            </w:r>
          </w:p>
        </w:tc>
        <w:tc>
          <w:tcPr>
            <w:tcW w:w="4298" w:type="dxa"/>
            <w:tcBorders>
              <w:top w:val="single" w:sz="8" w:space="0" w:color="auto"/>
              <w:left w:val="nil"/>
              <w:bottom w:val="single" w:sz="8" w:space="0" w:color="auto"/>
              <w:right w:val="single" w:sz="8" w:space="0" w:color="auto"/>
            </w:tcBorders>
            <w:shd w:val="clear" w:color="auto" w:fill="FFCC99"/>
          </w:tcPr>
          <w:p w:rsidR="008B1196" w:rsidRPr="00EB4D74" w:rsidRDefault="008B1196" w:rsidP="00EA30FC">
            <w:pPr>
              <w:ind w:right="720"/>
              <w:jc w:val="center"/>
              <w:rPr>
                <w:rFonts w:eastAsia="Times New Roman" w:cs="Tahoma"/>
                <w:b/>
                <w:bCs/>
                <w:color w:val="404040"/>
              </w:rPr>
            </w:pPr>
            <w:r w:rsidRPr="00EB4D74">
              <w:rPr>
                <w:rFonts w:cs="Tahoma"/>
                <w:b/>
                <w:lang w:val="pt-BR"/>
              </w:rPr>
              <w:t>Versão qualificada</w:t>
            </w: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szCs w:val="18"/>
                <w:lang w:val="it-IT"/>
              </w:rPr>
            </w:pPr>
            <w:r w:rsidRPr="00EB4D74">
              <w:rPr>
                <w:rFonts w:cs="Tahoma"/>
                <w:lang w:val="pt-BR"/>
              </w:rPr>
              <w:t>CAL Principal (Dispositivo ou Usuário)</w:t>
            </w:r>
          </w:p>
        </w:tc>
        <w:tc>
          <w:tcPr>
            <w:tcW w:w="4298" w:type="dxa"/>
            <w:tcBorders>
              <w:top w:val="nil"/>
              <w:left w:val="nil"/>
              <w:bottom w:val="single" w:sz="8" w:space="0" w:color="auto"/>
              <w:right w:val="single" w:sz="8" w:space="0" w:color="auto"/>
            </w:tcBorders>
          </w:tcPr>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sz w:val="18"/>
                <w:lang w:val="pt-BR"/>
              </w:rPr>
              <w:t>Qualquer CAL Principal</w:t>
            </w:r>
          </w:p>
          <w:p w:rsidR="008B1196" w:rsidRPr="00EB4D74" w:rsidRDefault="008B1196" w:rsidP="00EA30FC">
            <w:pPr>
              <w:pStyle w:val="Bulletedlistflush"/>
              <w:ind w:left="576" w:right="720" w:firstLine="0"/>
              <w:jc w:val="center"/>
              <w:rPr>
                <w:rFonts w:ascii="Tahoma" w:hAnsi="Tahoma" w:cs="Tahoma"/>
                <w:sz w:val="18"/>
                <w:szCs w:val="18"/>
              </w:rPr>
            </w:pP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szCs w:val="18"/>
                <w:lang w:val="it-IT"/>
              </w:rPr>
            </w:pPr>
            <w:r w:rsidRPr="00EB4D74">
              <w:rPr>
                <w:rFonts w:cs="Tahoma"/>
                <w:lang w:val="pt-BR"/>
              </w:rPr>
              <w:t>CAL Empresarial (Dispositivo ou Usuário)</w:t>
            </w:r>
          </w:p>
        </w:tc>
        <w:tc>
          <w:tcPr>
            <w:tcW w:w="4298" w:type="dxa"/>
            <w:tcBorders>
              <w:top w:val="nil"/>
              <w:left w:val="nil"/>
              <w:bottom w:val="single" w:sz="8" w:space="0" w:color="auto"/>
              <w:right w:val="single" w:sz="8" w:space="0" w:color="auto"/>
            </w:tcBorders>
          </w:tcPr>
          <w:p w:rsidR="008B1196" w:rsidRPr="00EB4D74" w:rsidRDefault="008B1196" w:rsidP="00EA30FC">
            <w:pPr>
              <w:pStyle w:val="Bulletedlistflush"/>
              <w:ind w:left="576" w:right="720" w:firstLine="0"/>
              <w:jc w:val="center"/>
              <w:rPr>
                <w:rFonts w:ascii="Tahoma" w:hAnsi="Tahoma" w:cs="Tahoma"/>
                <w:sz w:val="18"/>
                <w:szCs w:val="18"/>
              </w:rPr>
            </w:pPr>
            <w:r w:rsidRPr="00EB4D74">
              <w:rPr>
                <w:rFonts w:ascii="Tahoma" w:hAnsi="Tahoma" w:cs="Tahoma"/>
                <w:sz w:val="18"/>
                <w:szCs w:val="18"/>
                <w:lang w:val="pt-BR"/>
              </w:rPr>
              <w:t>Qualquer CAL Empresarial</w:t>
            </w: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szCs w:val="18"/>
              </w:rPr>
            </w:pPr>
            <w:r w:rsidRPr="00EB4D74">
              <w:rPr>
                <w:rFonts w:cs="Tahoma"/>
                <w:lang w:val="pt-BR"/>
              </w:rPr>
              <w:t>Office Professional Plus 2013</w:t>
            </w:r>
          </w:p>
        </w:tc>
        <w:tc>
          <w:tcPr>
            <w:tcW w:w="4298" w:type="dxa"/>
            <w:tcBorders>
              <w:top w:val="nil"/>
              <w:left w:val="nil"/>
              <w:bottom w:val="single" w:sz="8" w:space="0" w:color="auto"/>
              <w:right w:val="single" w:sz="8" w:space="0" w:color="auto"/>
            </w:tcBorders>
          </w:tcPr>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sz w:val="18"/>
                <w:lang w:val="pt-BR"/>
              </w:rPr>
              <w:t>Office Professional Plus 2013</w:t>
            </w:r>
          </w:p>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sz w:val="18"/>
                <w:lang w:val="pt-BR"/>
              </w:rPr>
              <w:t>Office Professional Plus 2010</w:t>
            </w:r>
          </w:p>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sz w:val="18"/>
                <w:lang w:val="pt-BR"/>
              </w:rPr>
              <w:t>Office 2013 Professional</w:t>
            </w:r>
          </w:p>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sz w:val="18"/>
                <w:lang w:val="pt-BR"/>
              </w:rPr>
              <w:t>Office 2010 Professional</w:t>
            </w:r>
          </w:p>
          <w:p w:rsidR="008B1196" w:rsidRPr="00EB4D74" w:rsidRDefault="008B1196" w:rsidP="00EA30FC">
            <w:pPr>
              <w:pStyle w:val="Bulletedlistflush"/>
              <w:ind w:left="576" w:right="720" w:firstLine="0"/>
              <w:jc w:val="center"/>
              <w:rPr>
                <w:rFonts w:ascii="Tahoma" w:hAnsi="Tahoma" w:cs="Tahoma"/>
                <w:sz w:val="18"/>
                <w:szCs w:val="18"/>
              </w:rPr>
            </w:pP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color w:val="000000"/>
                <w:szCs w:val="18"/>
              </w:rPr>
            </w:pPr>
            <w:r w:rsidRPr="00EB4D74">
              <w:rPr>
                <w:rFonts w:cs="Tahoma"/>
                <w:color w:val="000000"/>
                <w:lang w:val="pt-BR"/>
              </w:rPr>
              <w:t>CAL do Small Business Server Standard 2011 (Dispositivo ou Usuário)</w:t>
            </w:r>
          </w:p>
        </w:tc>
        <w:tc>
          <w:tcPr>
            <w:tcW w:w="4298" w:type="dxa"/>
            <w:tcBorders>
              <w:top w:val="nil"/>
              <w:left w:val="nil"/>
              <w:bottom w:val="single" w:sz="8" w:space="0" w:color="auto"/>
              <w:right w:val="single" w:sz="8" w:space="0" w:color="auto"/>
            </w:tcBorders>
          </w:tcPr>
          <w:p w:rsidR="008B1196" w:rsidRPr="00EB4D74" w:rsidRDefault="008B1196" w:rsidP="00EA30FC">
            <w:pPr>
              <w:ind w:left="576" w:right="720"/>
              <w:jc w:val="center"/>
              <w:rPr>
                <w:rFonts w:cs="Tahoma"/>
              </w:rPr>
            </w:pPr>
            <w:r w:rsidRPr="00EB4D74">
              <w:rPr>
                <w:rFonts w:cs="Tahoma"/>
                <w:color w:val="000000"/>
                <w:lang w:val="pt-BR"/>
              </w:rPr>
              <w:t>CAL do Windows Small Business Server 2011</w:t>
            </w:r>
          </w:p>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color w:val="000000"/>
                <w:sz w:val="18"/>
                <w:lang w:val="pt-BR"/>
              </w:rPr>
              <w:t>CAL do Windows Small Business Server Standard 2008</w:t>
            </w:r>
          </w:p>
          <w:p w:rsidR="008B1196" w:rsidRPr="00EB4D74" w:rsidRDefault="008B1196" w:rsidP="00EA30FC">
            <w:pPr>
              <w:pStyle w:val="Bulletedlistflush"/>
              <w:ind w:left="576" w:right="720" w:firstLine="0"/>
              <w:jc w:val="center"/>
              <w:rPr>
                <w:rFonts w:ascii="Tahoma" w:hAnsi="Tahoma" w:cs="Tahoma"/>
                <w:color w:val="000000"/>
                <w:sz w:val="18"/>
                <w:szCs w:val="18"/>
              </w:rPr>
            </w:pP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szCs w:val="18"/>
              </w:rPr>
            </w:pPr>
            <w:r w:rsidRPr="00EB4D74">
              <w:rPr>
                <w:rFonts w:cs="Tahoma"/>
                <w:lang w:val="pt-BR"/>
              </w:rPr>
              <w:t>CAL do Small Business Server Premium 2011 (Dispositivo ou Usuário)</w:t>
            </w:r>
          </w:p>
        </w:tc>
        <w:tc>
          <w:tcPr>
            <w:tcW w:w="4298" w:type="dxa"/>
            <w:tcBorders>
              <w:top w:val="nil"/>
              <w:left w:val="nil"/>
              <w:bottom w:val="single" w:sz="8" w:space="0" w:color="auto"/>
              <w:right w:val="single" w:sz="8" w:space="0" w:color="auto"/>
            </w:tcBorders>
          </w:tcPr>
          <w:p w:rsidR="008B1196" w:rsidRPr="00EB4D74" w:rsidRDefault="008B1196" w:rsidP="00EA30FC">
            <w:pPr>
              <w:ind w:left="576" w:right="720"/>
              <w:jc w:val="center"/>
              <w:rPr>
                <w:rFonts w:cs="Tahoma"/>
              </w:rPr>
            </w:pPr>
            <w:r w:rsidRPr="00EB4D74">
              <w:rPr>
                <w:rFonts w:cs="Tahoma"/>
                <w:color w:val="000000"/>
                <w:lang w:val="pt-BR"/>
              </w:rPr>
              <w:t>CAL do Windows Small Business Server Premium 2011</w:t>
            </w:r>
          </w:p>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color w:val="000000"/>
                <w:sz w:val="18"/>
                <w:lang w:val="pt-BR"/>
              </w:rPr>
              <w:t>CAL do Windows Small Business Server Premium 2008</w:t>
            </w:r>
          </w:p>
          <w:p w:rsidR="008B1196" w:rsidRPr="00EB4D74" w:rsidRDefault="008B1196" w:rsidP="00EA30FC">
            <w:pPr>
              <w:pStyle w:val="Bulletedlistflush"/>
              <w:ind w:left="576" w:right="720" w:firstLine="0"/>
              <w:jc w:val="center"/>
              <w:rPr>
                <w:rFonts w:ascii="Tahoma" w:hAnsi="Tahoma" w:cs="Tahoma"/>
                <w:sz w:val="18"/>
                <w:szCs w:val="18"/>
              </w:rPr>
            </w:pP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szCs w:val="18"/>
              </w:rPr>
            </w:pPr>
            <w:r w:rsidRPr="00EB4D74">
              <w:rPr>
                <w:rFonts w:cs="Tahoma"/>
                <w:lang w:val="pt-BR"/>
              </w:rPr>
              <w:lastRenderedPageBreak/>
              <w:t>CAL do Essential Business Server Standard 2008 (Dispositivo ou Usuário)</w:t>
            </w:r>
          </w:p>
        </w:tc>
        <w:tc>
          <w:tcPr>
            <w:tcW w:w="4298" w:type="dxa"/>
            <w:tcBorders>
              <w:top w:val="nil"/>
              <w:left w:val="nil"/>
              <w:bottom w:val="single" w:sz="8" w:space="0" w:color="auto"/>
              <w:right w:val="single" w:sz="8" w:space="0" w:color="auto"/>
            </w:tcBorders>
          </w:tcPr>
          <w:p w:rsidR="008B1196" w:rsidRPr="00EB4D74" w:rsidRDefault="008B1196" w:rsidP="00EA30FC">
            <w:pPr>
              <w:pStyle w:val="Bulletedlistflush"/>
              <w:ind w:left="576" w:right="720" w:firstLine="0"/>
              <w:jc w:val="center"/>
              <w:rPr>
                <w:rFonts w:ascii="Tahoma" w:hAnsi="Tahoma" w:cs="Tahoma"/>
                <w:sz w:val="18"/>
                <w:szCs w:val="18"/>
              </w:rPr>
            </w:pPr>
            <w:r w:rsidRPr="00EB4D74">
              <w:rPr>
                <w:rFonts w:ascii="Tahoma" w:hAnsi="Tahoma" w:cs="Tahoma"/>
                <w:sz w:val="18"/>
                <w:szCs w:val="18"/>
                <w:lang w:val="pt-BR"/>
              </w:rPr>
              <w:t>CAL do Windows Essential Business Server Standard 2008</w:t>
            </w:r>
          </w:p>
        </w:tc>
      </w:tr>
      <w:tr w:rsidR="008B1196" w:rsidRPr="00EB4D74" w:rsidTr="00EA30FC">
        <w:trPr>
          <w:trHeight w:val="576"/>
        </w:trPr>
        <w:tc>
          <w:tcPr>
            <w:tcW w:w="3809" w:type="dxa"/>
            <w:tcBorders>
              <w:top w:val="nil"/>
              <w:left w:val="single" w:sz="8" w:space="0" w:color="auto"/>
              <w:bottom w:val="single" w:sz="8" w:space="0" w:color="auto"/>
              <w:right w:val="single" w:sz="8" w:space="0" w:color="auto"/>
            </w:tcBorders>
          </w:tcPr>
          <w:p w:rsidR="008B1196" w:rsidRPr="00EB4D74" w:rsidRDefault="008B1196" w:rsidP="00EA30FC">
            <w:pPr>
              <w:ind w:left="360" w:right="720"/>
              <w:jc w:val="center"/>
              <w:rPr>
                <w:rFonts w:eastAsia="Times New Roman" w:cs="Tahoma"/>
                <w:szCs w:val="18"/>
              </w:rPr>
            </w:pPr>
            <w:r w:rsidRPr="00EB4D74">
              <w:rPr>
                <w:rFonts w:cs="Tahoma"/>
                <w:lang w:val="pt-BR"/>
              </w:rPr>
              <w:t>CAL do Essential Business Server Premium 2008 (Dispositivo ou Usuário)</w:t>
            </w:r>
          </w:p>
        </w:tc>
        <w:tc>
          <w:tcPr>
            <w:tcW w:w="4298" w:type="dxa"/>
            <w:tcBorders>
              <w:top w:val="nil"/>
              <w:left w:val="nil"/>
              <w:bottom w:val="single" w:sz="8" w:space="0" w:color="auto"/>
              <w:right w:val="single" w:sz="8" w:space="0" w:color="auto"/>
            </w:tcBorders>
          </w:tcPr>
          <w:p w:rsidR="008B1196" w:rsidRPr="00EB4D74" w:rsidRDefault="008B1196" w:rsidP="00EA30FC">
            <w:pPr>
              <w:pStyle w:val="Bulletedlistflush"/>
              <w:ind w:left="576" w:right="720" w:firstLine="0"/>
              <w:jc w:val="center"/>
              <w:rPr>
                <w:rFonts w:ascii="Tahoma" w:hAnsi="Tahoma" w:cs="Tahoma"/>
                <w:sz w:val="18"/>
                <w:szCs w:val="18"/>
              </w:rPr>
            </w:pPr>
            <w:r w:rsidRPr="00EB4D74">
              <w:rPr>
                <w:rFonts w:ascii="Tahoma" w:hAnsi="Tahoma" w:cs="Tahoma"/>
                <w:sz w:val="18"/>
                <w:szCs w:val="18"/>
                <w:lang w:val="pt-BR"/>
              </w:rPr>
              <w:t>CAL do Windows Essential Business Server Premium 2008</w:t>
            </w:r>
          </w:p>
        </w:tc>
      </w:tr>
      <w:tr w:rsidR="008B1196" w:rsidRPr="00EB4D74" w:rsidTr="00EA30FC">
        <w:trPr>
          <w:trHeight w:val="576"/>
        </w:trPr>
        <w:tc>
          <w:tcPr>
            <w:tcW w:w="3809" w:type="dxa"/>
            <w:tcBorders>
              <w:top w:val="single" w:sz="8" w:space="0" w:color="auto"/>
              <w:left w:val="single" w:sz="8" w:space="0" w:color="auto"/>
              <w:bottom w:val="single" w:sz="4" w:space="0" w:color="auto"/>
              <w:right w:val="single" w:sz="8" w:space="0" w:color="auto"/>
            </w:tcBorders>
          </w:tcPr>
          <w:p w:rsidR="008B1196" w:rsidRPr="00EB4D74" w:rsidRDefault="008B1196" w:rsidP="00EA30FC">
            <w:pPr>
              <w:ind w:left="360" w:right="720"/>
              <w:jc w:val="center"/>
              <w:rPr>
                <w:rFonts w:eastAsia="Times New Roman" w:cs="Tahoma"/>
                <w:szCs w:val="18"/>
              </w:rPr>
            </w:pPr>
            <w:r w:rsidRPr="00EB4D74">
              <w:rPr>
                <w:rFonts w:cs="Tahoma"/>
                <w:lang w:val="pt-BR"/>
              </w:rPr>
              <w:t>Atualização do Windows 8 Pro</w:t>
            </w:r>
          </w:p>
        </w:tc>
        <w:tc>
          <w:tcPr>
            <w:tcW w:w="4298" w:type="dxa"/>
            <w:tcBorders>
              <w:top w:val="single" w:sz="8" w:space="0" w:color="auto"/>
              <w:left w:val="nil"/>
              <w:bottom w:val="single" w:sz="4" w:space="0" w:color="auto"/>
              <w:right w:val="single" w:sz="8" w:space="0" w:color="auto"/>
            </w:tcBorders>
          </w:tcPr>
          <w:p w:rsidR="008B1196" w:rsidRPr="00EB4D74" w:rsidRDefault="008B1196" w:rsidP="00EA30FC">
            <w:pPr>
              <w:pStyle w:val="Bulletedlistflush"/>
              <w:ind w:left="576" w:right="720" w:firstLine="0"/>
              <w:jc w:val="center"/>
              <w:rPr>
                <w:rFonts w:ascii="Tahoma" w:hAnsi="Tahoma" w:cs="Tahoma"/>
              </w:rPr>
            </w:pPr>
            <w:r w:rsidRPr="00EB4D74">
              <w:rPr>
                <w:rFonts w:ascii="Tahoma" w:hAnsi="Tahoma" w:cs="Tahoma"/>
                <w:sz w:val="18"/>
                <w:lang w:val="pt-BR"/>
              </w:rPr>
              <w:t>Windows 8 Pro</w:t>
            </w:r>
          </w:p>
          <w:p w:rsidR="008B1196" w:rsidRPr="00EB4D74" w:rsidRDefault="008B1196" w:rsidP="00EA30FC">
            <w:pPr>
              <w:pStyle w:val="Bulletedlistflush"/>
              <w:ind w:left="576" w:right="720" w:firstLine="0"/>
              <w:jc w:val="center"/>
              <w:rPr>
                <w:rFonts w:ascii="Tahoma" w:hAnsi="Tahoma" w:cs="Tahoma"/>
                <w:sz w:val="18"/>
                <w:szCs w:val="18"/>
              </w:rPr>
            </w:pPr>
            <w:r w:rsidRPr="00EB4D74">
              <w:rPr>
                <w:rFonts w:ascii="Tahoma" w:hAnsi="Tahoma" w:cs="Tahoma"/>
                <w:sz w:val="18"/>
                <w:lang w:val="pt-BR"/>
              </w:rPr>
              <w:t>Windows 7 Professional</w:t>
            </w:r>
          </w:p>
        </w:tc>
      </w:tr>
    </w:tbl>
    <w:p w:rsidR="008B1196" w:rsidRPr="00EB4D74" w:rsidRDefault="008B1196" w:rsidP="008B1196">
      <w:pPr>
        <w:ind w:left="360" w:right="720"/>
        <w:rPr>
          <w:rFonts w:cs="Tahoma"/>
          <w:lang w:val="pt-BR"/>
        </w:rPr>
      </w:pPr>
    </w:p>
    <w:p w:rsidR="008B1196" w:rsidRPr="00EB4D74" w:rsidRDefault="008B1196" w:rsidP="008B1196">
      <w:pPr>
        <w:pStyle w:val="Bulletedlistflush"/>
        <w:ind w:left="576" w:right="720" w:firstLine="0"/>
        <w:rPr>
          <w:rFonts w:ascii="Tahoma" w:hAnsi="Tahoma" w:cs="Tahoma"/>
          <w:sz w:val="18"/>
          <w:lang w:val="pt-BR"/>
        </w:rPr>
      </w:pPr>
    </w:p>
    <w:p w:rsidR="008B1196" w:rsidRPr="00EB4D74" w:rsidRDefault="008B1196" w:rsidP="008B1196">
      <w:pPr>
        <w:pStyle w:val="Heading2"/>
        <w:ind w:left="0"/>
        <w:rPr>
          <w:rFonts w:ascii="Tahoma" w:hAnsi="Tahoma" w:cs="Tahoma"/>
        </w:rPr>
      </w:pPr>
      <w:bookmarkStart w:id="752" w:name="_Toc336338195"/>
      <w:bookmarkStart w:id="753" w:name="_Toc342914832"/>
      <w:bookmarkEnd w:id="752"/>
      <w:r w:rsidRPr="00EB4D74">
        <w:rPr>
          <w:rFonts w:ascii="Tahoma" w:hAnsi="Tahoma" w:cs="Tahoma"/>
          <w:lang w:val="pt-BR"/>
        </w:rPr>
        <w:t>Termos de Programa Atualizados dos Contratos Enterprise e Subscription</w:t>
      </w:r>
      <w:bookmarkEnd w:id="753"/>
    </w:p>
    <w:p w:rsidR="008B1196" w:rsidRPr="00EB4D74" w:rsidRDefault="008B1196" w:rsidP="008B1196">
      <w:pPr>
        <w:tabs>
          <w:tab w:val="left" w:pos="360"/>
        </w:tabs>
        <w:rPr>
          <w:rFonts w:cs="Tahoma"/>
        </w:rPr>
      </w:pPr>
    </w:p>
    <w:p w:rsidR="008B1196" w:rsidRPr="00EB4D74" w:rsidRDefault="008B1196" w:rsidP="008B1196">
      <w:pPr>
        <w:keepNext/>
        <w:spacing w:before="60"/>
        <w:outlineLvl w:val="3"/>
        <w:rPr>
          <w:rFonts w:cs="Tahoma"/>
        </w:rPr>
      </w:pPr>
      <w:r w:rsidRPr="00EB4D74">
        <w:rPr>
          <w:rFonts w:cs="Tahoma"/>
          <w:b/>
          <w:sz w:val="20"/>
          <w:lang w:val="pt-BR"/>
        </w:rPr>
        <w:t>Serviços Online Enterprise que satisfazem os requisitos do Produto Enterprise</w:t>
      </w:r>
    </w:p>
    <w:p w:rsidR="008B1196" w:rsidRPr="00EB4D74" w:rsidRDefault="008B1196" w:rsidP="008B1196">
      <w:pPr>
        <w:tabs>
          <w:tab w:val="left" w:pos="360"/>
        </w:tabs>
        <w:rPr>
          <w:rFonts w:cs="Tahoma"/>
          <w:lang w:val="pt-BR"/>
        </w:rPr>
      </w:pPr>
      <w:r w:rsidRPr="00EB4D74">
        <w:rPr>
          <w:rFonts w:cs="Tahoma"/>
          <w:b/>
          <w:lang w:val="pt-BR"/>
        </w:rPr>
        <w:t xml:space="preserve">Observação: </w:t>
      </w:r>
      <w:r w:rsidRPr="00EB4D74">
        <w:rPr>
          <w:rFonts w:cs="Tahoma"/>
          <w:lang w:val="pt-BR"/>
        </w:rPr>
        <w:t>O seguinte se aplica aos clientes do Registro Enterprise e Enterprise Subscription qualificados para comprar os Serviços Online Enterprise. Os clientes que tiverem dúvidas sobre sua qualificação para comprar os Serviços Online Enterprise devem entrar em contato com o Consultor de Software, Revendedor ou Gerente de Conta Microsoft para obter mais informações.</w:t>
      </w: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r w:rsidRPr="00EB4D74">
        <w:rPr>
          <w:rFonts w:cs="Tahoma"/>
          <w:lang w:val="pt-BR"/>
        </w:rPr>
        <w:t>Uma combinação dos Produtos Enterprise e dos Serviços Online Enterprise pode ser usada para atender aos requisitos de toda a Empresa em um Registro Enterprise ou Enterprise Subscription.</w:t>
      </w: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r w:rsidRPr="00EB4D74">
        <w:rPr>
          <w:rFonts w:cs="Tahoma"/>
          <w:lang w:val="pt-BR"/>
        </w:rPr>
        <w:t>A tabela a seguir identifica os Serviços Online Enterprise e as CALs necessárias (se aplicável) que atendem aos requisitos de toda a Empresa para Produtos Enterprise.</w:t>
      </w:r>
    </w:p>
    <w:p w:rsidR="008B1196" w:rsidRPr="00EB4D74" w:rsidRDefault="008B1196" w:rsidP="008B1196">
      <w:pPr>
        <w:spacing w:before="120"/>
        <w:ind w:left="720"/>
        <w:rPr>
          <w:rFonts w:cs="Tahoma"/>
          <w:lang w:val="it-IT"/>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8B1196" w:rsidRPr="00EB4D74" w:rsidTr="00EA30FC">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8B1196" w:rsidRPr="00EB4D74" w:rsidRDefault="008B1196" w:rsidP="00EA30FC">
            <w:pPr>
              <w:keepNext/>
              <w:jc w:val="center"/>
              <w:rPr>
                <w:rFonts w:cs="Tahoma"/>
                <w:b/>
              </w:rPr>
            </w:pPr>
            <w:r w:rsidRPr="00EB4D74">
              <w:rPr>
                <w:rFonts w:cs="Tahoma"/>
                <w:b/>
                <w:lang w:val="pt-BR"/>
              </w:rPr>
              <w:t>Produto Enterprise</w:t>
            </w:r>
          </w:p>
        </w:tc>
        <w:tc>
          <w:tcPr>
            <w:tcW w:w="4157" w:type="dxa"/>
            <w:tcBorders>
              <w:top w:val="single" w:sz="8" w:space="0" w:color="auto"/>
              <w:left w:val="nil"/>
              <w:bottom w:val="single" w:sz="8" w:space="0" w:color="auto"/>
              <w:right w:val="single" w:sz="8" w:space="0" w:color="auto"/>
            </w:tcBorders>
            <w:shd w:val="clear" w:color="auto" w:fill="FABF8F"/>
            <w:vAlign w:val="center"/>
          </w:tcPr>
          <w:p w:rsidR="008B1196" w:rsidRPr="00EB4D74" w:rsidRDefault="008B1196" w:rsidP="00EA30FC">
            <w:pPr>
              <w:keepNext/>
              <w:jc w:val="center"/>
              <w:rPr>
                <w:rFonts w:cs="Tahoma"/>
                <w:b/>
              </w:rPr>
            </w:pPr>
            <w:r w:rsidRPr="00EB4D74">
              <w:rPr>
                <w:rFonts w:cs="Tahoma"/>
                <w:b/>
                <w:lang w:val="pt-BR"/>
              </w:rPr>
              <w:t>Serviços Online Enterprise***</w:t>
            </w:r>
          </w:p>
        </w:tc>
      </w:tr>
      <w:tr w:rsidR="008B1196" w:rsidRPr="00EB4D74"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8B1196" w:rsidRPr="00EB4D74" w:rsidRDefault="008B1196" w:rsidP="00EA30FC">
            <w:pPr>
              <w:ind w:left="144"/>
              <w:rPr>
                <w:rFonts w:cs="Tahoma"/>
                <w:szCs w:val="18"/>
              </w:rPr>
            </w:pPr>
            <w:r w:rsidRPr="00EB4D74">
              <w:rPr>
                <w:rFonts w:cs="Tahoma"/>
                <w:lang w:val="pt-BR"/>
              </w:rPr>
              <w:t>Office Professional Plus**</w:t>
            </w:r>
          </w:p>
        </w:tc>
        <w:tc>
          <w:tcPr>
            <w:tcW w:w="4157" w:type="dxa"/>
            <w:tcBorders>
              <w:top w:val="nil"/>
              <w:left w:val="nil"/>
              <w:bottom w:val="single" w:sz="4" w:space="0" w:color="auto"/>
              <w:right w:val="single" w:sz="8" w:space="0" w:color="auto"/>
            </w:tcBorders>
            <w:vAlign w:val="center"/>
          </w:tcPr>
          <w:p w:rsidR="008B1196" w:rsidRPr="00EB4D74" w:rsidRDefault="008B1196" w:rsidP="00EA30FC">
            <w:pPr>
              <w:numPr>
                <w:ilvl w:val="0"/>
                <w:numId w:val="6"/>
              </w:numPr>
              <w:spacing w:after="60"/>
              <w:ind w:left="907"/>
              <w:rPr>
                <w:rFonts w:cs="Tahoma"/>
              </w:rPr>
            </w:pPr>
            <w:r w:rsidRPr="00EB4D74">
              <w:rPr>
                <w:rFonts w:cs="Tahoma"/>
                <w:color w:val="000000"/>
                <w:lang w:val="pt-BR"/>
              </w:rPr>
              <w:t>Office 365 (Plano E2)</w:t>
            </w:r>
          </w:p>
          <w:p w:rsidR="008B1196" w:rsidRPr="00EB4D74" w:rsidRDefault="008B1196" w:rsidP="00EA30FC">
            <w:pPr>
              <w:numPr>
                <w:ilvl w:val="0"/>
                <w:numId w:val="6"/>
              </w:numPr>
              <w:spacing w:after="60"/>
              <w:ind w:left="907"/>
              <w:rPr>
                <w:rFonts w:cs="Tahoma"/>
              </w:rPr>
            </w:pPr>
            <w:r w:rsidRPr="00EB4D74">
              <w:rPr>
                <w:rFonts w:cs="Tahoma"/>
                <w:color w:val="000000"/>
                <w:lang w:val="pt-BR"/>
              </w:rPr>
              <w:t>Office 365 (Plano E3)</w:t>
            </w:r>
          </w:p>
          <w:p w:rsidR="008B1196" w:rsidRPr="00EB4D74" w:rsidRDefault="008B1196" w:rsidP="00EA30FC">
            <w:pPr>
              <w:numPr>
                <w:ilvl w:val="0"/>
                <w:numId w:val="6"/>
              </w:numPr>
              <w:spacing w:after="60"/>
              <w:ind w:left="907"/>
              <w:rPr>
                <w:rFonts w:cs="Tahoma"/>
              </w:rPr>
            </w:pPr>
            <w:r w:rsidRPr="00EB4D74">
              <w:rPr>
                <w:rFonts w:cs="Tahoma"/>
                <w:color w:val="000000"/>
                <w:lang w:val="pt-BR"/>
              </w:rPr>
              <w:t>Office 365 (Plano E4)</w:t>
            </w:r>
          </w:p>
          <w:p w:rsidR="008B1196" w:rsidRPr="00EB4D74" w:rsidRDefault="008B1196" w:rsidP="00EA30FC">
            <w:pPr>
              <w:numPr>
                <w:ilvl w:val="0"/>
                <w:numId w:val="6"/>
              </w:numPr>
              <w:spacing w:after="60"/>
              <w:ind w:left="907"/>
              <w:rPr>
                <w:rFonts w:cs="Tahoma"/>
              </w:rPr>
            </w:pPr>
            <w:r w:rsidRPr="00EB4D74">
              <w:rPr>
                <w:rFonts w:cs="Tahoma"/>
                <w:color w:val="000000"/>
                <w:lang w:val="pt-BR"/>
              </w:rPr>
              <w:t>Office 365 (Plano G2)</w:t>
            </w:r>
          </w:p>
          <w:p w:rsidR="008B1196" w:rsidRPr="00EB4D74" w:rsidRDefault="008B1196" w:rsidP="00EA30FC">
            <w:pPr>
              <w:numPr>
                <w:ilvl w:val="0"/>
                <w:numId w:val="6"/>
              </w:numPr>
              <w:spacing w:after="60"/>
              <w:ind w:left="907"/>
              <w:rPr>
                <w:rFonts w:cs="Tahoma"/>
              </w:rPr>
            </w:pPr>
            <w:r w:rsidRPr="00EB4D74">
              <w:rPr>
                <w:rFonts w:cs="Tahoma"/>
                <w:color w:val="000000"/>
                <w:lang w:val="pt-BR"/>
              </w:rPr>
              <w:t>Office 365 (Plano G3)</w:t>
            </w:r>
          </w:p>
          <w:p w:rsidR="008B1196" w:rsidRPr="00EB4D74" w:rsidRDefault="008B1196" w:rsidP="00EA30FC">
            <w:pPr>
              <w:numPr>
                <w:ilvl w:val="0"/>
                <w:numId w:val="6"/>
              </w:numPr>
              <w:spacing w:after="60"/>
              <w:ind w:left="907"/>
              <w:rPr>
                <w:rFonts w:cs="Tahoma"/>
              </w:rPr>
            </w:pPr>
            <w:r w:rsidRPr="00EB4D74">
              <w:rPr>
                <w:rFonts w:cs="Tahoma"/>
                <w:color w:val="000000"/>
                <w:lang w:val="pt-BR"/>
              </w:rPr>
              <w:t>Office 365 (Plano G4)</w:t>
            </w:r>
          </w:p>
          <w:p w:rsidR="008B1196" w:rsidRPr="00EB4D74" w:rsidRDefault="008B1196" w:rsidP="00EA30FC">
            <w:pPr>
              <w:spacing w:after="60"/>
              <w:ind w:left="907"/>
              <w:rPr>
                <w:rFonts w:cs="Tahoma"/>
                <w:color w:val="000000"/>
                <w:szCs w:val="18"/>
              </w:rPr>
            </w:pPr>
          </w:p>
        </w:tc>
      </w:tr>
      <w:tr w:rsidR="008B1196" w:rsidRPr="00EB4D74" w:rsidTr="00EA30FC">
        <w:trPr>
          <w:trHeight w:val="497"/>
          <w:jc w:val="center"/>
        </w:trPr>
        <w:tc>
          <w:tcPr>
            <w:tcW w:w="3892" w:type="dxa"/>
            <w:tcBorders>
              <w:top w:val="nil"/>
              <w:left w:val="single" w:sz="8" w:space="0" w:color="auto"/>
              <w:bottom w:val="single" w:sz="4" w:space="0" w:color="auto"/>
              <w:right w:val="single" w:sz="8" w:space="0" w:color="auto"/>
            </w:tcBorders>
            <w:vAlign w:val="center"/>
          </w:tcPr>
          <w:p w:rsidR="008B1196" w:rsidRPr="00EB4D74" w:rsidRDefault="008B1196" w:rsidP="00EA30FC">
            <w:pPr>
              <w:ind w:left="144"/>
              <w:rPr>
                <w:rFonts w:cs="Tahoma"/>
                <w:szCs w:val="18"/>
              </w:rPr>
            </w:pPr>
            <w:r w:rsidRPr="00EB4D74">
              <w:rPr>
                <w:rFonts w:cs="Tahoma"/>
                <w:szCs w:val="18"/>
                <w:lang w:val="pt-BR"/>
              </w:rPr>
              <w:t>Core CAL Suite</w:t>
            </w:r>
          </w:p>
        </w:tc>
        <w:tc>
          <w:tcPr>
            <w:tcW w:w="4157" w:type="dxa"/>
            <w:tcBorders>
              <w:top w:val="nil"/>
              <w:left w:val="nil"/>
              <w:bottom w:val="single" w:sz="4" w:space="0" w:color="auto"/>
              <w:right w:val="single" w:sz="8" w:space="0" w:color="auto"/>
            </w:tcBorders>
            <w:vAlign w:val="center"/>
          </w:tcPr>
          <w:p w:rsidR="008B1196" w:rsidRPr="00EB4D74" w:rsidRDefault="008B1196" w:rsidP="00EA30FC">
            <w:pPr>
              <w:numPr>
                <w:ilvl w:val="0"/>
                <w:numId w:val="6"/>
              </w:numPr>
              <w:spacing w:after="60"/>
              <w:rPr>
                <w:rFonts w:cs="Tahoma"/>
              </w:rPr>
            </w:pPr>
            <w:r w:rsidRPr="00EB4D74">
              <w:rPr>
                <w:rFonts w:cs="Tahoma"/>
                <w:color w:val="000000"/>
                <w:lang w:val="pt-BR"/>
              </w:rPr>
              <w:t>Office 365 (Plano E1)*</w:t>
            </w:r>
          </w:p>
          <w:p w:rsidR="008B1196" w:rsidRPr="00EB4D74" w:rsidRDefault="008B1196" w:rsidP="00EA30FC">
            <w:pPr>
              <w:numPr>
                <w:ilvl w:val="0"/>
                <w:numId w:val="6"/>
              </w:numPr>
              <w:spacing w:after="60"/>
              <w:rPr>
                <w:rFonts w:cs="Tahoma"/>
              </w:rPr>
            </w:pPr>
            <w:r w:rsidRPr="00EB4D74">
              <w:rPr>
                <w:rFonts w:cs="Tahoma"/>
                <w:color w:val="000000"/>
                <w:lang w:val="pt-BR"/>
              </w:rPr>
              <w:t>Office 365 (Plano E2)*</w:t>
            </w:r>
          </w:p>
          <w:p w:rsidR="008B1196" w:rsidRPr="00EB4D74" w:rsidRDefault="008B1196" w:rsidP="00EA30FC">
            <w:pPr>
              <w:numPr>
                <w:ilvl w:val="0"/>
                <w:numId w:val="6"/>
              </w:numPr>
              <w:spacing w:after="60"/>
              <w:rPr>
                <w:rFonts w:cs="Tahoma"/>
              </w:rPr>
            </w:pPr>
            <w:r w:rsidRPr="00EB4D74">
              <w:rPr>
                <w:rFonts w:cs="Tahoma"/>
                <w:color w:val="000000"/>
                <w:lang w:val="pt-BR"/>
              </w:rPr>
              <w:t>Office 365 (Plano E3)*</w:t>
            </w:r>
          </w:p>
          <w:p w:rsidR="008B1196" w:rsidRPr="00EB4D74" w:rsidRDefault="008B1196" w:rsidP="00EA30FC">
            <w:pPr>
              <w:numPr>
                <w:ilvl w:val="0"/>
                <w:numId w:val="6"/>
              </w:numPr>
              <w:spacing w:after="60"/>
              <w:rPr>
                <w:rFonts w:cs="Tahoma"/>
              </w:rPr>
            </w:pPr>
            <w:r w:rsidRPr="00EB4D74">
              <w:rPr>
                <w:rFonts w:cs="Tahoma"/>
                <w:color w:val="000000"/>
                <w:lang w:val="pt-BR"/>
              </w:rPr>
              <w:t>Office 365 (Plano E4)*</w:t>
            </w:r>
          </w:p>
          <w:p w:rsidR="008B1196" w:rsidRPr="00EB4D74" w:rsidRDefault="008B1196" w:rsidP="00EA30FC">
            <w:pPr>
              <w:numPr>
                <w:ilvl w:val="0"/>
                <w:numId w:val="6"/>
              </w:numPr>
              <w:spacing w:after="60"/>
              <w:rPr>
                <w:rFonts w:cs="Tahoma"/>
              </w:rPr>
            </w:pPr>
            <w:r w:rsidRPr="00EB4D74">
              <w:rPr>
                <w:rFonts w:cs="Tahoma"/>
                <w:color w:val="000000"/>
                <w:lang w:val="pt-BR"/>
              </w:rPr>
              <w:t>Office 365 (Plano G1)*</w:t>
            </w:r>
          </w:p>
          <w:p w:rsidR="008B1196" w:rsidRPr="00EB4D74" w:rsidRDefault="008B1196" w:rsidP="00EA30FC">
            <w:pPr>
              <w:numPr>
                <w:ilvl w:val="0"/>
                <w:numId w:val="6"/>
              </w:numPr>
              <w:spacing w:after="60"/>
              <w:rPr>
                <w:rFonts w:cs="Tahoma"/>
              </w:rPr>
            </w:pPr>
            <w:r w:rsidRPr="00EB4D74">
              <w:rPr>
                <w:rFonts w:cs="Tahoma"/>
                <w:color w:val="000000"/>
                <w:lang w:val="pt-BR"/>
              </w:rPr>
              <w:t>Office 365 (Plano G2)*</w:t>
            </w:r>
          </w:p>
          <w:p w:rsidR="008B1196" w:rsidRPr="00EB4D74" w:rsidRDefault="008B1196" w:rsidP="00EA30FC">
            <w:pPr>
              <w:numPr>
                <w:ilvl w:val="0"/>
                <w:numId w:val="6"/>
              </w:numPr>
              <w:spacing w:after="60"/>
              <w:rPr>
                <w:rFonts w:cs="Tahoma"/>
              </w:rPr>
            </w:pPr>
            <w:r w:rsidRPr="00EB4D74">
              <w:rPr>
                <w:rFonts w:cs="Tahoma"/>
                <w:color w:val="000000"/>
                <w:lang w:val="pt-BR"/>
              </w:rPr>
              <w:t>Office 365 (Plano G3)*</w:t>
            </w:r>
          </w:p>
          <w:p w:rsidR="008B1196" w:rsidRPr="00EB4D74" w:rsidRDefault="008B1196" w:rsidP="00EA30FC">
            <w:pPr>
              <w:numPr>
                <w:ilvl w:val="0"/>
                <w:numId w:val="6"/>
              </w:numPr>
              <w:spacing w:after="60"/>
              <w:rPr>
                <w:rFonts w:cs="Tahoma"/>
              </w:rPr>
            </w:pPr>
            <w:r w:rsidRPr="00EB4D74">
              <w:rPr>
                <w:rFonts w:cs="Tahoma"/>
                <w:color w:val="000000"/>
                <w:lang w:val="pt-BR"/>
              </w:rPr>
              <w:t>Office 365 (Plano G4)*</w:t>
            </w:r>
          </w:p>
          <w:p w:rsidR="008B1196" w:rsidRPr="00EB4D74" w:rsidRDefault="008B1196" w:rsidP="00EA30FC">
            <w:pPr>
              <w:numPr>
                <w:ilvl w:val="0"/>
                <w:numId w:val="6"/>
              </w:numPr>
              <w:spacing w:after="60"/>
              <w:rPr>
                <w:rFonts w:cs="Tahoma"/>
              </w:rPr>
            </w:pPr>
            <w:r w:rsidRPr="00EB4D74">
              <w:rPr>
                <w:rFonts w:cs="Tahoma"/>
                <w:color w:val="000000"/>
                <w:lang w:val="pt-BR"/>
              </w:rPr>
              <w:t>Windows Intune*</w:t>
            </w:r>
          </w:p>
          <w:p w:rsidR="008B1196" w:rsidRPr="00EB4D74" w:rsidRDefault="008B1196" w:rsidP="00EA30FC">
            <w:pPr>
              <w:spacing w:after="60"/>
              <w:ind w:left="901"/>
              <w:rPr>
                <w:rFonts w:cs="Tahoma"/>
                <w:color w:val="000000"/>
                <w:szCs w:val="18"/>
              </w:rPr>
            </w:pPr>
          </w:p>
        </w:tc>
      </w:tr>
      <w:tr w:rsidR="008B1196" w:rsidRPr="00EB4D74" w:rsidTr="00EA30FC">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8B1196" w:rsidRPr="00EB4D74" w:rsidRDefault="008B1196" w:rsidP="00EA30FC">
            <w:pPr>
              <w:ind w:left="144"/>
              <w:rPr>
                <w:rFonts w:cs="Tahoma"/>
                <w:szCs w:val="18"/>
              </w:rPr>
            </w:pPr>
            <w:r w:rsidRPr="00EB4D74">
              <w:rPr>
                <w:rFonts w:cs="Tahoma"/>
                <w:szCs w:val="18"/>
                <w:lang w:val="pt-BR"/>
              </w:rPr>
              <w:t>Enterprise CAL Suite</w:t>
            </w:r>
          </w:p>
        </w:tc>
        <w:tc>
          <w:tcPr>
            <w:tcW w:w="4157" w:type="dxa"/>
            <w:tcBorders>
              <w:top w:val="single" w:sz="4" w:space="0" w:color="auto"/>
              <w:left w:val="nil"/>
              <w:bottom w:val="single" w:sz="4" w:space="0" w:color="auto"/>
              <w:right w:val="single" w:sz="8" w:space="0" w:color="auto"/>
            </w:tcBorders>
            <w:vAlign w:val="center"/>
          </w:tcPr>
          <w:p w:rsidR="008B1196" w:rsidRPr="00EB4D74" w:rsidRDefault="008B1196" w:rsidP="00EA30FC">
            <w:pPr>
              <w:numPr>
                <w:ilvl w:val="0"/>
                <w:numId w:val="7"/>
              </w:numPr>
              <w:spacing w:after="60"/>
              <w:rPr>
                <w:rFonts w:cs="Tahoma"/>
              </w:rPr>
            </w:pPr>
            <w:r w:rsidRPr="00EB4D74">
              <w:rPr>
                <w:rFonts w:cs="Tahoma"/>
                <w:color w:val="000000"/>
                <w:lang w:val="pt-BR"/>
              </w:rPr>
              <w:t>Office 365 (Plano E3)*</w:t>
            </w:r>
          </w:p>
          <w:p w:rsidR="008B1196" w:rsidRPr="00EB4D74" w:rsidRDefault="008B1196" w:rsidP="00EA30FC">
            <w:pPr>
              <w:numPr>
                <w:ilvl w:val="0"/>
                <w:numId w:val="7"/>
              </w:numPr>
              <w:spacing w:after="60"/>
              <w:rPr>
                <w:rFonts w:cs="Tahoma"/>
              </w:rPr>
            </w:pPr>
            <w:r w:rsidRPr="00EB4D74">
              <w:rPr>
                <w:rFonts w:cs="Tahoma"/>
                <w:color w:val="000000"/>
                <w:lang w:val="pt-BR"/>
              </w:rPr>
              <w:t>Office 365 (Plano E4)*</w:t>
            </w:r>
          </w:p>
          <w:p w:rsidR="008B1196" w:rsidRPr="00EB4D74" w:rsidRDefault="008B1196" w:rsidP="00EA30FC">
            <w:pPr>
              <w:numPr>
                <w:ilvl w:val="0"/>
                <w:numId w:val="7"/>
              </w:numPr>
              <w:spacing w:after="60"/>
              <w:rPr>
                <w:rFonts w:cs="Tahoma"/>
              </w:rPr>
            </w:pPr>
            <w:r w:rsidRPr="00EB4D74">
              <w:rPr>
                <w:rFonts w:cs="Tahoma"/>
                <w:color w:val="000000"/>
                <w:lang w:val="pt-BR"/>
              </w:rPr>
              <w:t>Office 365 (Plano G3)*</w:t>
            </w:r>
          </w:p>
          <w:p w:rsidR="008B1196" w:rsidRPr="00EB4D74" w:rsidRDefault="008B1196" w:rsidP="00EA30FC">
            <w:pPr>
              <w:numPr>
                <w:ilvl w:val="0"/>
                <w:numId w:val="7"/>
              </w:numPr>
              <w:spacing w:after="60"/>
              <w:rPr>
                <w:rFonts w:cs="Tahoma"/>
              </w:rPr>
            </w:pPr>
            <w:r w:rsidRPr="00EB4D74">
              <w:rPr>
                <w:rFonts w:cs="Tahoma"/>
                <w:color w:val="000000"/>
                <w:lang w:val="pt-BR"/>
              </w:rPr>
              <w:t>Office 365 (Plano G4)*</w:t>
            </w:r>
          </w:p>
          <w:p w:rsidR="008B1196" w:rsidRPr="00EB4D74" w:rsidRDefault="008B1196" w:rsidP="00EA30FC">
            <w:pPr>
              <w:numPr>
                <w:ilvl w:val="0"/>
                <w:numId w:val="7"/>
              </w:numPr>
              <w:spacing w:after="60"/>
              <w:rPr>
                <w:rFonts w:cs="Tahoma"/>
              </w:rPr>
            </w:pPr>
            <w:r w:rsidRPr="00EB4D74">
              <w:rPr>
                <w:rFonts w:cs="Tahoma"/>
                <w:color w:val="000000"/>
                <w:lang w:val="pt-BR"/>
              </w:rPr>
              <w:t>Windows Intune*</w:t>
            </w:r>
          </w:p>
          <w:p w:rsidR="008B1196" w:rsidRPr="00EB4D74" w:rsidRDefault="008B1196" w:rsidP="00EA30FC">
            <w:pPr>
              <w:spacing w:after="60"/>
              <w:ind w:left="901"/>
              <w:rPr>
                <w:rFonts w:cs="Tahoma"/>
                <w:color w:val="000000"/>
                <w:szCs w:val="18"/>
              </w:rPr>
            </w:pPr>
          </w:p>
        </w:tc>
      </w:tr>
    </w:tbl>
    <w:p w:rsidR="008B1196" w:rsidRPr="00EB4D74" w:rsidRDefault="008B1196" w:rsidP="008B1196">
      <w:pPr>
        <w:tabs>
          <w:tab w:val="left" w:pos="360"/>
        </w:tabs>
        <w:ind w:left="720"/>
        <w:rPr>
          <w:rFonts w:cs="Tahoma"/>
          <w:lang w:val="it-IT"/>
        </w:rPr>
      </w:pPr>
      <w:r w:rsidRPr="00EB4D74">
        <w:rPr>
          <w:rFonts w:cs="Tahoma"/>
          <w:i/>
          <w:sz w:val="16"/>
          <w:szCs w:val="20"/>
          <w:lang w:val="pt-BR"/>
        </w:rPr>
        <w:lastRenderedPageBreak/>
        <w:t xml:space="preserve">* Requer Bridge do Pacote de CALs adequado. </w:t>
      </w:r>
      <w:r w:rsidRPr="00EB4D74">
        <w:rPr>
          <w:rFonts w:cs="Tahoma"/>
          <w:i/>
          <w:sz w:val="16"/>
          <w:lang w:val="pt-BR"/>
        </w:rPr>
        <w:t>Para obter mais informações sobre o Bridge do Pacote de CALs, consulte a seção de notas do produto neste documento.</w:t>
      </w:r>
    </w:p>
    <w:p w:rsidR="008B1196" w:rsidRPr="00EB4D74" w:rsidRDefault="008B1196" w:rsidP="008B1196">
      <w:pPr>
        <w:tabs>
          <w:tab w:val="left" w:pos="360"/>
        </w:tabs>
        <w:ind w:left="720"/>
        <w:rPr>
          <w:rFonts w:cs="Tahoma"/>
          <w:lang w:val="it-IT"/>
        </w:rPr>
      </w:pPr>
      <w:r w:rsidRPr="00EB4D74">
        <w:rPr>
          <w:rFonts w:cs="Tahoma"/>
          <w:i/>
          <w:sz w:val="16"/>
          <w:lang w:val="pt-BR"/>
        </w:rPr>
        <w:t>** O Office Professional Plus no Office 365 e o Windows VDA são Produtos Empresariais e também podem atender aos requisitos para toda a Empresa.</w:t>
      </w:r>
    </w:p>
    <w:p w:rsidR="008B1196" w:rsidRPr="00EB4D74" w:rsidRDefault="008B1196" w:rsidP="008B1196">
      <w:pPr>
        <w:tabs>
          <w:tab w:val="left" w:pos="360"/>
        </w:tabs>
        <w:ind w:left="720"/>
        <w:rPr>
          <w:rFonts w:cs="Tahoma"/>
        </w:rPr>
      </w:pPr>
      <w:r w:rsidRPr="00EB4D74">
        <w:rPr>
          <w:rFonts w:cs="Tahoma"/>
          <w:i/>
          <w:sz w:val="16"/>
          <w:szCs w:val="20"/>
          <w:lang w:val="pt-BR"/>
        </w:rPr>
        <w:t xml:space="preserve">*** Os Serviços Online Enterprise incluem somente USLs completas. </w:t>
      </w:r>
      <w:r w:rsidRPr="00EB4D74">
        <w:rPr>
          <w:rFonts w:cs="Tahoma"/>
          <w:i/>
          <w:sz w:val="16"/>
          <w:lang w:val="pt-BR"/>
        </w:rPr>
        <w:t>As USLs do Software Assurance, que requerem CAL Principal ou CAL Empresarial para compra, não são Serviços Online Enterprise.</w:t>
      </w:r>
    </w:p>
    <w:p w:rsidR="008B1196" w:rsidRPr="00EB4D74" w:rsidRDefault="008B1196" w:rsidP="008B1196">
      <w:pPr>
        <w:tabs>
          <w:tab w:val="left" w:pos="360"/>
        </w:tabs>
        <w:ind w:left="720"/>
        <w:rPr>
          <w:rFonts w:cs="Tahoma"/>
        </w:rPr>
      </w:pPr>
    </w:p>
    <w:p w:rsidR="008B1196" w:rsidRPr="00EB4D74" w:rsidRDefault="008B1196" w:rsidP="008B1196">
      <w:pPr>
        <w:tabs>
          <w:tab w:val="left" w:pos="360"/>
        </w:tabs>
        <w:rPr>
          <w:rFonts w:cs="Tahoma"/>
        </w:rPr>
      </w:pPr>
      <w:r w:rsidRPr="00EB4D74">
        <w:rPr>
          <w:rFonts w:cs="Tahoma"/>
          <w:b/>
          <w:sz w:val="20"/>
          <w:lang w:val="pt-BR"/>
        </w:rPr>
        <w:t>Transições Permitidas</w:t>
      </w:r>
    </w:p>
    <w:p w:rsidR="008B1196" w:rsidRPr="00EB4D74" w:rsidRDefault="008B1196" w:rsidP="008B1196">
      <w:pPr>
        <w:tabs>
          <w:tab w:val="left" w:pos="360"/>
        </w:tabs>
        <w:rPr>
          <w:rFonts w:cs="Tahoma"/>
        </w:rPr>
      </w:pPr>
      <w:r w:rsidRPr="00EB4D74">
        <w:rPr>
          <w:rFonts w:cs="Tahoma"/>
          <w:lang w:val="pt-BR"/>
        </w:rPr>
        <w:t>O seguinte se aplica aos clientes do Registro Enterprise e Enterprise Subscription que tenham direitos de Transição. Os clientes que tiverem dúvidas sobre os direitos de Transição do seu registro devem entrar em contato com o Consultor de Software, Revendedor ou Gerente de Conta Microsoft para obter mais informações.</w:t>
      </w:r>
    </w:p>
    <w:p w:rsidR="008B1196" w:rsidRPr="00EB4D74" w:rsidRDefault="008B1196" w:rsidP="008B1196">
      <w:pPr>
        <w:tabs>
          <w:tab w:val="left" w:pos="360"/>
        </w:tabs>
        <w:rPr>
          <w:rFonts w:cs="Tahoma"/>
        </w:rPr>
      </w:pPr>
    </w:p>
    <w:p w:rsidR="008B1196" w:rsidRPr="00EB4D74" w:rsidRDefault="008B1196" w:rsidP="008B1196">
      <w:pPr>
        <w:tabs>
          <w:tab w:val="left" w:pos="360"/>
        </w:tabs>
        <w:rPr>
          <w:rFonts w:cs="Tahoma"/>
        </w:rPr>
      </w:pPr>
    </w:p>
    <w:p w:rsidR="008B1196" w:rsidRPr="00EB4D74" w:rsidRDefault="008B1196" w:rsidP="008B1196">
      <w:pPr>
        <w:tabs>
          <w:tab w:val="left" w:pos="360"/>
        </w:tabs>
        <w:rPr>
          <w:rFonts w:cs="Tahoma"/>
          <w:lang w:val="it-IT"/>
        </w:rPr>
      </w:pPr>
      <w:r w:rsidRPr="00EB4D74">
        <w:rPr>
          <w:rFonts w:cs="Tahoma"/>
          <w:szCs w:val="20"/>
          <w:lang w:val="pt-BR"/>
        </w:rPr>
        <w:t xml:space="preserve">A tabela a seguir identifica os produtos qualificados para a Transição e as Transições permitidas. </w:t>
      </w:r>
      <w:r w:rsidRPr="00EB4D74">
        <w:rPr>
          <w:rFonts w:cs="Tahoma"/>
          <w:lang w:val="pt-BR"/>
        </w:rPr>
        <w:t>Ela inclui produtos submetidos a transição quando comprados como parte de uma plataforma de desktop.</w:t>
      </w:r>
    </w:p>
    <w:p w:rsidR="008B1196" w:rsidRPr="00EB4D74" w:rsidRDefault="008B1196" w:rsidP="008B1196">
      <w:pPr>
        <w:tabs>
          <w:tab w:val="left" w:pos="360"/>
        </w:tabs>
        <w:ind w:left="720"/>
        <w:rPr>
          <w:rFonts w:cs="Tahoma"/>
          <w:lang w:val="it-IT"/>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8B1196" w:rsidRPr="00EB4D74" w:rsidTr="00EA30FC">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8B1196" w:rsidRPr="00EB4D74" w:rsidRDefault="008B1196" w:rsidP="00EA30FC">
            <w:pPr>
              <w:keepNext/>
              <w:jc w:val="center"/>
              <w:rPr>
                <w:rFonts w:cs="Tahoma"/>
                <w:b/>
                <w:lang w:val="it-IT"/>
              </w:rPr>
            </w:pPr>
            <w:r w:rsidRPr="00EB4D74">
              <w:rPr>
                <w:rFonts w:cs="Tahoma"/>
                <w:b/>
                <w:lang w:val="pt-BR"/>
              </w:rPr>
              <w:t>Produtos Enterprise qualificados para Transição</w:t>
            </w:r>
          </w:p>
        </w:tc>
        <w:tc>
          <w:tcPr>
            <w:tcW w:w="4334" w:type="dxa"/>
            <w:tcBorders>
              <w:top w:val="single" w:sz="8" w:space="0" w:color="auto"/>
              <w:left w:val="nil"/>
              <w:bottom w:val="single" w:sz="8" w:space="0" w:color="auto"/>
              <w:right w:val="single" w:sz="8" w:space="0" w:color="auto"/>
            </w:tcBorders>
            <w:shd w:val="clear" w:color="auto" w:fill="FABF8F"/>
            <w:vAlign w:val="center"/>
          </w:tcPr>
          <w:p w:rsidR="008B1196" w:rsidRPr="00EB4D74" w:rsidRDefault="008B1196" w:rsidP="00EA30FC">
            <w:pPr>
              <w:keepNext/>
              <w:jc w:val="center"/>
              <w:rPr>
                <w:rFonts w:cs="Tahoma"/>
                <w:b/>
              </w:rPr>
            </w:pPr>
            <w:r w:rsidRPr="00EB4D74">
              <w:rPr>
                <w:rFonts w:cs="Tahoma"/>
                <w:b/>
                <w:lang w:val="pt-BR"/>
              </w:rPr>
              <w:t>Opções de Transições Válidas</w:t>
            </w:r>
          </w:p>
        </w:tc>
      </w:tr>
      <w:tr w:rsidR="008B1196" w:rsidRPr="00EB4D74"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8B1196" w:rsidRPr="00EB4D74" w:rsidRDefault="008B1196" w:rsidP="00EA30FC">
            <w:pPr>
              <w:spacing w:before="60" w:after="60"/>
              <w:ind w:left="144"/>
              <w:rPr>
                <w:rFonts w:cs="Tahoma"/>
              </w:rPr>
            </w:pPr>
            <w:r w:rsidRPr="00EB4D74">
              <w:rPr>
                <w:rFonts w:cs="Tahoma"/>
                <w:lang w:val="pt-BR"/>
              </w:rPr>
              <w:t>Core CAL Suite</w:t>
            </w:r>
          </w:p>
        </w:tc>
        <w:tc>
          <w:tcPr>
            <w:tcW w:w="4334" w:type="dxa"/>
            <w:tcBorders>
              <w:top w:val="nil"/>
              <w:left w:val="nil"/>
              <w:bottom w:val="single" w:sz="8" w:space="0" w:color="auto"/>
              <w:right w:val="single" w:sz="8" w:space="0" w:color="auto"/>
            </w:tcBorders>
            <w:vAlign w:val="center"/>
          </w:tcPr>
          <w:p w:rsidR="008B1196" w:rsidRPr="00EB4D74" w:rsidRDefault="008B1196" w:rsidP="00EA30FC">
            <w:pPr>
              <w:numPr>
                <w:ilvl w:val="0"/>
                <w:numId w:val="8"/>
              </w:numPr>
              <w:spacing w:after="60"/>
              <w:rPr>
                <w:rFonts w:cs="Tahoma"/>
              </w:rPr>
            </w:pPr>
            <w:r w:rsidRPr="00EB4D74">
              <w:rPr>
                <w:rFonts w:cs="Tahoma"/>
                <w:color w:val="000000"/>
                <w:lang w:val="pt-BR"/>
              </w:rPr>
              <w:t>Office 365 (Plano E1)*</w:t>
            </w:r>
          </w:p>
          <w:p w:rsidR="008B1196" w:rsidRPr="00EB4D74" w:rsidRDefault="008B1196" w:rsidP="00EA30FC">
            <w:pPr>
              <w:numPr>
                <w:ilvl w:val="0"/>
                <w:numId w:val="8"/>
              </w:numPr>
              <w:spacing w:after="60"/>
              <w:rPr>
                <w:rFonts w:cs="Tahoma"/>
              </w:rPr>
            </w:pPr>
            <w:r w:rsidRPr="00EB4D74">
              <w:rPr>
                <w:rFonts w:cs="Tahoma"/>
                <w:color w:val="000000"/>
                <w:lang w:val="pt-BR"/>
              </w:rPr>
              <w:t>Office 365 (Plano E2)*</w:t>
            </w:r>
          </w:p>
          <w:p w:rsidR="008B1196" w:rsidRPr="00EB4D74" w:rsidRDefault="008B1196" w:rsidP="00EA30FC">
            <w:pPr>
              <w:numPr>
                <w:ilvl w:val="0"/>
                <w:numId w:val="8"/>
              </w:numPr>
              <w:spacing w:after="60"/>
              <w:rPr>
                <w:rFonts w:cs="Tahoma"/>
              </w:rPr>
            </w:pPr>
            <w:r w:rsidRPr="00EB4D74">
              <w:rPr>
                <w:rFonts w:cs="Tahoma"/>
                <w:color w:val="000000"/>
                <w:lang w:val="pt-BR"/>
              </w:rPr>
              <w:t>Office 365 (Plano E3)*</w:t>
            </w:r>
          </w:p>
          <w:p w:rsidR="008B1196" w:rsidRPr="00EB4D74" w:rsidRDefault="008B1196" w:rsidP="00EA30FC">
            <w:pPr>
              <w:numPr>
                <w:ilvl w:val="0"/>
                <w:numId w:val="8"/>
              </w:numPr>
              <w:spacing w:after="60"/>
              <w:rPr>
                <w:rFonts w:cs="Tahoma"/>
              </w:rPr>
            </w:pPr>
            <w:r w:rsidRPr="00EB4D74">
              <w:rPr>
                <w:rFonts w:cs="Tahoma"/>
                <w:color w:val="000000"/>
                <w:lang w:val="pt-BR"/>
              </w:rPr>
              <w:t>Office 365 (Plano E4)*</w:t>
            </w:r>
          </w:p>
          <w:p w:rsidR="008B1196" w:rsidRPr="00EB4D74" w:rsidRDefault="008B1196" w:rsidP="00EA30FC">
            <w:pPr>
              <w:numPr>
                <w:ilvl w:val="0"/>
                <w:numId w:val="8"/>
              </w:numPr>
              <w:spacing w:after="60"/>
              <w:rPr>
                <w:rFonts w:cs="Tahoma"/>
              </w:rPr>
            </w:pPr>
            <w:r w:rsidRPr="00EB4D74">
              <w:rPr>
                <w:rFonts w:cs="Tahoma"/>
                <w:color w:val="000000"/>
                <w:lang w:val="pt-BR"/>
              </w:rPr>
              <w:t>Office 365 (Plano G1)*</w:t>
            </w:r>
          </w:p>
          <w:p w:rsidR="008B1196" w:rsidRPr="00EB4D74" w:rsidRDefault="008B1196" w:rsidP="00EA30FC">
            <w:pPr>
              <w:numPr>
                <w:ilvl w:val="0"/>
                <w:numId w:val="8"/>
              </w:numPr>
              <w:spacing w:after="60"/>
              <w:rPr>
                <w:rFonts w:cs="Tahoma"/>
              </w:rPr>
            </w:pPr>
            <w:r w:rsidRPr="00EB4D74">
              <w:rPr>
                <w:rFonts w:cs="Tahoma"/>
                <w:color w:val="000000"/>
                <w:lang w:val="pt-BR"/>
              </w:rPr>
              <w:t>Office 365 (Plano G2)*</w:t>
            </w:r>
          </w:p>
          <w:p w:rsidR="008B1196" w:rsidRPr="00EB4D74" w:rsidRDefault="008B1196" w:rsidP="00EA30FC">
            <w:pPr>
              <w:numPr>
                <w:ilvl w:val="0"/>
                <w:numId w:val="8"/>
              </w:numPr>
              <w:spacing w:after="60"/>
              <w:rPr>
                <w:rFonts w:cs="Tahoma"/>
              </w:rPr>
            </w:pPr>
            <w:r w:rsidRPr="00EB4D74">
              <w:rPr>
                <w:rFonts w:cs="Tahoma"/>
                <w:color w:val="000000"/>
                <w:lang w:val="pt-BR"/>
              </w:rPr>
              <w:t>Office 365 (Plano G3)*</w:t>
            </w:r>
          </w:p>
          <w:p w:rsidR="008B1196" w:rsidRPr="00EB4D74" w:rsidRDefault="008B1196" w:rsidP="00EA30FC">
            <w:pPr>
              <w:numPr>
                <w:ilvl w:val="0"/>
                <w:numId w:val="8"/>
              </w:numPr>
              <w:spacing w:after="60"/>
              <w:rPr>
                <w:rFonts w:cs="Tahoma"/>
              </w:rPr>
            </w:pPr>
            <w:r w:rsidRPr="00EB4D74">
              <w:rPr>
                <w:rFonts w:cs="Tahoma"/>
                <w:color w:val="000000"/>
                <w:lang w:val="pt-BR"/>
              </w:rPr>
              <w:t>Office 365 (Plano G4)*</w:t>
            </w:r>
          </w:p>
          <w:p w:rsidR="008B1196" w:rsidRPr="00EB4D74" w:rsidRDefault="008B1196" w:rsidP="00EA30FC">
            <w:pPr>
              <w:numPr>
                <w:ilvl w:val="0"/>
                <w:numId w:val="8"/>
              </w:numPr>
              <w:ind w:right="144"/>
              <w:rPr>
                <w:rFonts w:cs="Tahoma"/>
              </w:rPr>
            </w:pPr>
            <w:r w:rsidRPr="00EB4D74">
              <w:rPr>
                <w:rFonts w:cs="Tahoma"/>
                <w:color w:val="000000"/>
                <w:lang w:val="pt-BR"/>
              </w:rPr>
              <w:t>Windows Intune*</w:t>
            </w:r>
          </w:p>
          <w:p w:rsidR="008B1196" w:rsidRPr="00EB4D74" w:rsidRDefault="008B1196" w:rsidP="00EA30FC">
            <w:pPr>
              <w:ind w:left="720" w:right="144"/>
              <w:rPr>
                <w:rFonts w:cs="Tahoma"/>
                <w:color w:val="000000"/>
              </w:rPr>
            </w:pPr>
          </w:p>
        </w:tc>
      </w:tr>
      <w:tr w:rsidR="008B1196" w:rsidRPr="00EB4D74" w:rsidTr="00EA30FC">
        <w:trPr>
          <w:cantSplit/>
          <w:trHeight w:val="354"/>
        </w:trPr>
        <w:tc>
          <w:tcPr>
            <w:tcW w:w="3687" w:type="dxa"/>
            <w:tcBorders>
              <w:top w:val="nil"/>
              <w:left w:val="single" w:sz="8" w:space="0" w:color="auto"/>
              <w:bottom w:val="single" w:sz="8" w:space="0" w:color="auto"/>
              <w:right w:val="single" w:sz="8" w:space="0" w:color="auto"/>
            </w:tcBorders>
            <w:vAlign w:val="center"/>
          </w:tcPr>
          <w:p w:rsidR="008B1196" w:rsidRPr="00EB4D74" w:rsidRDefault="008B1196" w:rsidP="00EA30FC">
            <w:pPr>
              <w:spacing w:before="60" w:after="60"/>
              <w:ind w:left="144"/>
              <w:rPr>
                <w:rFonts w:cs="Tahoma"/>
              </w:rPr>
            </w:pPr>
            <w:r w:rsidRPr="00EB4D74">
              <w:rPr>
                <w:rFonts w:cs="Tahoma"/>
                <w:lang w:val="pt-BR"/>
              </w:rPr>
              <w:t>Enterprise CAL Suite</w:t>
            </w:r>
          </w:p>
        </w:tc>
        <w:tc>
          <w:tcPr>
            <w:tcW w:w="4334" w:type="dxa"/>
            <w:tcBorders>
              <w:top w:val="nil"/>
              <w:left w:val="nil"/>
              <w:bottom w:val="single" w:sz="8" w:space="0" w:color="auto"/>
              <w:right w:val="single" w:sz="8" w:space="0" w:color="auto"/>
            </w:tcBorders>
            <w:vAlign w:val="center"/>
          </w:tcPr>
          <w:p w:rsidR="008B1196" w:rsidRPr="00EB4D74" w:rsidRDefault="008B1196" w:rsidP="00EA30FC">
            <w:pPr>
              <w:numPr>
                <w:ilvl w:val="0"/>
                <w:numId w:val="8"/>
              </w:numPr>
              <w:spacing w:after="60"/>
              <w:rPr>
                <w:rFonts w:cs="Tahoma"/>
              </w:rPr>
            </w:pPr>
            <w:r w:rsidRPr="00EB4D74">
              <w:rPr>
                <w:rFonts w:cs="Tahoma"/>
                <w:color w:val="000000"/>
                <w:lang w:val="pt-BR"/>
              </w:rPr>
              <w:t>Office 365 (Plano E3)*</w:t>
            </w:r>
          </w:p>
          <w:p w:rsidR="008B1196" w:rsidRPr="00EB4D74" w:rsidRDefault="008B1196" w:rsidP="00EA30FC">
            <w:pPr>
              <w:numPr>
                <w:ilvl w:val="0"/>
                <w:numId w:val="8"/>
              </w:numPr>
              <w:spacing w:after="60"/>
              <w:rPr>
                <w:rFonts w:cs="Tahoma"/>
              </w:rPr>
            </w:pPr>
            <w:r w:rsidRPr="00EB4D74">
              <w:rPr>
                <w:rFonts w:cs="Tahoma"/>
                <w:color w:val="000000"/>
                <w:lang w:val="pt-BR"/>
              </w:rPr>
              <w:t>Office 365 (Plano E4)*</w:t>
            </w:r>
          </w:p>
          <w:p w:rsidR="008B1196" w:rsidRPr="00EB4D74" w:rsidRDefault="008B1196" w:rsidP="00EA30FC">
            <w:pPr>
              <w:numPr>
                <w:ilvl w:val="0"/>
                <w:numId w:val="8"/>
              </w:numPr>
              <w:spacing w:after="60"/>
              <w:rPr>
                <w:rFonts w:cs="Tahoma"/>
              </w:rPr>
            </w:pPr>
            <w:r w:rsidRPr="00EB4D74">
              <w:rPr>
                <w:rFonts w:cs="Tahoma"/>
                <w:color w:val="000000"/>
                <w:lang w:val="pt-BR"/>
              </w:rPr>
              <w:t>Office 365 (Plano G3)*</w:t>
            </w:r>
          </w:p>
          <w:p w:rsidR="008B1196" w:rsidRPr="00EB4D74" w:rsidRDefault="008B1196" w:rsidP="00EA30FC">
            <w:pPr>
              <w:numPr>
                <w:ilvl w:val="0"/>
                <w:numId w:val="8"/>
              </w:numPr>
              <w:spacing w:after="60"/>
              <w:rPr>
                <w:rFonts w:cs="Tahoma"/>
              </w:rPr>
            </w:pPr>
            <w:r w:rsidRPr="00EB4D74">
              <w:rPr>
                <w:rFonts w:cs="Tahoma"/>
                <w:color w:val="000000"/>
                <w:lang w:val="pt-BR"/>
              </w:rPr>
              <w:t>Office 365 (Plano G4)*</w:t>
            </w:r>
          </w:p>
          <w:p w:rsidR="008B1196" w:rsidRPr="00EB4D74" w:rsidRDefault="008B1196" w:rsidP="00EA30FC">
            <w:pPr>
              <w:numPr>
                <w:ilvl w:val="0"/>
                <w:numId w:val="8"/>
              </w:numPr>
              <w:ind w:right="144"/>
              <w:rPr>
                <w:rFonts w:cs="Tahoma"/>
              </w:rPr>
            </w:pPr>
            <w:r w:rsidRPr="00EB4D74">
              <w:rPr>
                <w:rFonts w:cs="Tahoma"/>
                <w:color w:val="000000"/>
                <w:lang w:val="pt-BR"/>
              </w:rPr>
              <w:t>Windows</w:t>
            </w:r>
            <w:r w:rsidRPr="00EB4D74">
              <w:rPr>
                <w:rFonts w:cs="Tahoma"/>
                <w:color w:val="000000"/>
                <w:vertAlign w:val="superscript"/>
                <w:lang w:val="pt-BR"/>
              </w:rPr>
              <w:t>®</w:t>
            </w:r>
            <w:r w:rsidRPr="00EB4D74">
              <w:rPr>
                <w:rFonts w:cs="Tahoma"/>
                <w:color w:val="000000"/>
                <w:lang w:val="pt-BR"/>
              </w:rPr>
              <w:t xml:space="preserve"> Intune*</w:t>
            </w:r>
          </w:p>
          <w:p w:rsidR="008B1196" w:rsidRPr="00EB4D74" w:rsidRDefault="008B1196" w:rsidP="00EA30FC">
            <w:pPr>
              <w:ind w:right="144"/>
              <w:rPr>
                <w:rFonts w:cs="Tahoma"/>
                <w:color w:val="000000"/>
              </w:rPr>
            </w:pPr>
          </w:p>
        </w:tc>
      </w:tr>
      <w:tr w:rsidR="008B1196" w:rsidRPr="00EB4D74" w:rsidTr="00EA30FC">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8B1196" w:rsidRPr="00EB4D74" w:rsidRDefault="008B1196" w:rsidP="00EA30FC">
            <w:pPr>
              <w:spacing w:before="60" w:after="60"/>
              <w:ind w:left="144"/>
              <w:rPr>
                <w:rFonts w:cs="Tahoma"/>
              </w:rPr>
            </w:pPr>
            <w:r w:rsidRPr="00EB4D74">
              <w:rPr>
                <w:rFonts w:cs="Tahoma"/>
                <w:lang w:val="pt-BR"/>
              </w:rPr>
              <w:t>Office Professional Plus</w:t>
            </w:r>
          </w:p>
        </w:tc>
        <w:tc>
          <w:tcPr>
            <w:tcW w:w="4334" w:type="dxa"/>
            <w:tcBorders>
              <w:top w:val="single" w:sz="8" w:space="0" w:color="auto"/>
              <w:left w:val="nil"/>
              <w:bottom w:val="single" w:sz="8" w:space="0" w:color="auto"/>
              <w:right w:val="single" w:sz="8" w:space="0" w:color="auto"/>
            </w:tcBorders>
            <w:vAlign w:val="center"/>
          </w:tcPr>
          <w:p w:rsidR="008B1196" w:rsidRPr="00EB4D74" w:rsidRDefault="008B1196" w:rsidP="00EA30FC">
            <w:pPr>
              <w:numPr>
                <w:ilvl w:val="0"/>
                <w:numId w:val="8"/>
              </w:numPr>
              <w:spacing w:after="60"/>
              <w:rPr>
                <w:rFonts w:cs="Tahoma"/>
              </w:rPr>
            </w:pPr>
            <w:r w:rsidRPr="00EB4D74">
              <w:rPr>
                <w:rFonts w:cs="Tahoma"/>
                <w:color w:val="000000"/>
                <w:lang w:val="pt-BR"/>
              </w:rPr>
              <w:t>Office 365 (Plano E2)</w:t>
            </w:r>
          </w:p>
          <w:p w:rsidR="008B1196" w:rsidRPr="00EB4D74" w:rsidRDefault="008B1196" w:rsidP="00EA30FC">
            <w:pPr>
              <w:numPr>
                <w:ilvl w:val="0"/>
                <w:numId w:val="8"/>
              </w:numPr>
              <w:spacing w:after="60"/>
              <w:rPr>
                <w:rFonts w:cs="Tahoma"/>
              </w:rPr>
            </w:pPr>
            <w:r w:rsidRPr="00EB4D74">
              <w:rPr>
                <w:rFonts w:cs="Tahoma"/>
                <w:color w:val="000000"/>
                <w:lang w:val="pt-BR"/>
              </w:rPr>
              <w:t>Office 365 (Plano E3)</w:t>
            </w:r>
          </w:p>
          <w:p w:rsidR="008B1196" w:rsidRPr="00EB4D74" w:rsidRDefault="008B1196" w:rsidP="00EA30FC">
            <w:pPr>
              <w:numPr>
                <w:ilvl w:val="0"/>
                <w:numId w:val="8"/>
              </w:numPr>
              <w:spacing w:after="60"/>
              <w:rPr>
                <w:rFonts w:cs="Tahoma"/>
              </w:rPr>
            </w:pPr>
            <w:r w:rsidRPr="00EB4D74">
              <w:rPr>
                <w:rFonts w:cs="Tahoma"/>
                <w:color w:val="000000"/>
                <w:lang w:val="pt-BR"/>
              </w:rPr>
              <w:t>Office 365 (Plano E4)</w:t>
            </w:r>
          </w:p>
          <w:p w:rsidR="008B1196" w:rsidRPr="00EB4D74" w:rsidRDefault="008B1196" w:rsidP="00EA30FC">
            <w:pPr>
              <w:numPr>
                <w:ilvl w:val="0"/>
                <w:numId w:val="8"/>
              </w:numPr>
              <w:spacing w:after="60"/>
              <w:rPr>
                <w:rFonts w:cs="Tahoma"/>
              </w:rPr>
            </w:pPr>
            <w:r w:rsidRPr="00EB4D74">
              <w:rPr>
                <w:rFonts w:cs="Tahoma"/>
                <w:color w:val="000000"/>
                <w:lang w:val="pt-BR"/>
              </w:rPr>
              <w:t>Office 365 (Plano G2)</w:t>
            </w:r>
          </w:p>
          <w:p w:rsidR="008B1196" w:rsidRPr="00EB4D74" w:rsidRDefault="008B1196" w:rsidP="00EA30FC">
            <w:pPr>
              <w:numPr>
                <w:ilvl w:val="0"/>
                <w:numId w:val="8"/>
              </w:numPr>
              <w:spacing w:after="60"/>
              <w:rPr>
                <w:rFonts w:cs="Tahoma"/>
              </w:rPr>
            </w:pPr>
            <w:r w:rsidRPr="00EB4D74">
              <w:rPr>
                <w:rFonts w:cs="Tahoma"/>
                <w:color w:val="000000"/>
                <w:lang w:val="pt-BR"/>
              </w:rPr>
              <w:t>Office 365 (Plano G3)</w:t>
            </w:r>
          </w:p>
          <w:p w:rsidR="008B1196" w:rsidRPr="00EB4D74" w:rsidRDefault="008B1196" w:rsidP="00EA30FC">
            <w:pPr>
              <w:numPr>
                <w:ilvl w:val="0"/>
                <w:numId w:val="8"/>
              </w:numPr>
              <w:spacing w:after="60"/>
              <w:rPr>
                <w:rFonts w:cs="Tahoma"/>
              </w:rPr>
            </w:pPr>
            <w:r w:rsidRPr="00EB4D74">
              <w:rPr>
                <w:rFonts w:cs="Tahoma"/>
                <w:color w:val="000000"/>
                <w:lang w:val="pt-BR"/>
              </w:rPr>
              <w:t>Office 365 (Plano G4)</w:t>
            </w:r>
          </w:p>
          <w:p w:rsidR="008B1196" w:rsidRPr="00EB4D74" w:rsidRDefault="008B1196" w:rsidP="00EA30FC">
            <w:pPr>
              <w:numPr>
                <w:ilvl w:val="0"/>
                <w:numId w:val="8"/>
              </w:numPr>
              <w:spacing w:after="60"/>
              <w:rPr>
                <w:rFonts w:cs="Tahoma"/>
              </w:rPr>
            </w:pPr>
            <w:r w:rsidRPr="00EB4D74">
              <w:rPr>
                <w:rFonts w:cs="Tahoma"/>
                <w:color w:val="000000"/>
                <w:lang w:val="pt-BR"/>
              </w:rPr>
              <w:t>Office Professional Plus para Office 365</w:t>
            </w:r>
          </w:p>
          <w:p w:rsidR="008B1196" w:rsidRPr="00EB4D74" w:rsidRDefault="008B1196" w:rsidP="00EA30FC">
            <w:pPr>
              <w:spacing w:after="60"/>
              <w:ind w:left="720"/>
              <w:rPr>
                <w:rFonts w:cs="Tahoma"/>
                <w:color w:val="000000"/>
              </w:rPr>
            </w:pPr>
          </w:p>
        </w:tc>
      </w:tr>
      <w:tr w:rsidR="008B1196" w:rsidRPr="00EB4D74" w:rsidTr="00EA30FC">
        <w:trPr>
          <w:cantSplit/>
          <w:trHeight w:val="354"/>
        </w:trPr>
        <w:tc>
          <w:tcPr>
            <w:tcW w:w="3687" w:type="dxa"/>
            <w:tcBorders>
              <w:top w:val="single" w:sz="8" w:space="0" w:color="auto"/>
              <w:left w:val="single" w:sz="8" w:space="0" w:color="auto"/>
              <w:bottom w:val="single" w:sz="4" w:space="0" w:color="auto"/>
              <w:right w:val="single" w:sz="8" w:space="0" w:color="auto"/>
            </w:tcBorders>
            <w:vAlign w:val="center"/>
          </w:tcPr>
          <w:p w:rsidR="008B1196" w:rsidRPr="00EB4D74" w:rsidRDefault="008B1196" w:rsidP="00EA30FC">
            <w:pPr>
              <w:spacing w:before="60" w:after="60"/>
              <w:ind w:left="144"/>
              <w:rPr>
                <w:rFonts w:cs="Tahoma"/>
              </w:rPr>
            </w:pPr>
            <w:r w:rsidRPr="00EB4D74">
              <w:rPr>
                <w:rFonts w:cs="Tahoma"/>
                <w:lang w:val="pt-BR"/>
              </w:rPr>
              <w:t>Office Professional Plus e Pacote de CALs Principais</w:t>
            </w:r>
          </w:p>
        </w:tc>
        <w:tc>
          <w:tcPr>
            <w:tcW w:w="4334" w:type="dxa"/>
            <w:tcBorders>
              <w:top w:val="single" w:sz="8" w:space="0" w:color="auto"/>
              <w:left w:val="nil"/>
              <w:bottom w:val="single" w:sz="4" w:space="0" w:color="auto"/>
              <w:right w:val="single" w:sz="8" w:space="0" w:color="auto"/>
            </w:tcBorders>
            <w:vAlign w:val="center"/>
          </w:tcPr>
          <w:p w:rsidR="008B1196" w:rsidRPr="00EB4D74" w:rsidRDefault="008B1196" w:rsidP="00EA30FC">
            <w:pPr>
              <w:numPr>
                <w:ilvl w:val="0"/>
                <w:numId w:val="8"/>
              </w:numPr>
              <w:spacing w:after="60"/>
              <w:rPr>
                <w:rFonts w:cs="Tahoma"/>
              </w:rPr>
            </w:pPr>
            <w:r w:rsidRPr="00EB4D74">
              <w:rPr>
                <w:rFonts w:cs="Tahoma"/>
                <w:color w:val="000000"/>
                <w:lang w:val="pt-BR"/>
              </w:rPr>
              <w:t>Office 365 (Plano E2)*</w:t>
            </w:r>
          </w:p>
          <w:p w:rsidR="008B1196" w:rsidRPr="00EB4D74" w:rsidRDefault="008B1196" w:rsidP="00EA30FC">
            <w:pPr>
              <w:numPr>
                <w:ilvl w:val="0"/>
                <w:numId w:val="8"/>
              </w:numPr>
              <w:spacing w:after="60"/>
              <w:rPr>
                <w:rFonts w:cs="Tahoma"/>
              </w:rPr>
            </w:pPr>
            <w:r w:rsidRPr="00EB4D74">
              <w:rPr>
                <w:rFonts w:cs="Tahoma"/>
                <w:color w:val="000000"/>
                <w:lang w:val="pt-BR"/>
              </w:rPr>
              <w:t>Office 365 (Plano E3)*</w:t>
            </w:r>
          </w:p>
          <w:p w:rsidR="008B1196" w:rsidRPr="00EB4D74" w:rsidRDefault="008B1196" w:rsidP="00EA30FC">
            <w:pPr>
              <w:numPr>
                <w:ilvl w:val="0"/>
                <w:numId w:val="8"/>
              </w:numPr>
              <w:spacing w:after="60"/>
              <w:rPr>
                <w:rFonts w:cs="Tahoma"/>
              </w:rPr>
            </w:pPr>
            <w:r w:rsidRPr="00EB4D74">
              <w:rPr>
                <w:rFonts w:cs="Tahoma"/>
                <w:color w:val="000000"/>
                <w:lang w:val="pt-BR"/>
              </w:rPr>
              <w:t>Office 365 (Plano E4)*</w:t>
            </w:r>
          </w:p>
          <w:p w:rsidR="008B1196" w:rsidRPr="00EB4D74" w:rsidRDefault="008B1196" w:rsidP="00EA30FC">
            <w:pPr>
              <w:numPr>
                <w:ilvl w:val="0"/>
                <w:numId w:val="8"/>
              </w:numPr>
              <w:spacing w:after="60"/>
              <w:rPr>
                <w:rFonts w:cs="Tahoma"/>
              </w:rPr>
            </w:pPr>
            <w:r w:rsidRPr="00EB4D74">
              <w:rPr>
                <w:rFonts w:cs="Tahoma"/>
                <w:color w:val="000000"/>
                <w:lang w:val="pt-BR"/>
              </w:rPr>
              <w:t>Office 365 (Plano G2)*</w:t>
            </w:r>
          </w:p>
          <w:p w:rsidR="008B1196" w:rsidRPr="00EB4D74" w:rsidRDefault="008B1196" w:rsidP="00EA30FC">
            <w:pPr>
              <w:numPr>
                <w:ilvl w:val="0"/>
                <w:numId w:val="8"/>
              </w:numPr>
              <w:spacing w:after="60"/>
              <w:rPr>
                <w:rFonts w:cs="Tahoma"/>
              </w:rPr>
            </w:pPr>
            <w:r w:rsidRPr="00EB4D74">
              <w:rPr>
                <w:rFonts w:cs="Tahoma"/>
                <w:color w:val="000000"/>
                <w:lang w:val="pt-BR"/>
              </w:rPr>
              <w:t>Office 365 (Plano G3)*</w:t>
            </w:r>
          </w:p>
          <w:p w:rsidR="008B1196" w:rsidRPr="00EB4D74" w:rsidRDefault="008B1196" w:rsidP="00EA30FC">
            <w:pPr>
              <w:numPr>
                <w:ilvl w:val="0"/>
                <w:numId w:val="8"/>
              </w:numPr>
              <w:spacing w:after="60"/>
              <w:rPr>
                <w:rFonts w:cs="Tahoma"/>
              </w:rPr>
            </w:pPr>
            <w:r w:rsidRPr="00EB4D74">
              <w:rPr>
                <w:rFonts w:cs="Tahoma"/>
                <w:color w:val="000000"/>
                <w:lang w:val="pt-BR"/>
              </w:rPr>
              <w:t>Office 365 (Plano G4)*</w:t>
            </w:r>
          </w:p>
          <w:p w:rsidR="008B1196" w:rsidRPr="00EB4D74" w:rsidRDefault="008B1196" w:rsidP="00EA30FC">
            <w:pPr>
              <w:spacing w:after="60"/>
              <w:ind w:left="720"/>
              <w:rPr>
                <w:rFonts w:cs="Tahoma"/>
                <w:color w:val="000000"/>
              </w:rPr>
            </w:pPr>
          </w:p>
        </w:tc>
      </w:tr>
      <w:tr w:rsidR="008B1196" w:rsidRPr="00EB4D74" w:rsidTr="00EA30FC">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8B1196" w:rsidRPr="00EB4D74" w:rsidRDefault="008B1196" w:rsidP="00EA30FC">
            <w:pPr>
              <w:keepNext/>
              <w:jc w:val="center"/>
              <w:rPr>
                <w:rFonts w:cs="Tahoma"/>
                <w:b/>
                <w:lang w:val="it-IT"/>
              </w:rPr>
            </w:pPr>
            <w:r w:rsidRPr="00EB4D74">
              <w:rPr>
                <w:rFonts w:cs="Tahoma"/>
                <w:b/>
                <w:lang w:val="pt-BR"/>
              </w:rPr>
              <w:lastRenderedPageBreak/>
              <w:t>Produtos Enterprise qualificados para Transição</w:t>
            </w:r>
          </w:p>
        </w:tc>
        <w:tc>
          <w:tcPr>
            <w:tcW w:w="4334" w:type="dxa"/>
            <w:tcBorders>
              <w:top w:val="single" w:sz="8" w:space="0" w:color="auto"/>
              <w:left w:val="nil"/>
              <w:bottom w:val="single" w:sz="8" w:space="0" w:color="auto"/>
              <w:right w:val="single" w:sz="8" w:space="0" w:color="auto"/>
            </w:tcBorders>
            <w:shd w:val="clear" w:color="auto" w:fill="FABF8F"/>
            <w:vAlign w:val="center"/>
          </w:tcPr>
          <w:p w:rsidR="008B1196" w:rsidRPr="00EB4D74" w:rsidRDefault="008B1196" w:rsidP="00EA30FC">
            <w:pPr>
              <w:keepNext/>
              <w:jc w:val="center"/>
              <w:rPr>
                <w:rFonts w:cs="Tahoma"/>
                <w:b/>
              </w:rPr>
            </w:pPr>
            <w:r w:rsidRPr="00EB4D74">
              <w:rPr>
                <w:rFonts w:cs="Tahoma"/>
                <w:b/>
                <w:lang w:val="pt-BR"/>
              </w:rPr>
              <w:t>Opções de Transições Válidas</w:t>
            </w:r>
          </w:p>
        </w:tc>
      </w:tr>
      <w:tr w:rsidR="008B1196" w:rsidRPr="00EB4D74" w:rsidTr="00EA30FC">
        <w:trPr>
          <w:cantSplit/>
          <w:trHeight w:val="354"/>
        </w:trPr>
        <w:tc>
          <w:tcPr>
            <w:tcW w:w="3687" w:type="dxa"/>
            <w:tcBorders>
              <w:top w:val="single" w:sz="4" w:space="0" w:color="auto"/>
              <w:left w:val="single" w:sz="8" w:space="0" w:color="auto"/>
              <w:bottom w:val="single" w:sz="8" w:space="0" w:color="auto"/>
              <w:right w:val="single" w:sz="8" w:space="0" w:color="auto"/>
            </w:tcBorders>
            <w:vAlign w:val="center"/>
          </w:tcPr>
          <w:p w:rsidR="008B1196" w:rsidRPr="00EB4D74" w:rsidRDefault="008B1196" w:rsidP="00EA30FC">
            <w:pPr>
              <w:spacing w:before="60" w:after="60"/>
              <w:ind w:left="144"/>
              <w:rPr>
                <w:rFonts w:cs="Tahoma"/>
              </w:rPr>
            </w:pPr>
            <w:r w:rsidRPr="00EB4D74">
              <w:rPr>
                <w:rFonts w:cs="Tahoma"/>
                <w:lang w:val="pt-BR"/>
              </w:rPr>
              <w:t>Office Professional Plus e Pacote de CALs Empresariais</w:t>
            </w:r>
          </w:p>
        </w:tc>
        <w:tc>
          <w:tcPr>
            <w:tcW w:w="4334" w:type="dxa"/>
            <w:tcBorders>
              <w:top w:val="single" w:sz="4" w:space="0" w:color="auto"/>
              <w:left w:val="nil"/>
              <w:bottom w:val="single" w:sz="8" w:space="0" w:color="auto"/>
              <w:right w:val="single" w:sz="8" w:space="0" w:color="auto"/>
            </w:tcBorders>
            <w:vAlign w:val="center"/>
          </w:tcPr>
          <w:p w:rsidR="008B1196" w:rsidRPr="00EB4D74" w:rsidRDefault="008B1196" w:rsidP="00EA30FC">
            <w:pPr>
              <w:numPr>
                <w:ilvl w:val="0"/>
                <w:numId w:val="8"/>
              </w:numPr>
              <w:spacing w:after="60"/>
              <w:rPr>
                <w:rFonts w:cs="Tahoma"/>
              </w:rPr>
            </w:pPr>
            <w:r w:rsidRPr="00EB4D74">
              <w:rPr>
                <w:rFonts w:cs="Tahoma"/>
                <w:color w:val="000000"/>
                <w:lang w:val="pt-BR"/>
              </w:rPr>
              <w:t>Office 365 (Plano E3)*</w:t>
            </w:r>
          </w:p>
          <w:p w:rsidR="008B1196" w:rsidRPr="00EB4D74" w:rsidRDefault="008B1196" w:rsidP="00EA30FC">
            <w:pPr>
              <w:numPr>
                <w:ilvl w:val="0"/>
                <w:numId w:val="8"/>
              </w:numPr>
              <w:spacing w:after="60"/>
              <w:rPr>
                <w:rFonts w:cs="Tahoma"/>
              </w:rPr>
            </w:pPr>
            <w:r w:rsidRPr="00EB4D74">
              <w:rPr>
                <w:rFonts w:cs="Tahoma"/>
                <w:color w:val="000000"/>
                <w:lang w:val="pt-BR"/>
              </w:rPr>
              <w:t>Office 365 (Plano E4)*</w:t>
            </w:r>
          </w:p>
          <w:p w:rsidR="008B1196" w:rsidRPr="00EB4D74" w:rsidRDefault="008B1196" w:rsidP="00EA30FC">
            <w:pPr>
              <w:numPr>
                <w:ilvl w:val="0"/>
                <w:numId w:val="8"/>
              </w:numPr>
              <w:spacing w:after="60"/>
              <w:rPr>
                <w:rFonts w:cs="Tahoma"/>
              </w:rPr>
            </w:pPr>
            <w:r w:rsidRPr="00EB4D74">
              <w:rPr>
                <w:rFonts w:cs="Tahoma"/>
                <w:color w:val="000000"/>
                <w:lang w:val="pt-BR"/>
              </w:rPr>
              <w:t>Office 365 (Plano G3)*</w:t>
            </w:r>
          </w:p>
          <w:p w:rsidR="008B1196" w:rsidRPr="00EB4D74" w:rsidRDefault="008B1196" w:rsidP="00EA30FC">
            <w:pPr>
              <w:numPr>
                <w:ilvl w:val="0"/>
                <w:numId w:val="8"/>
              </w:numPr>
              <w:spacing w:after="60"/>
              <w:rPr>
                <w:rFonts w:cs="Tahoma"/>
              </w:rPr>
            </w:pPr>
            <w:r w:rsidRPr="00EB4D74">
              <w:rPr>
                <w:rFonts w:cs="Tahoma"/>
                <w:color w:val="000000"/>
                <w:lang w:val="pt-BR"/>
              </w:rPr>
              <w:t>Office 365 (Plano G4)*</w:t>
            </w:r>
          </w:p>
          <w:p w:rsidR="008B1196" w:rsidRPr="00EB4D74" w:rsidRDefault="008B1196" w:rsidP="00EA30FC">
            <w:pPr>
              <w:spacing w:after="60"/>
              <w:ind w:left="720"/>
              <w:rPr>
                <w:rFonts w:cs="Tahoma"/>
                <w:color w:val="000000"/>
              </w:rPr>
            </w:pPr>
          </w:p>
        </w:tc>
      </w:tr>
    </w:tbl>
    <w:p w:rsidR="008B1196" w:rsidRPr="00EB4D74" w:rsidRDefault="008B1196" w:rsidP="008B1196">
      <w:pPr>
        <w:tabs>
          <w:tab w:val="left" w:pos="360"/>
        </w:tabs>
        <w:ind w:left="720"/>
        <w:rPr>
          <w:rFonts w:cs="Tahoma"/>
          <w:lang w:val="it-IT"/>
        </w:rPr>
      </w:pPr>
      <w:r w:rsidRPr="00EB4D74">
        <w:rPr>
          <w:rFonts w:cs="Tahoma"/>
          <w:i/>
          <w:sz w:val="16"/>
          <w:szCs w:val="20"/>
          <w:lang w:val="pt-BR"/>
        </w:rPr>
        <w:t xml:space="preserve">* Requer Bridge do Pacote de CALs adequado. </w:t>
      </w:r>
      <w:r w:rsidRPr="00EB4D74">
        <w:rPr>
          <w:rFonts w:cs="Tahoma"/>
          <w:i/>
          <w:sz w:val="16"/>
          <w:lang w:val="pt-BR"/>
        </w:rPr>
        <w:t>Para obter mais informações sobre o Bridge do Pacote de CALs, consulte a seção de notas do produto neste documento.</w:t>
      </w:r>
    </w:p>
    <w:p w:rsidR="008B1196" w:rsidRPr="00EB4D74" w:rsidRDefault="008B1196" w:rsidP="008B1196">
      <w:pPr>
        <w:tabs>
          <w:tab w:val="left" w:pos="360"/>
        </w:tabs>
        <w:ind w:left="720"/>
        <w:rPr>
          <w:rFonts w:cs="Tahoma"/>
          <w:lang w:val="it-IT"/>
        </w:rPr>
      </w:pPr>
    </w:p>
    <w:p w:rsidR="008B1196" w:rsidRPr="00EB4D74" w:rsidRDefault="008B1196" w:rsidP="008B1196">
      <w:pPr>
        <w:rPr>
          <w:rFonts w:cs="Tahoma"/>
        </w:rPr>
      </w:pPr>
      <w:r w:rsidRPr="00EB4D74">
        <w:rPr>
          <w:rFonts w:cs="Tahoma"/>
          <w:szCs w:val="20"/>
          <w:lang w:val="pt-BR"/>
        </w:rPr>
        <w:t>Outras Transições podem ser adicionadas a critério da Microsoft. Valores adicionais e requisitos de licença podem ser aplicáveis.</w:t>
      </w:r>
    </w:p>
    <w:p w:rsidR="008B1196" w:rsidRPr="00EB4D74" w:rsidRDefault="008B1196" w:rsidP="008B1196">
      <w:pPr>
        <w:outlineLvl w:val="2"/>
        <w:rPr>
          <w:rFonts w:cs="Tahoma"/>
        </w:rPr>
      </w:pPr>
    </w:p>
    <w:p w:rsidR="008B1196" w:rsidRPr="00EB4D74" w:rsidRDefault="008B1196" w:rsidP="008B1196">
      <w:pPr>
        <w:outlineLvl w:val="2"/>
        <w:rPr>
          <w:rFonts w:cs="Tahoma"/>
        </w:rPr>
      </w:pPr>
    </w:p>
    <w:p w:rsidR="008B1196" w:rsidRPr="00EB4D74" w:rsidRDefault="008B1196" w:rsidP="008B1196">
      <w:pPr>
        <w:keepNext/>
        <w:tabs>
          <w:tab w:val="num" w:pos="720"/>
        </w:tabs>
        <w:spacing w:before="60"/>
        <w:outlineLvl w:val="3"/>
        <w:rPr>
          <w:rFonts w:cs="Tahoma"/>
        </w:rPr>
      </w:pPr>
      <w:r w:rsidRPr="00EB4D74">
        <w:rPr>
          <w:rFonts w:cs="Tahoma"/>
          <w:b/>
          <w:sz w:val="20"/>
          <w:lang w:val="pt-BR"/>
        </w:rPr>
        <w:t>Pedidos de adequação (“true-up”) ou anuais dos Serviços Online</w:t>
      </w:r>
    </w:p>
    <w:p w:rsidR="008B1196" w:rsidRPr="00EB4D74" w:rsidRDefault="008B1196" w:rsidP="008B1196">
      <w:pPr>
        <w:rPr>
          <w:rFonts w:cs="Tahoma"/>
          <w:lang w:val="pt-BR"/>
        </w:rPr>
      </w:pPr>
      <w:r w:rsidRPr="00EB4D74">
        <w:rPr>
          <w:rFonts w:cs="Tahoma"/>
          <w:szCs w:val="20"/>
          <w:lang w:val="pt-BR"/>
        </w:rPr>
        <w:t xml:space="preserve">Observação: </w:t>
      </w:r>
      <w:r w:rsidRPr="00EB4D74">
        <w:rPr>
          <w:rFonts w:cs="Tahoma"/>
          <w:lang w:val="pt-BR"/>
        </w:rPr>
        <w:t>O seguinte se aplica aos clientes do Registro Enterprise e Enterprise Subscription qualificados para fazerem pedidos de adequação (“true-up”) ou anuais dos serviços online. Os clientes que tiverem dúvidas sobre sua qualificação para fazer pedidos de adequação (“true-up”) ou anuais dos serviços online devem entrar em contato com o Consultor de Software, Revendedor ou Gerente de Conta Microsoft para obter mais informações.</w:t>
      </w:r>
    </w:p>
    <w:p w:rsidR="008B1196" w:rsidRPr="00EB4D74" w:rsidRDefault="008B1196" w:rsidP="008B1196">
      <w:pPr>
        <w:rPr>
          <w:rFonts w:cs="Tahoma"/>
          <w:szCs w:val="20"/>
          <w:lang w:val="pt-BR"/>
        </w:rPr>
      </w:pPr>
    </w:p>
    <w:p w:rsidR="008B1196" w:rsidRPr="00EB4D74" w:rsidRDefault="008B1196" w:rsidP="008B1196">
      <w:pPr>
        <w:rPr>
          <w:rFonts w:cs="Tahoma"/>
        </w:rPr>
      </w:pPr>
      <w:r w:rsidRPr="00EB4D74">
        <w:rPr>
          <w:rFonts w:cs="Tahoma"/>
          <w:lang w:val="pt-BR"/>
        </w:rPr>
        <w:t>Os seguintes Serviços Online estão qualificados para pedido de adequação (“true-up”) ou anual de Serviços Online:</w:t>
      </w:r>
    </w:p>
    <w:p w:rsidR="008B1196" w:rsidRPr="00EB4D74" w:rsidRDefault="008B1196" w:rsidP="008B1196">
      <w:pPr>
        <w:spacing w:before="120" w:after="120"/>
        <w:ind w:left="720"/>
        <w:rPr>
          <w:rFonts w:cs="Tahoma"/>
          <w:sz w:val="4"/>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8B1196" w:rsidRPr="00EB4D74" w:rsidTr="00EA30FC">
        <w:trPr>
          <w:trHeight w:val="80"/>
          <w:tblHeader/>
        </w:trPr>
        <w:tc>
          <w:tcPr>
            <w:tcW w:w="5000" w:type="pct"/>
            <w:gridSpan w:val="2"/>
            <w:shd w:val="clear" w:color="auto" w:fill="FABF8F"/>
          </w:tcPr>
          <w:p w:rsidR="008B1196" w:rsidRPr="00EB4D74" w:rsidRDefault="008B1196" w:rsidP="00EA30FC">
            <w:pPr>
              <w:jc w:val="center"/>
              <w:rPr>
                <w:rFonts w:cs="Tahoma"/>
                <w:b/>
              </w:rPr>
            </w:pPr>
            <w:r w:rsidRPr="00EB4D74">
              <w:rPr>
                <w:rFonts w:cs="Tahoma"/>
                <w:b/>
                <w:lang w:val="pt-BR"/>
              </w:rPr>
              <w:t>Serviços Online</w:t>
            </w:r>
          </w:p>
        </w:tc>
      </w:tr>
      <w:tr w:rsidR="008B1196" w:rsidRPr="00EB4D74" w:rsidTr="00EA30FC">
        <w:trPr>
          <w:trHeight w:val="219"/>
        </w:trPr>
        <w:tc>
          <w:tcPr>
            <w:tcW w:w="2603" w:type="pct"/>
          </w:tcPr>
          <w:p w:rsidR="008B1196" w:rsidRPr="00EB4D74" w:rsidRDefault="008B1196" w:rsidP="00EA30FC">
            <w:pPr>
              <w:numPr>
                <w:ilvl w:val="0"/>
                <w:numId w:val="9"/>
              </w:numPr>
              <w:spacing w:before="80"/>
              <w:ind w:left="1265" w:hanging="985"/>
              <w:jc w:val="both"/>
              <w:rPr>
                <w:rFonts w:cs="Tahoma"/>
              </w:rPr>
            </w:pPr>
            <w:r w:rsidRPr="00EB4D74">
              <w:rPr>
                <w:rFonts w:cs="Tahoma"/>
                <w:lang w:val="pt-BR"/>
              </w:rPr>
              <w:t>Quiosque do Exchange Online*</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Exchange Online Plano 1*</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Exchange Online Plano 2*</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Lync Online Plano 1*</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Lync Online Plano 2*</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Lync Online Plano 3*</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Office 365 (Plano K1)*</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Office 365 (Plano K2)*</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Office 365 (Plano E1)</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Office 365 (Plano E2)</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Office 365 (Plano E3)</w:t>
            </w:r>
          </w:p>
          <w:p w:rsidR="008B1196" w:rsidRPr="00EB4D74" w:rsidRDefault="008B1196" w:rsidP="00EA30FC">
            <w:pPr>
              <w:numPr>
                <w:ilvl w:val="0"/>
                <w:numId w:val="9"/>
              </w:numPr>
              <w:spacing w:before="80"/>
              <w:ind w:left="1265" w:hanging="985"/>
              <w:jc w:val="both"/>
              <w:rPr>
                <w:rFonts w:cs="Tahoma"/>
              </w:rPr>
            </w:pPr>
            <w:r w:rsidRPr="00EB4D74">
              <w:rPr>
                <w:rFonts w:cs="Tahoma"/>
                <w:lang w:val="pt-BR"/>
              </w:rPr>
              <w:t>Office 365 (Plano E4)</w:t>
            </w:r>
          </w:p>
        </w:tc>
        <w:tc>
          <w:tcPr>
            <w:tcW w:w="2397" w:type="pct"/>
          </w:tcPr>
          <w:p w:rsidR="008B1196" w:rsidRPr="00EB4D74" w:rsidRDefault="008B1196" w:rsidP="00EA30FC">
            <w:pPr>
              <w:numPr>
                <w:ilvl w:val="0"/>
                <w:numId w:val="9"/>
              </w:numPr>
              <w:spacing w:before="80"/>
              <w:ind w:left="692"/>
              <w:jc w:val="both"/>
              <w:rPr>
                <w:rFonts w:cs="Tahoma"/>
              </w:rPr>
            </w:pPr>
            <w:r w:rsidRPr="00EB4D74">
              <w:rPr>
                <w:rFonts w:cs="Tahoma"/>
                <w:color w:val="000000"/>
                <w:lang w:val="pt-BR"/>
              </w:rPr>
              <w:t>Office 365 (Plano G1)</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Office 365 (Plano G2)</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Office 365 (Plano G3)</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Office 365 (Plano G4)</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Office Web Applications*</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SharePoint Online Plano 1*</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SharePoint Online Plano 2*</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Acesso para Parceiros do SharePoint Online*</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Windows Intune</w:t>
            </w:r>
          </w:p>
          <w:p w:rsidR="008B1196" w:rsidRPr="00EB4D74" w:rsidRDefault="008B1196" w:rsidP="00EA30FC">
            <w:pPr>
              <w:numPr>
                <w:ilvl w:val="0"/>
                <w:numId w:val="9"/>
              </w:numPr>
              <w:spacing w:before="80"/>
              <w:ind w:left="692"/>
              <w:jc w:val="both"/>
              <w:rPr>
                <w:rFonts w:cs="Tahoma"/>
              </w:rPr>
            </w:pPr>
            <w:r w:rsidRPr="00EB4D74">
              <w:rPr>
                <w:rFonts w:cs="Tahoma"/>
                <w:color w:val="000000"/>
                <w:lang w:val="pt-BR"/>
              </w:rPr>
              <w:t>Complemento do Windows Intune*, **</w:t>
            </w:r>
          </w:p>
        </w:tc>
      </w:tr>
    </w:tbl>
    <w:p w:rsidR="008B1196" w:rsidRPr="00EB4D74" w:rsidRDefault="008B1196" w:rsidP="008B1196">
      <w:pPr>
        <w:tabs>
          <w:tab w:val="left" w:pos="360"/>
        </w:tabs>
        <w:ind w:left="720"/>
        <w:rPr>
          <w:rFonts w:cs="Tahoma"/>
        </w:rPr>
      </w:pPr>
      <w:r w:rsidRPr="00EB4D74">
        <w:rPr>
          <w:rFonts w:cs="Tahoma"/>
          <w:i/>
          <w:sz w:val="16"/>
          <w:lang w:val="pt-BR"/>
        </w:rPr>
        <w:t>* Produto Adicional</w:t>
      </w:r>
    </w:p>
    <w:p w:rsidR="008B1196" w:rsidRPr="00EB4D74" w:rsidRDefault="008B1196" w:rsidP="008B1196">
      <w:pPr>
        <w:tabs>
          <w:tab w:val="left" w:pos="360"/>
        </w:tabs>
        <w:ind w:left="720"/>
        <w:rPr>
          <w:rFonts w:cs="Tahoma"/>
        </w:rPr>
      </w:pPr>
      <w:r w:rsidRPr="00EB4D74">
        <w:rPr>
          <w:rFonts w:cs="Tahoma"/>
          <w:i/>
          <w:sz w:val="16"/>
          <w:lang w:val="pt-BR"/>
        </w:rPr>
        <w:t>** “Complemento do Windows Intune” é uma abreviação para Complemento do Windows Intune para System Center Configuration Manager e System Center Endpoint Protection (Por Usuário)</w:t>
      </w:r>
    </w:p>
    <w:p w:rsidR="008B1196" w:rsidRDefault="008B1196" w:rsidP="008B1196">
      <w:pPr>
        <w:tabs>
          <w:tab w:val="left" w:pos="360"/>
        </w:tabs>
        <w:rPr>
          <w:rFonts w:cs="Tahoma"/>
        </w:rPr>
      </w:pPr>
    </w:p>
    <w:p w:rsidR="008B1196" w:rsidRPr="00EB4D74" w:rsidRDefault="008B1196" w:rsidP="008B1196">
      <w:pPr>
        <w:tabs>
          <w:tab w:val="left" w:pos="360"/>
        </w:tabs>
        <w:rPr>
          <w:rFonts w:cs="Tahoma"/>
        </w:rPr>
      </w:pPr>
    </w:p>
    <w:p w:rsidR="008B1196" w:rsidRPr="00EB4D74" w:rsidRDefault="008B1196" w:rsidP="008B1196">
      <w:pPr>
        <w:tabs>
          <w:tab w:val="left" w:pos="360"/>
        </w:tabs>
        <w:rPr>
          <w:rFonts w:cs="Tahoma"/>
        </w:rPr>
      </w:pPr>
      <w:r w:rsidRPr="00EB4D74">
        <w:rPr>
          <w:rFonts w:cs="Tahoma"/>
          <w:b/>
          <w:sz w:val="20"/>
          <w:lang w:val="pt-BR"/>
        </w:rPr>
        <w:t>Reduções de Licença de Assinatura</w:t>
      </w:r>
    </w:p>
    <w:p w:rsidR="008B1196" w:rsidRPr="00EB4D74" w:rsidRDefault="008B1196" w:rsidP="008B1196">
      <w:pPr>
        <w:tabs>
          <w:tab w:val="left" w:pos="360"/>
        </w:tabs>
        <w:rPr>
          <w:rFonts w:cs="Tahoma"/>
          <w:lang w:val="it-IT"/>
        </w:rPr>
      </w:pPr>
      <w:r w:rsidRPr="00EB4D74">
        <w:rPr>
          <w:rFonts w:cs="Tahoma"/>
          <w:szCs w:val="20"/>
          <w:lang w:val="pt-BR"/>
        </w:rPr>
        <w:t xml:space="preserve">Observação: </w:t>
      </w:r>
      <w:r w:rsidRPr="00EB4D74">
        <w:rPr>
          <w:rFonts w:cs="Tahoma"/>
          <w:lang w:val="pt-BR"/>
        </w:rPr>
        <w:t>O seguinte se aplica aos clientes do Enterprise qualificados para informar reduções nas Licenças de assinatura. Os clientes que tiverem dúvidas sobre sua qualificação para informar reduções nas Licenças de assinatura devem entrar em contato com o Consultor de Software, Revendedor ou Gerente de Conta Microsoft para obter mais informações.</w:t>
      </w: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rPr>
      </w:pPr>
      <w:r w:rsidRPr="00EB4D74">
        <w:rPr>
          <w:rFonts w:cs="Tahoma"/>
          <w:lang w:val="pt-BR"/>
        </w:rPr>
        <w:lastRenderedPageBreak/>
        <w:t>As seguintes Licenças de assinatura estão qualificadas para ajustes nas quantidades de Licença:</w:t>
      </w:r>
    </w:p>
    <w:p w:rsidR="008B1196" w:rsidRPr="00EB4D74" w:rsidRDefault="008B1196" w:rsidP="008B1196">
      <w:pPr>
        <w:tabs>
          <w:tab w:val="left" w:pos="360"/>
        </w:tabs>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097"/>
        <w:gridCol w:w="3918"/>
      </w:tblGrid>
      <w:tr w:rsidR="008B1196" w:rsidRPr="00EB4D74" w:rsidTr="00EA30FC">
        <w:trPr>
          <w:trHeight w:val="80"/>
        </w:trPr>
        <w:tc>
          <w:tcPr>
            <w:tcW w:w="5000" w:type="pct"/>
            <w:gridSpan w:val="2"/>
            <w:shd w:val="clear" w:color="auto" w:fill="FABF8F"/>
          </w:tcPr>
          <w:p w:rsidR="008B1196" w:rsidRPr="00EB4D74" w:rsidRDefault="008B1196" w:rsidP="00EA30FC">
            <w:pPr>
              <w:jc w:val="center"/>
              <w:rPr>
                <w:rFonts w:cs="Tahoma"/>
                <w:b/>
              </w:rPr>
            </w:pPr>
            <w:r w:rsidRPr="00EB4D74">
              <w:rPr>
                <w:rFonts w:cs="Tahoma"/>
                <w:b/>
                <w:lang w:val="pt-BR"/>
              </w:rPr>
              <w:t>Serviços Online</w:t>
            </w:r>
          </w:p>
        </w:tc>
      </w:tr>
      <w:tr w:rsidR="008B1196" w:rsidRPr="00EB4D74" w:rsidTr="00EA30FC">
        <w:trPr>
          <w:trHeight w:val="219"/>
        </w:trPr>
        <w:tc>
          <w:tcPr>
            <w:tcW w:w="2603" w:type="pct"/>
          </w:tcPr>
          <w:p w:rsidR="008B1196" w:rsidRPr="00EB4D74" w:rsidRDefault="008B1196" w:rsidP="00EA30FC">
            <w:pPr>
              <w:numPr>
                <w:ilvl w:val="0"/>
                <w:numId w:val="9"/>
              </w:numPr>
              <w:spacing w:before="80"/>
              <w:ind w:left="1265" w:hanging="540"/>
              <w:jc w:val="both"/>
              <w:rPr>
                <w:rFonts w:cs="Tahoma"/>
              </w:rPr>
            </w:pPr>
            <w:r w:rsidRPr="00EB4D74">
              <w:rPr>
                <w:rFonts w:cs="Tahoma"/>
                <w:lang w:val="pt-BR"/>
              </w:rPr>
              <w:t>Quiosque do Exchange Online*</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Exchange Online Plano 1*</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Exchange Online Plano 2*</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Lync Online Plano 1*</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Lync Online Plano 2*</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Lync Online Plano 3*</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Office 365 (Plano K1)*</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Office 365 (Plano K2)*</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Office 365 (Plano E1)</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Office 365 (Plano E2)</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Office 365 (Plano E3)</w:t>
            </w:r>
          </w:p>
          <w:p w:rsidR="008B1196" w:rsidRPr="00EB4D74" w:rsidRDefault="008B1196" w:rsidP="00EA30FC">
            <w:pPr>
              <w:numPr>
                <w:ilvl w:val="0"/>
                <w:numId w:val="9"/>
              </w:numPr>
              <w:spacing w:before="80"/>
              <w:ind w:left="1265" w:hanging="540"/>
              <w:jc w:val="both"/>
              <w:rPr>
                <w:rFonts w:cs="Tahoma"/>
              </w:rPr>
            </w:pPr>
            <w:r w:rsidRPr="00EB4D74">
              <w:rPr>
                <w:rFonts w:cs="Tahoma"/>
                <w:lang w:val="pt-BR"/>
              </w:rPr>
              <w:t>Office 365 (Plano E4)</w:t>
            </w:r>
          </w:p>
        </w:tc>
        <w:tc>
          <w:tcPr>
            <w:tcW w:w="2397" w:type="pct"/>
          </w:tcPr>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Office 365 (Plano G1)</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Office 365 (Plano G2)</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Office 365 (Plano G3)</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Office 365 (Plano G4)</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Office Web Applications*</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SharePoint Online Plano 1*</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SharePoint Online Plano 2*</w:t>
            </w:r>
          </w:p>
          <w:p w:rsidR="008B1196" w:rsidRPr="00EB4D74" w:rsidRDefault="008B1196" w:rsidP="00EA30FC">
            <w:pPr>
              <w:numPr>
                <w:ilvl w:val="0"/>
                <w:numId w:val="9"/>
              </w:numPr>
              <w:spacing w:before="80"/>
              <w:ind w:left="1052" w:right="270" w:hanging="450"/>
              <w:jc w:val="both"/>
              <w:rPr>
                <w:rFonts w:cs="Tahoma"/>
              </w:rPr>
            </w:pPr>
            <w:r w:rsidRPr="00EB4D74">
              <w:rPr>
                <w:rFonts w:cs="Tahoma"/>
                <w:color w:val="000000"/>
                <w:lang w:val="pt-BR"/>
              </w:rPr>
              <w:t>Acesso para Parceiros do SharePoint Online*</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Windows Intune</w:t>
            </w:r>
          </w:p>
          <w:p w:rsidR="008B1196" w:rsidRPr="00EB4D74" w:rsidRDefault="008B1196" w:rsidP="00EA30FC">
            <w:pPr>
              <w:numPr>
                <w:ilvl w:val="0"/>
                <w:numId w:val="9"/>
              </w:numPr>
              <w:spacing w:before="80"/>
              <w:ind w:left="1052" w:hanging="450"/>
              <w:jc w:val="both"/>
              <w:rPr>
                <w:rFonts w:cs="Tahoma"/>
              </w:rPr>
            </w:pPr>
            <w:r w:rsidRPr="00EB4D74">
              <w:rPr>
                <w:rFonts w:cs="Tahoma"/>
                <w:color w:val="000000"/>
                <w:lang w:val="pt-BR"/>
              </w:rPr>
              <w:t>Windows Intune Complementar*</w:t>
            </w:r>
          </w:p>
        </w:tc>
      </w:tr>
    </w:tbl>
    <w:p w:rsidR="008B1196" w:rsidRPr="00EB4D74" w:rsidRDefault="008B1196" w:rsidP="008B1196">
      <w:pPr>
        <w:tabs>
          <w:tab w:val="left" w:pos="360"/>
        </w:tabs>
        <w:ind w:left="720"/>
        <w:rPr>
          <w:rFonts w:cs="Tahoma"/>
          <w:i/>
          <w:sz w:val="16"/>
          <w:lang w:val="pt-BR"/>
        </w:rPr>
      </w:pPr>
      <w:r w:rsidRPr="00EB4D74">
        <w:rPr>
          <w:rFonts w:cs="Tahoma"/>
          <w:i/>
          <w:sz w:val="16"/>
          <w:lang w:val="pt-BR"/>
        </w:rPr>
        <w:t>* Produto Adicional</w:t>
      </w:r>
    </w:p>
    <w:p w:rsidR="008B1196" w:rsidRPr="00EB4D74" w:rsidRDefault="008B1196" w:rsidP="008B1196">
      <w:pPr>
        <w:tabs>
          <w:tab w:val="left" w:pos="360"/>
        </w:tabs>
        <w:ind w:left="720"/>
        <w:rPr>
          <w:rFonts w:cs="Tahoma"/>
        </w:rPr>
      </w:pPr>
    </w:p>
    <w:p w:rsidR="008B1196" w:rsidRPr="00EB4D74" w:rsidRDefault="008B1196" w:rsidP="008B1196">
      <w:pPr>
        <w:pStyle w:val="Heading2"/>
        <w:ind w:left="0"/>
        <w:rPr>
          <w:rFonts w:ascii="Tahoma" w:hAnsi="Tahoma" w:cs="Tahoma"/>
          <w:lang w:val="it-IT"/>
        </w:rPr>
      </w:pPr>
      <w:bookmarkStart w:id="754" w:name="_Toc342914833"/>
      <w:r w:rsidRPr="00EB4D74">
        <w:rPr>
          <w:rFonts w:ascii="Tahoma" w:hAnsi="Tahoma" w:cs="Tahoma"/>
          <w:lang w:val="pt-BR"/>
        </w:rPr>
        <w:t>Continuidade do Serviço por meio de Prazo Estendido</w:t>
      </w:r>
      <w:bookmarkEnd w:id="754"/>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r w:rsidRPr="00EB4D74">
        <w:rPr>
          <w:rFonts w:cs="Tahoma"/>
          <w:szCs w:val="20"/>
          <w:lang w:val="pt-BR"/>
        </w:rPr>
        <w:t xml:space="preserve">Observação: </w:t>
      </w:r>
      <w:r w:rsidRPr="00EB4D74">
        <w:rPr>
          <w:rFonts w:cs="Tahoma"/>
          <w:lang w:val="pt-BR"/>
        </w:rPr>
        <w:t>O seguinte se aplica aos clientes do Registro Enterprise e Enterprise Subscription qualificados para continuidade do serviço por meio de Prazo Estendido. Os clientes que tiverem dúvidas sobre sua qualificação para continuidade do serviço por meio do Prazo Estendido devem entrar em contato com o Consultor de Software, Revendedor ou Gerente de Conta Microsoft para obter mais informações.</w:t>
      </w:r>
    </w:p>
    <w:p w:rsidR="008B1196" w:rsidRPr="00EB4D74" w:rsidRDefault="008B1196" w:rsidP="008B1196">
      <w:pPr>
        <w:tabs>
          <w:tab w:val="left" w:pos="360"/>
        </w:tabs>
        <w:rPr>
          <w:rFonts w:cs="Tahoma"/>
          <w:lang w:val="it-IT"/>
        </w:rPr>
      </w:pPr>
    </w:p>
    <w:p w:rsidR="008B1196" w:rsidRPr="00EB4D74" w:rsidRDefault="008B1196" w:rsidP="008B1196">
      <w:pPr>
        <w:tabs>
          <w:tab w:val="left" w:pos="360"/>
        </w:tabs>
        <w:rPr>
          <w:rFonts w:cs="Tahoma"/>
          <w:lang w:val="it-IT"/>
        </w:rPr>
      </w:pPr>
      <w:r w:rsidRPr="00EB4D74">
        <w:rPr>
          <w:rFonts w:cs="Tahoma"/>
          <w:lang w:val="pt-BR"/>
        </w:rPr>
        <w:t>Os seguintes serviços online estão qualificados para Prazo Estendido dos Serviços Online, sujeitos aos termos dos Contratos de Licenciamento por Volume dos clientes. O prazo de assinatura dos serviços online do cliente deve se encerrar na data de término do contrato do cliente (“coextensiva”) para obter a qualificação para a Continuidade do Serviço por meio do Prazo Estendido:</w:t>
      </w:r>
    </w:p>
    <w:p w:rsidR="008B1196" w:rsidRPr="00EB4D74" w:rsidRDefault="008B1196" w:rsidP="008B1196">
      <w:pPr>
        <w:ind w:left="720"/>
        <w:rPr>
          <w:rFonts w:cs="Tahoma"/>
          <w:lang w:val="it-IT"/>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8B1196" w:rsidRPr="00EB4D74" w:rsidTr="00EA30FC">
        <w:trPr>
          <w:trHeight w:val="80"/>
          <w:tblHeader/>
        </w:trPr>
        <w:tc>
          <w:tcPr>
            <w:tcW w:w="5000" w:type="pct"/>
            <w:gridSpan w:val="2"/>
            <w:shd w:val="clear" w:color="auto" w:fill="FABF8F"/>
          </w:tcPr>
          <w:p w:rsidR="008B1196" w:rsidRPr="00EB4D74" w:rsidRDefault="008B1196" w:rsidP="00EA30FC">
            <w:pPr>
              <w:jc w:val="center"/>
              <w:rPr>
                <w:rFonts w:cs="Tahoma"/>
                <w:b/>
                <w:sz w:val="20"/>
              </w:rPr>
            </w:pPr>
            <w:r w:rsidRPr="00EB4D74">
              <w:rPr>
                <w:rFonts w:cs="Tahoma"/>
                <w:b/>
                <w:sz w:val="20"/>
                <w:lang w:val="pt-BR"/>
              </w:rPr>
              <w:t>Serviços Online</w:t>
            </w:r>
          </w:p>
        </w:tc>
      </w:tr>
      <w:tr w:rsidR="008B1196" w:rsidRPr="00EB4D74" w:rsidTr="00EA30FC">
        <w:trPr>
          <w:trHeight w:val="219"/>
        </w:trPr>
        <w:tc>
          <w:tcPr>
            <w:tcW w:w="2603" w:type="pct"/>
          </w:tcPr>
          <w:p w:rsidR="008B1196" w:rsidRPr="00EB4D74" w:rsidRDefault="008B1196" w:rsidP="00EA30FC">
            <w:pPr>
              <w:numPr>
                <w:ilvl w:val="0"/>
                <w:numId w:val="9"/>
              </w:numPr>
              <w:spacing w:before="80"/>
              <w:ind w:left="905" w:hanging="540"/>
              <w:jc w:val="both"/>
              <w:rPr>
                <w:rFonts w:cs="Tahoma"/>
              </w:rPr>
            </w:pPr>
            <w:r w:rsidRPr="00EB4D74">
              <w:rPr>
                <w:rFonts w:cs="Tahoma"/>
                <w:lang w:val="pt-BR"/>
              </w:rPr>
              <w:t>Quiosque do Exchange Online*</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Exchange Online Plano 1*</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Exchange Online Plano 2*</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Lync Online Plano 1*</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Lync Online Plano 2*</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Lync Online Plano 3*</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Office 365 (Plano K1)*</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Office 365 (Plano K2)*</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Office 365 (Plano E1)</w:t>
            </w:r>
          </w:p>
          <w:p w:rsidR="008B1196" w:rsidRPr="00EB4D74" w:rsidRDefault="008B1196" w:rsidP="00EA30FC">
            <w:pPr>
              <w:numPr>
                <w:ilvl w:val="0"/>
                <w:numId w:val="9"/>
              </w:numPr>
              <w:spacing w:before="80"/>
              <w:ind w:left="905" w:hanging="540"/>
              <w:jc w:val="both"/>
              <w:rPr>
                <w:rFonts w:cs="Tahoma"/>
              </w:rPr>
            </w:pPr>
            <w:r w:rsidRPr="00EB4D74">
              <w:rPr>
                <w:rFonts w:cs="Tahoma"/>
                <w:lang w:val="pt-BR"/>
              </w:rPr>
              <w:t>Office 365 (Plano E2)</w:t>
            </w:r>
          </w:p>
          <w:p w:rsidR="008B1196" w:rsidRPr="00EB4D74" w:rsidRDefault="008B1196" w:rsidP="00EA30FC">
            <w:pPr>
              <w:numPr>
                <w:ilvl w:val="0"/>
                <w:numId w:val="9"/>
              </w:numPr>
              <w:spacing w:before="80"/>
              <w:ind w:left="725"/>
              <w:jc w:val="both"/>
              <w:rPr>
                <w:rFonts w:cs="Tahoma"/>
              </w:rPr>
            </w:pPr>
            <w:r w:rsidRPr="00EB4D74">
              <w:rPr>
                <w:rFonts w:cs="Tahoma"/>
                <w:lang w:val="pt-BR"/>
              </w:rPr>
              <w:t>Office 365 (Plano E3)</w:t>
            </w:r>
          </w:p>
          <w:p w:rsidR="008B1196" w:rsidRPr="00EB4D74" w:rsidRDefault="008B1196" w:rsidP="00EA30FC">
            <w:pPr>
              <w:numPr>
                <w:ilvl w:val="0"/>
                <w:numId w:val="9"/>
              </w:numPr>
              <w:spacing w:before="80"/>
              <w:ind w:left="725"/>
              <w:jc w:val="both"/>
              <w:rPr>
                <w:rFonts w:cs="Tahoma"/>
              </w:rPr>
            </w:pPr>
            <w:r w:rsidRPr="00EB4D74">
              <w:rPr>
                <w:rFonts w:cs="Tahoma"/>
                <w:lang w:val="pt-BR"/>
              </w:rPr>
              <w:t>Office 365 (Plano E4)</w:t>
            </w:r>
          </w:p>
        </w:tc>
        <w:tc>
          <w:tcPr>
            <w:tcW w:w="2397" w:type="pct"/>
          </w:tcPr>
          <w:p w:rsidR="008B1196" w:rsidRPr="00EB4D74" w:rsidRDefault="008B1196" w:rsidP="00EA30FC">
            <w:pPr>
              <w:numPr>
                <w:ilvl w:val="0"/>
                <w:numId w:val="9"/>
              </w:numPr>
              <w:spacing w:before="80"/>
              <w:ind w:left="725"/>
              <w:jc w:val="both"/>
              <w:rPr>
                <w:rFonts w:cs="Tahoma"/>
              </w:rPr>
            </w:pPr>
            <w:r w:rsidRPr="00EB4D74">
              <w:rPr>
                <w:rFonts w:cs="Tahoma"/>
                <w:lang w:val="pt-BR"/>
              </w:rPr>
              <w:t>Office 365 (Plano G1)</w:t>
            </w:r>
          </w:p>
          <w:p w:rsidR="008B1196" w:rsidRPr="00EB4D74" w:rsidRDefault="008B1196" w:rsidP="00EA30FC">
            <w:pPr>
              <w:numPr>
                <w:ilvl w:val="0"/>
                <w:numId w:val="9"/>
              </w:numPr>
              <w:spacing w:before="80"/>
              <w:ind w:left="725"/>
              <w:jc w:val="both"/>
              <w:rPr>
                <w:rFonts w:cs="Tahoma"/>
              </w:rPr>
            </w:pPr>
            <w:r w:rsidRPr="00EB4D74">
              <w:rPr>
                <w:rFonts w:cs="Tahoma"/>
                <w:lang w:val="pt-BR"/>
              </w:rPr>
              <w:t>Office 365 (Plano G2)</w:t>
            </w:r>
          </w:p>
          <w:p w:rsidR="008B1196" w:rsidRPr="00EB4D74" w:rsidRDefault="008B1196" w:rsidP="00EA30FC">
            <w:pPr>
              <w:numPr>
                <w:ilvl w:val="0"/>
                <w:numId w:val="9"/>
              </w:numPr>
              <w:spacing w:before="80"/>
              <w:ind w:left="725"/>
              <w:jc w:val="both"/>
              <w:rPr>
                <w:rFonts w:cs="Tahoma"/>
              </w:rPr>
            </w:pPr>
            <w:r w:rsidRPr="00EB4D74">
              <w:rPr>
                <w:rFonts w:cs="Tahoma"/>
                <w:lang w:val="pt-BR"/>
              </w:rPr>
              <w:t>Office 365 (Plano G3)</w:t>
            </w:r>
          </w:p>
          <w:p w:rsidR="008B1196" w:rsidRPr="00EB4D74" w:rsidRDefault="008B1196" w:rsidP="00EA30FC">
            <w:pPr>
              <w:numPr>
                <w:ilvl w:val="0"/>
                <w:numId w:val="9"/>
              </w:numPr>
              <w:spacing w:before="80"/>
              <w:ind w:left="725"/>
              <w:jc w:val="both"/>
              <w:rPr>
                <w:rFonts w:cs="Tahoma"/>
              </w:rPr>
            </w:pPr>
            <w:r w:rsidRPr="00EB4D74">
              <w:rPr>
                <w:rFonts w:cs="Tahoma"/>
                <w:lang w:val="pt-BR"/>
              </w:rPr>
              <w:t>Office 365 (Plano G4)</w:t>
            </w:r>
          </w:p>
          <w:p w:rsidR="008B1196" w:rsidRPr="00EB4D74" w:rsidRDefault="008B1196" w:rsidP="00EA30FC">
            <w:pPr>
              <w:numPr>
                <w:ilvl w:val="0"/>
                <w:numId w:val="9"/>
              </w:numPr>
              <w:spacing w:before="80"/>
              <w:ind w:left="725"/>
              <w:jc w:val="both"/>
              <w:rPr>
                <w:rFonts w:cs="Tahoma"/>
              </w:rPr>
            </w:pPr>
            <w:r w:rsidRPr="00EB4D74">
              <w:rPr>
                <w:rFonts w:cs="Tahoma"/>
                <w:lang w:val="pt-BR"/>
              </w:rPr>
              <w:t>Office Web Applications*</w:t>
            </w:r>
          </w:p>
          <w:p w:rsidR="008B1196" w:rsidRPr="00EB4D74" w:rsidRDefault="008B1196" w:rsidP="00EA30FC">
            <w:pPr>
              <w:numPr>
                <w:ilvl w:val="0"/>
                <w:numId w:val="9"/>
              </w:numPr>
              <w:spacing w:before="80"/>
              <w:ind w:left="725"/>
              <w:jc w:val="both"/>
              <w:rPr>
                <w:rFonts w:cs="Tahoma"/>
              </w:rPr>
            </w:pPr>
            <w:r w:rsidRPr="00EB4D74">
              <w:rPr>
                <w:rFonts w:cs="Tahoma"/>
                <w:lang w:val="pt-BR"/>
              </w:rPr>
              <w:t>SharePoint Online Plano 1*</w:t>
            </w:r>
          </w:p>
          <w:p w:rsidR="008B1196" w:rsidRPr="00EB4D74" w:rsidRDefault="008B1196" w:rsidP="00EA30FC">
            <w:pPr>
              <w:numPr>
                <w:ilvl w:val="0"/>
                <w:numId w:val="9"/>
              </w:numPr>
              <w:spacing w:before="80"/>
              <w:ind w:left="725"/>
              <w:jc w:val="both"/>
              <w:rPr>
                <w:rFonts w:cs="Tahoma"/>
              </w:rPr>
            </w:pPr>
            <w:r w:rsidRPr="00EB4D74">
              <w:rPr>
                <w:rFonts w:cs="Tahoma"/>
                <w:lang w:val="pt-BR"/>
              </w:rPr>
              <w:t>SharePoint Online Plano 2*</w:t>
            </w:r>
          </w:p>
          <w:p w:rsidR="008B1196" w:rsidRPr="00EB4D74" w:rsidRDefault="008B1196" w:rsidP="00EA30FC">
            <w:pPr>
              <w:numPr>
                <w:ilvl w:val="0"/>
                <w:numId w:val="9"/>
              </w:numPr>
              <w:spacing w:before="80"/>
              <w:ind w:left="725"/>
              <w:jc w:val="both"/>
              <w:rPr>
                <w:rFonts w:cs="Tahoma"/>
              </w:rPr>
            </w:pPr>
            <w:r w:rsidRPr="00EB4D74">
              <w:rPr>
                <w:rFonts w:cs="Tahoma"/>
                <w:lang w:val="pt-BR"/>
              </w:rPr>
              <w:t>Acesso para Parceiros do SharePoint Online*</w:t>
            </w:r>
          </w:p>
          <w:p w:rsidR="008B1196" w:rsidRPr="00EB4D74" w:rsidRDefault="008B1196" w:rsidP="00EA30FC">
            <w:pPr>
              <w:numPr>
                <w:ilvl w:val="0"/>
                <w:numId w:val="9"/>
              </w:numPr>
              <w:spacing w:before="80"/>
              <w:ind w:left="725"/>
              <w:jc w:val="both"/>
              <w:rPr>
                <w:rFonts w:cs="Tahoma"/>
              </w:rPr>
            </w:pPr>
            <w:r w:rsidRPr="00EB4D74">
              <w:rPr>
                <w:rFonts w:cs="Tahoma"/>
                <w:lang w:val="pt-BR"/>
              </w:rPr>
              <w:t>Serviços do Windows Azure*</w:t>
            </w:r>
          </w:p>
          <w:p w:rsidR="008B1196" w:rsidRPr="00EB4D74" w:rsidRDefault="008B1196" w:rsidP="00EA30FC">
            <w:pPr>
              <w:numPr>
                <w:ilvl w:val="0"/>
                <w:numId w:val="9"/>
              </w:numPr>
              <w:spacing w:before="80"/>
              <w:ind w:left="725"/>
              <w:jc w:val="both"/>
              <w:rPr>
                <w:rFonts w:cs="Tahoma"/>
              </w:rPr>
            </w:pPr>
            <w:r w:rsidRPr="00EB4D74">
              <w:rPr>
                <w:rFonts w:cs="Tahoma"/>
                <w:lang w:val="pt-BR"/>
              </w:rPr>
              <w:t>Windows Intune</w:t>
            </w:r>
          </w:p>
          <w:p w:rsidR="008B1196" w:rsidRPr="00EB4D74" w:rsidRDefault="008B1196" w:rsidP="00EA30FC">
            <w:pPr>
              <w:numPr>
                <w:ilvl w:val="0"/>
                <w:numId w:val="9"/>
              </w:numPr>
              <w:spacing w:before="80"/>
              <w:ind w:left="725"/>
              <w:jc w:val="both"/>
              <w:rPr>
                <w:rFonts w:cs="Tahoma"/>
              </w:rPr>
            </w:pPr>
            <w:r w:rsidRPr="00EB4D74">
              <w:rPr>
                <w:rFonts w:cs="Tahoma"/>
                <w:lang w:val="pt-BR"/>
              </w:rPr>
              <w:t>Windows Intune Complementar*</w:t>
            </w:r>
          </w:p>
        </w:tc>
      </w:tr>
    </w:tbl>
    <w:p w:rsidR="008B1196" w:rsidRPr="00EB4D74" w:rsidRDefault="008B1196" w:rsidP="008B1196">
      <w:pPr>
        <w:tabs>
          <w:tab w:val="left" w:pos="360"/>
        </w:tabs>
        <w:ind w:left="720"/>
        <w:rPr>
          <w:rFonts w:cs="Tahoma"/>
        </w:rPr>
      </w:pPr>
      <w:r w:rsidRPr="00EB4D74">
        <w:rPr>
          <w:rFonts w:cs="Tahoma"/>
          <w:i/>
          <w:sz w:val="16"/>
          <w:lang w:val="pt-BR"/>
        </w:rPr>
        <w:t>* Produto Adicional</w:t>
      </w:r>
    </w:p>
    <w:p w:rsidR="008B1196" w:rsidRPr="00EB4D74" w:rsidRDefault="008B1196" w:rsidP="008B1196">
      <w:pPr>
        <w:rPr>
          <w:b/>
          <w:bCs/>
          <w:caps/>
          <w:color w:val="000000"/>
          <w:sz w:val="20"/>
          <w:szCs w:val="20"/>
          <w:lang w:val="pt-BR"/>
        </w:rPr>
      </w:pPr>
      <w:bookmarkStart w:id="755" w:name="_Toc336338197"/>
      <w:bookmarkEnd w:id="755"/>
      <w:r w:rsidRPr="00EB4D74">
        <w:rPr>
          <w:sz w:val="20"/>
          <w:szCs w:val="20"/>
        </w:rPr>
        <w:br w:type="page"/>
      </w:r>
    </w:p>
    <w:p w:rsidR="008B1196" w:rsidRPr="00EB4D74" w:rsidRDefault="008B1196" w:rsidP="008B1196">
      <w:pPr>
        <w:pStyle w:val="Heading1"/>
        <w:rPr>
          <w:sz w:val="2"/>
          <w:szCs w:val="2"/>
        </w:rPr>
      </w:pPr>
    </w:p>
    <w:p w:rsidR="008B1196" w:rsidRPr="00EB4D74" w:rsidRDefault="008B1196" w:rsidP="008B1196">
      <w:pPr>
        <w:pStyle w:val="Heading1"/>
        <w:spacing w:after="120"/>
      </w:pPr>
      <w:bookmarkStart w:id="756" w:name="_Toc342914834"/>
      <w:r w:rsidRPr="00EB4D74">
        <w:t>seção 4 – tipos de licença e valores</w:t>
      </w:r>
      <w:bookmarkEnd w:id="756"/>
    </w:p>
    <w:p w:rsidR="008B1196" w:rsidRPr="00EB4D74" w:rsidRDefault="008B1196" w:rsidP="008B1196">
      <w:pPr>
        <w:pStyle w:val="Heading2"/>
        <w:ind w:left="0" w:right="720"/>
        <w:rPr>
          <w:rFonts w:ascii="Tahoma" w:hAnsi="Tahoma" w:cs="Tahoma"/>
          <w:lang w:val="it-IT"/>
        </w:rPr>
      </w:pPr>
    </w:p>
    <w:p w:rsidR="008B1196" w:rsidRPr="00EB4D74" w:rsidRDefault="008B1196" w:rsidP="008B1196">
      <w:pPr>
        <w:pStyle w:val="Heading2"/>
        <w:tabs>
          <w:tab w:val="left" w:pos="90"/>
        </w:tabs>
        <w:ind w:left="0" w:right="720"/>
        <w:rPr>
          <w:rFonts w:ascii="Tahoma" w:hAnsi="Tahoma" w:cs="Tahoma"/>
          <w:lang w:val="it-IT"/>
        </w:rPr>
      </w:pPr>
      <w:bookmarkStart w:id="757" w:name="_Toc336338198"/>
      <w:bookmarkStart w:id="758" w:name="_Toc342914835"/>
      <w:bookmarkEnd w:id="757"/>
      <w:r w:rsidRPr="00EB4D74">
        <w:rPr>
          <w:rFonts w:ascii="Tahoma" w:hAnsi="Tahoma" w:cs="Tahoma"/>
          <w:lang w:val="pt-BR"/>
        </w:rPr>
        <w:t>Valores</w:t>
      </w:r>
      <w:bookmarkEnd w:id="758"/>
    </w:p>
    <w:p w:rsidR="008B1196" w:rsidRPr="00EB4D74" w:rsidRDefault="008B1196" w:rsidP="008B1196">
      <w:pPr>
        <w:ind w:right="720"/>
        <w:rPr>
          <w:rFonts w:cs="Tahoma"/>
          <w:lang w:val="it-IT"/>
        </w:rPr>
      </w:pPr>
    </w:p>
    <w:p w:rsidR="008B1196" w:rsidRPr="00EB4D74" w:rsidRDefault="008B1196" w:rsidP="008B1196">
      <w:pPr>
        <w:pStyle w:val="AppendixBodyText"/>
        <w:ind w:right="720"/>
        <w:rPr>
          <w:rFonts w:ascii="Tahoma" w:hAnsi="Tahoma" w:cs="Tahoma"/>
        </w:rPr>
      </w:pPr>
      <w:r w:rsidRPr="00EB4D74">
        <w:rPr>
          <w:rFonts w:ascii="Tahoma" w:hAnsi="Tahoma" w:cs="Tahoma"/>
          <w:sz w:val="18"/>
          <w:lang w:val="pt-BR" w:eastAsia="ja-JP"/>
        </w:rPr>
        <w:t xml:space="preserve">Este tipo de produto está disponível para alguns Serviços Online e produtos de software. </w:t>
      </w:r>
      <w:r w:rsidRPr="00EB4D74">
        <w:rPr>
          <w:rFonts w:ascii="Tahoma" w:hAnsi="Tahoma" w:cs="Tahoma"/>
          <w:sz w:val="18"/>
          <w:lang w:val="pt-BR"/>
        </w:rPr>
        <w:t>Ele não é específico dessa versão. Pode estar associado a custos de instalação ou outras ofertas, como pacotes de ativação. Em geral, ele não confere direitos para usar um produto ou serviço online,como também não proporciona nenhum benefício nem cumpre nenhuma finalidade fora do serviço ou software ao qual corresponde. Estão disponíveis nos seguintes programas: Open, Open Value, Open Value Subscription, Select e Select Plus.</w:t>
      </w:r>
    </w:p>
    <w:p w:rsidR="008B1196" w:rsidRPr="00EB4D74" w:rsidRDefault="008B1196" w:rsidP="008B1196">
      <w:pPr>
        <w:pStyle w:val="AppendixIndent"/>
        <w:tabs>
          <w:tab w:val="left" w:pos="90"/>
        </w:tabs>
        <w:spacing w:before="0"/>
        <w:ind w:left="0" w:right="720"/>
        <w:rPr>
          <w:rFonts w:ascii="Tahoma" w:hAnsi="Tahoma" w:cs="Tahoma"/>
        </w:rPr>
      </w:pPr>
    </w:p>
    <w:p w:rsidR="008B1196" w:rsidRPr="00EB4D74" w:rsidRDefault="008B1196" w:rsidP="008B1196">
      <w:pPr>
        <w:pStyle w:val="AppendixIndent"/>
        <w:tabs>
          <w:tab w:val="left" w:pos="90"/>
        </w:tabs>
        <w:spacing w:before="0"/>
        <w:ind w:left="0" w:right="720"/>
        <w:rPr>
          <w:rFonts w:ascii="Tahoma" w:hAnsi="Tahoma" w:cs="Tahoma"/>
        </w:rPr>
      </w:pPr>
    </w:p>
    <w:p w:rsidR="008B1196" w:rsidRPr="00EB4D74" w:rsidRDefault="008B1196" w:rsidP="008B1196">
      <w:pPr>
        <w:pStyle w:val="Heading2"/>
        <w:tabs>
          <w:tab w:val="left" w:pos="90"/>
        </w:tabs>
        <w:ind w:left="0" w:right="720"/>
        <w:rPr>
          <w:rFonts w:ascii="Tahoma" w:hAnsi="Tahoma" w:cs="Tahoma"/>
          <w:lang w:val="it-IT"/>
        </w:rPr>
      </w:pPr>
      <w:bookmarkStart w:id="759" w:name="_Toc323819648"/>
      <w:bookmarkStart w:id="760" w:name="_Toc336338199"/>
      <w:bookmarkStart w:id="761" w:name="_Toc342914836"/>
      <w:bookmarkEnd w:id="759"/>
      <w:bookmarkEnd w:id="760"/>
      <w:r w:rsidRPr="00EB4D74">
        <w:rPr>
          <w:rFonts w:ascii="Tahoma" w:hAnsi="Tahoma" w:cs="Tahoma"/>
          <w:lang w:val="pt-BR"/>
        </w:rPr>
        <w:t>Licença</w:t>
      </w:r>
      <w:bookmarkEnd w:id="761"/>
    </w:p>
    <w:p w:rsidR="008B1196" w:rsidRPr="00EB4D74" w:rsidRDefault="008B1196" w:rsidP="008B1196">
      <w:pPr>
        <w:pStyle w:val="AppendixIndent"/>
        <w:tabs>
          <w:tab w:val="left" w:pos="90"/>
        </w:tabs>
        <w:spacing w:before="0"/>
        <w:ind w:left="0" w:right="720"/>
        <w:rPr>
          <w:rFonts w:ascii="Tahoma" w:hAnsi="Tahoma" w:cs="Tahoma"/>
          <w:sz w:val="18"/>
          <w:lang w:val="it-IT"/>
        </w:rPr>
      </w:pPr>
    </w:p>
    <w:p w:rsidR="008B1196" w:rsidRPr="00EB4D74" w:rsidRDefault="008B1196" w:rsidP="008B1196">
      <w:pPr>
        <w:pStyle w:val="AppendixBodyText"/>
        <w:ind w:right="720"/>
        <w:rPr>
          <w:rFonts w:ascii="Tahoma" w:hAnsi="Tahoma" w:cs="Tahoma"/>
        </w:rPr>
      </w:pPr>
      <w:r w:rsidRPr="00EB4D74">
        <w:rPr>
          <w:rFonts w:ascii="Tahoma" w:hAnsi="Tahoma" w:cs="Tahoma"/>
          <w:sz w:val="18"/>
          <w:lang w:val="pt-BR" w:eastAsia="ja-JP"/>
        </w:rPr>
        <w:t>Este tipo de produto é específico à versão e confere o direito de executar a versão do produto para a qual foi solicitado. Estão disponíveis nos seguintes programas:</w:t>
      </w:r>
    </w:p>
    <w:p w:rsidR="008B1196" w:rsidRPr="00EB4D74" w:rsidRDefault="008B1196" w:rsidP="008B1196">
      <w:pPr>
        <w:pStyle w:val="AppendixIndent"/>
        <w:tabs>
          <w:tab w:val="left" w:pos="90"/>
        </w:tabs>
        <w:spacing w:before="0"/>
        <w:ind w:left="0" w:right="720"/>
        <w:rPr>
          <w:rFonts w:ascii="Tahoma" w:hAnsi="Tahoma" w:cs="Tahoma"/>
          <w:sz w:val="18"/>
        </w:rPr>
      </w:pP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rPr>
      </w:pPr>
      <w:r w:rsidRPr="00EB4D74">
        <w:rPr>
          <w:rFonts w:ascii="Tahoma" w:hAnsi="Tahoma" w:cs="Tahoma"/>
          <w:sz w:val="18"/>
          <w:lang w:val="pt-BR"/>
        </w:rPr>
        <w:t>Licença Open</w:t>
      </w: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rPr>
      </w:pPr>
      <w:r w:rsidRPr="00EB4D74">
        <w:rPr>
          <w:rFonts w:ascii="Tahoma" w:hAnsi="Tahoma" w:cs="Tahoma"/>
          <w:sz w:val="18"/>
          <w:lang w:val="pt-BR"/>
        </w:rPr>
        <w:t>Open Value Subscription [somente para pedidos com opção de compra (“buy-out”)]</w:t>
      </w: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lang w:val="it-IT"/>
        </w:rPr>
      </w:pPr>
      <w:r w:rsidRPr="00EB4D74">
        <w:rPr>
          <w:rFonts w:ascii="Tahoma" w:hAnsi="Tahoma" w:cs="Tahoma"/>
          <w:sz w:val="18"/>
          <w:lang w:val="pt-BR"/>
        </w:rPr>
        <w:t>Contrato School (somente para pedidos com opção de compra (“buy-out”))</w:t>
      </w: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rPr>
      </w:pPr>
      <w:r w:rsidRPr="00EB4D74">
        <w:rPr>
          <w:rFonts w:ascii="Tahoma" w:hAnsi="Tahoma" w:cs="Tahoma"/>
          <w:sz w:val="18"/>
          <w:lang w:val="pt-BR"/>
        </w:rPr>
        <w:t>EES (somente para pedidos com opção de compra (“buy-out”))</w:t>
      </w:r>
    </w:p>
    <w:p w:rsidR="008B1196" w:rsidRPr="00EB4D74" w:rsidRDefault="008B1196" w:rsidP="008B1196">
      <w:pPr>
        <w:pStyle w:val="AppendixBulletIndent"/>
        <w:numPr>
          <w:ilvl w:val="0"/>
          <w:numId w:val="32"/>
        </w:numPr>
        <w:tabs>
          <w:tab w:val="left" w:pos="90"/>
        </w:tabs>
        <w:spacing w:after="60"/>
        <w:ind w:left="1440" w:right="720"/>
        <w:rPr>
          <w:rFonts w:ascii="Tahoma" w:hAnsi="Tahoma" w:cs="Tahoma"/>
        </w:rPr>
      </w:pPr>
      <w:r w:rsidRPr="00EB4D74">
        <w:rPr>
          <w:rFonts w:ascii="Tahoma" w:hAnsi="Tahoma" w:cs="Tahoma"/>
          <w:sz w:val="18"/>
          <w:lang w:val="pt-BR"/>
        </w:rPr>
        <w:t>Contrato Enterprise Subscription (somente para pedidos com opção de compra (“buy­out”))</w:t>
      </w:r>
    </w:p>
    <w:p w:rsidR="008B1196" w:rsidRPr="00EB4D74" w:rsidRDefault="008B1196" w:rsidP="008B1196">
      <w:pPr>
        <w:pStyle w:val="AppendixIndent"/>
        <w:tabs>
          <w:tab w:val="left" w:pos="90"/>
        </w:tabs>
        <w:spacing w:before="0"/>
        <w:ind w:left="0" w:right="720"/>
        <w:rPr>
          <w:rFonts w:ascii="Tahoma" w:hAnsi="Tahoma" w:cs="Tahoma"/>
          <w:sz w:val="18"/>
        </w:rPr>
      </w:pPr>
    </w:p>
    <w:p w:rsidR="008B1196" w:rsidRPr="00EB4D74" w:rsidRDefault="008B1196" w:rsidP="008B1196">
      <w:pPr>
        <w:pStyle w:val="AppendixBodyText"/>
        <w:ind w:right="720"/>
        <w:rPr>
          <w:rFonts w:ascii="Tahoma" w:hAnsi="Tahoma" w:cs="Tahoma"/>
        </w:rPr>
      </w:pPr>
      <w:r w:rsidRPr="00EB4D74">
        <w:rPr>
          <w:rFonts w:ascii="Tahoma" w:hAnsi="Tahoma" w:cs="Tahoma"/>
          <w:sz w:val="18"/>
          <w:lang w:val="pt-BR" w:eastAsia="ja-JP"/>
        </w:rPr>
        <w:t xml:space="preserve">Não há pré-requisitos para um cliente adquirir uma Licença nos programas Licença Open, Licença Select e Select Plus. </w:t>
      </w:r>
      <w:r w:rsidRPr="00EB4D74">
        <w:rPr>
          <w:rFonts w:ascii="Tahoma" w:hAnsi="Tahoma" w:cs="Tahoma"/>
          <w:sz w:val="18"/>
          <w:lang w:val="pt-BR"/>
        </w:rPr>
        <w:t>Consulte o contrato específico do programa para saber as regras de qualificação que regem o pedido de uma licença perpétua através de pedidos com opção de compra (“buy-out”).</w:t>
      </w:r>
    </w:p>
    <w:p w:rsidR="008B1196" w:rsidRPr="00EB4D74" w:rsidRDefault="008B1196" w:rsidP="008B1196">
      <w:pPr>
        <w:pStyle w:val="AppendixIndent"/>
        <w:tabs>
          <w:tab w:val="left" w:pos="90"/>
        </w:tabs>
        <w:spacing w:before="0"/>
        <w:ind w:left="0" w:right="720"/>
        <w:rPr>
          <w:rFonts w:ascii="Tahoma" w:hAnsi="Tahoma" w:cs="Tahoma"/>
          <w:sz w:val="18"/>
        </w:rPr>
      </w:pPr>
    </w:p>
    <w:p w:rsidR="008B1196" w:rsidRPr="00EB4D74" w:rsidRDefault="008B1196" w:rsidP="008B1196">
      <w:pPr>
        <w:pStyle w:val="AppendixIndent"/>
        <w:tabs>
          <w:tab w:val="left" w:pos="90"/>
        </w:tabs>
        <w:spacing w:before="0"/>
        <w:ind w:left="0" w:right="720"/>
        <w:rPr>
          <w:rFonts w:ascii="Tahoma" w:hAnsi="Tahoma" w:cs="Tahoma"/>
          <w:sz w:val="18"/>
        </w:rPr>
      </w:pPr>
    </w:p>
    <w:p w:rsidR="008B1196" w:rsidRPr="00EB4D74" w:rsidRDefault="008B1196" w:rsidP="008B1196">
      <w:pPr>
        <w:pStyle w:val="Heading2"/>
        <w:tabs>
          <w:tab w:val="left" w:pos="90"/>
        </w:tabs>
        <w:ind w:left="0" w:right="720"/>
        <w:rPr>
          <w:rFonts w:ascii="Tahoma" w:hAnsi="Tahoma" w:cs="Tahoma"/>
          <w:lang w:val="it-IT"/>
        </w:rPr>
      </w:pPr>
      <w:bookmarkStart w:id="762" w:name="_Toc323819649"/>
      <w:bookmarkStart w:id="763" w:name="_Toc336338200"/>
      <w:bookmarkStart w:id="764" w:name="_Toc342914837"/>
      <w:bookmarkEnd w:id="762"/>
      <w:bookmarkEnd w:id="763"/>
      <w:r w:rsidRPr="00EB4D74">
        <w:rPr>
          <w:rFonts w:ascii="Tahoma" w:hAnsi="Tahoma" w:cs="Tahoma"/>
          <w:lang w:val="pt-BR"/>
        </w:rPr>
        <w:t>Licença e Software Assurance</w:t>
      </w:r>
      <w:bookmarkEnd w:id="764"/>
    </w:p>
    <w:p w:rsidR="008B1196" w:rsidRPr="00EB4D74" w:rsidRDefault="008B1196" w:rsidP="008B1196">
      <w:pPr>
        <w:pStyle w:val="AppendixIndent"/>
        <w:tabs>
          <w:tab w:val="left" w:pos="90"/>
        </w:tabs>
        <w:spacing w:before="0"/>
        <w:ind w:left="0" w:right="720"/>
        <w:rPr>
          <w:rFonts w:ascii="Tahoma" w:hAnsi="Tahoma" w:cs="Tahoma"/>
          <w:sz w:val="18"/>
          <w:lang w:val="it-IT"/>
        </w:rPr>
      </w:pPr>
    </w:p>
    <w:p w:rsidR="008B1196" w:rsidRPr="00EB4D74" w:rsidRDefault="008B1196" w:rsidP="008B1196">
      <w:pPr>
        <w:pStyle w:val="AppendixBodyText"/>
        <w:ind w:right="720"/>
        <w:rPr>
          <w:rFonts w:ascii="Tahoma" w:hAnsi="Tahoma" w:cs="Tahoma"/>
        </w:rPr>
      </w:pPr>
      <w:r w:rsidRPr="00EB4D74">
        <w:rPr>
          <w:rFonts w:ascii="Tahoma" w:hAnsi="Tahoma" w:cs="Tahoma"/>
          <w:sz w:val="18"/>
          <w:lang w:val="pt-BR" w:eastAsia="ja-JP"/>
        </w:rPr>
        <w:t xml:space="preserve">Este tipo de produto não é específico à versão. Ele permite que os clientes adquiram a Licença e o Software Assurance ao mesmo tempo. </w:t>
      </w:r>
      <w:r w:rsidRPr="00EB4D74">
        <w:rPr>
          <w:rFonts w:ascii="Tahoma" w:hAnsi="Tahoma" w:cs="Tahoma"/>
          <w:sz w:val="18"/>
          <w:lang w:val="pt-BR"/>
        </w:rPr>
        <w:t>Estão disponíveis nos seguintes programas:</w:t>
      </w:r>
    </w:p>
    <w:p w:rsidR="008B1196" w:rsidRPr="00EB4D74" w:rsidRDefault="008B1196" w:rsidP="008B1196">
      <w:pPr>
        <w:pStyle w:val="AppendixIndent"/>
        <w:tabs>
          <w:tab w:val="left" w:pos="90"/>
        </w:tabs>
        <w:spacing w:before="0"/>
        <w:ind w:left="0" w:right="720"/>
        <w:rPr>
          <w:rFonts w:ascii="Tahoma" w:hAnsi="Tahoma" w:cs="Tahoma"/>
          <w:sz w:val="18"/>
        </w:rPr>
      </w:pP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Licença Open</w:t>
      </w: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Open Value</w:t>
      </w: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Open Value Subscription</w:t>
      </w: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Contrato Enterprise</w:t>
      </w:r>
    </w:p>
    <w:p w:rsidR="008B1196" w:rsidRPr="00EB4D74" w:rsidRDefault="008B1196" w:rsidP="008B1196">
      <w:pPr>
        <w:pStyle w:val="AppendixBulletIndent"/>
        <w:numPr>
          <w:ilvl w:val="0"/>
          <w:numId w:val="36"/>
        </w:numPr>
        <w:tabs>
          <w:tab w:val="left" w:pos="1440"/>
        </w:tabs>
        <w:spacing w:after="60"/>
        <w:ind w:left="1440" w:right="720"/>
        <w:rPr>
          <w:rFonts w:ascii="Tahoma" w:hAnsi="Tahoma" w:cs="Tahoma"/>
        </w:rPr>
      </w:pPr>
      <w:r w:rsidRPr="00EB4D74">
        <w:rPr>
          <w:rFonts w:ascii="Tahoma" w:hAnsi="Tahoma" w:cs="Tahoma"/>
          <w:sz w:val="18"/>
          <w:lang w:val="pt-BR"/>
        </w:rPr>
        <w:t>Contrato Enterprise Subscription</w:t>
      </w:r>
    </w:p>
    <w:p w:rsidR="008B1196" w:rsidRPr="00EB4D74" w:rsidRDefault="008B1196" w:rsidP="008B1196">
      <w:pPr>
        <w:pStyle w:val="AppendixIndent"/>
        <w:tabs>
          <w:tab w:val="left" w:pos="90"/>
        </w:tabs>
        <w:ind w:left="0" w:right="720"/>
        <w:rPr>
          <w:rFonts w:ascii="Tahoma" w:hAnsi="Tahoma" w:cs="Tahoma"/>
        </w:rPr>
      </w:pPr>
    </w:p>
    <w:p w:rsidR="008B1196" w:rsidRPr="00EB4D74" w:rsidRDefault="008B1196" w:rsidP="008B1196">
      <w:pPr>
        <w:pStyle w:val="AppendixBodyText"/>
        <w:ind w:right="720"/>
        <w:rPr>
          <w:rFonts w:ascii="Tahoma" w:hAnsi="Tahoma" w:cs="Tahoma"/>
          <w:b/>
          <w:sz w:val="18"/>
          <w:lang w:val="it-IT"/>
        </w:rPr>
      </w:pPr>
      <w:r w:rsidRPr="00EB4D74">
        <w:rPr>
          <w:rFonts w:ascii="Tahoma" w:hAnsi="Tahoma" w:cs="Tahoma"/>
          <w:sz w:val="18"/>
          <w:lang w:val="pt-BR" w:eastAsia="ja-JP"/>
        </w:rPr>
        <w:t xml:space="preserve">Não há pré-requisitos para adquirir a LicençaO Software Assurance deverá ser adquirido por ocasião da aquisição da Licença correspondente ou na renovação do prazo de um Software Assurance existente. </w:t>
      </w:r>
      <w:r w:rsidRPr="00EB4D74">
        <w:rPr>
          <w:rFonts w:ascii="Tahoma" w:hAnsi="Tahoma" w:cs="Tahoma"/>
          <w:sz w:val="18"/>
          <w:lang w:val="pt-BR"/>
        </w:rPr>
        <w:t>Em todos os programas de licenciamento por volume, quando o cliente não cumprir os critérios de qualificação do Software Assurance e quiser adquiri-lo, ele deverá adquirir a oferta Licença e Software Assurance.</w:t>
      </w:r>
    </w:p>
    <w:p w:rsidR="008B1196" w:rsidRPr="00EB4D74" w:rsidRDefault="008B1196" w:rsidP="008B1196">
      <w:pPr>
        <w:rPr>
          <w:rFonts w:cs="Tahoma"/>
          <w:lang w:val="it-IT"/>
        </w:rPr>
      </w:pPr>
      <w:r w:rsidRPr="00EB4D74">
        <w:rPr>
          <w:rFonts w:cs="Tahoma"/>
          <w:lang w:val="it-IT"/>
        </w:rPr>
        <w:br w:type="page"/>
      </w:r>
    </w:p>
    <w:p w:rsidR="008B1196" w:rsidRPr="00EB4D74" w:rsidRDefault="008B1196" w:rsidP="008B1196">
      <w:pPr>
        <w:pStyle w:val="Heading2"/>
        <w:tabs>
          <w:tab w:val="left" w:pos="90"/>
        </w:tabs>
        <w:ind w:left="0" w:right="720"/>
        <w:rPr>
          <w:rFonts w:ascii="Tahoma" w:hAnsi="Tahoma" w:cs="Tahoma"/>
          <w:lang w:val="it-IT"/>
        </w:rPr>
      </w:pPr>
      <w:bookmarkStart w:id="765" w:name="_Toc323819650"/>
      <w:bookmarkStart w:id="766" w:name="_Toc336338201"/>
      <w:bookmarkStart w:id="767" w:name="_Toc342914838"/>
      <w:bookmarkEnd w:id="765"/>
      <w:bookmarkEnd w:id="766"/>
      <w:r w:rsidRPr="00EB4D74">
        <w:rPr>
          <w:rFonts w:ascii="Tahoma" w:hAnsi="Tahoma" w:cs="Tahoma"/>
          <w:lang w:val="pt-BR"/>
        </w:rPr>
        <w:lastRenderedPageBreak/>
        <w:t>Software Assurance</w:t>
      </w:r>
      <w:bookmarkEnd w:id="767"/>
    </w:p>
    <w:p w:rsidR="008B1196" w:rsidRPr="00EB4D74" w:rsidRDefault="008B1196" w:rsidP="008B1196">
      <w:pPr>
        <w:pStyle w:val="AppendixBodyText"/>
        <w:tabs>
          <w:tab w:val="left" w:pos="90"/>
        </w:tabs>
        <w:spacing w:after="0"/>
        <w:ind w:right="720"/>
        <w:rPr>
          <w:rFonts w:ascii="Tahoma" w:hAnsi="Tahoma" w:cs="Tahoma"/>
          <w:sz w:val="18"/>
          <w:szCs w:val="18"/>
          <w:lang w:val="it-IT"/>
        </w:rPr>
      </w:pPr>
    </w:p>
    <w:p w:rsidR="008B1196" w:rsidRPr="00EB4D74" w:rsidRDefault="008B1196" w:rsidP="008B1196">
      <w:pPr>
        <w:pStyle w:val="AppendixBodyText"/>
        <w:ind w:right="720"/>
        <w:rPr>
          <w:rFonts w:ascii="Tahoma" w:hAnsi="Tahoma" w:cs="Tahoma"/>
          <w:sz w:val="18"/>
          <w:szCs w:val="18"/>
          <w:lang w:val="it-IT"/>
        </w:rPr>
      </w:pPr>
      <w:r w:rsidRPr="00EB4D74">
        <w:rPr>
          <w:rFonts w:ascii="Tahoma" w:hAnsi="Tahoma" w:cs="Tahoma"/>
          <w:sz w:val="18"/>
          <w:lang w:val="pt-BR"/>
        </w:rPr>
        <w:t>O Microsoft Software Assurance é uma oferta cujos benefícios podem incluir direitos de novas versões, acesso a tecnologias diferenciadas, direitos de uso adicionais dos Produtos para os quais é adquirida, pagamentos parcelados, serviços de consultoria, treinamento, suporte e acesso a ofertas exclusivas. Para obter detalhes sobre cada benefício e política, consulte a Seção de Benefícios do Software Assurance (SA) deste documento.</w:t>
      </w:r>
    </w:p>
    <w:p w:rsidR="008B1196" w:rsidRPr="00EB4D74" w:rsidRDefault="008B1196" w:rsidP="008B1196">
      <w:pPr>
        <w:pStyle w:val="AppendixIndent"/>
        <w:tabs>
          <w:tab w:val="left" w:pos="90"/>
        </w:tabs>
        <w:ind w:left="0" w:right="720"/>
        <w:rPr>
          <w:rFonts w:ascii="Tahoma" w:hAnsi="Tahoma" w:cs="Tahoma"/>
          <w:sz w:val="18"/>
          <w:szCs w:val="18"/>
          <w:lang w:val="it-IT"/>
        </w:rPr>
      </w:pPr>
    </w:p>
    <w:p w:rsidR="008B1196" w:rsidRPr="00EB4D74" w:rsidRDefault="008B1196" w:rsidP="008B1196">
      <w:pPr>
        <w:pStyle w:val="AppendixBodyText"/>
        <w:ind w:right="720"/>
        <w:rPr>
          <w:rFonts w:ascii="Tahoma" w:hAnsi="Tahoma" w:cs="Tahoma"/>
          <w:sz w:val="18"/>
          <w:szCs w:val="18"/>
        </w:rPr>
      </w:pPr>
      <w:r w:rsidRPr="00EB4D74">
        <w:rPr>
          <w:rFonts w:ascii="Tahoma" w:hAnsi="Tahoma" w:cs="Tahoma"/>
          <w:sz w:val="18"/>
          <w:lang w:val="pt-BR" w:eastAsia="ja-JP"/>
        </w:rPr>
        <w:t xml:space="preserve">Para obter detalhes sobre os direitos de uso relacionados a benefícios, consulte os Direitos de Uso de Produto para o Licenciamento por Volume. </w:t>
      </w:r>
      <w:r w:rsidRPr="00EB4D74">
        <w:rPr>
          <w:rFonts w:ascii="Tahoma" w:hAnsi="Tahoma" w:cs="Tahoma"/>
          <w:sz w:val="18"/>
          <w:lang w:val="pt-BR"/>
        </w:rPr>
        <w:t>O Software Assurance encontra-se disponível nos seguintes programas:</w:t>
      </w:r>
    </w:p>
    <w:p w:rsidR="008B1196" w:rsidRPr="00EB4D74" w:rsidRDefault="008B1196" w:rsidP="008B1196">
      <w:pPr>
        <w:pStyle w:val="AppendixIndent"/>
        <w:tabs>
          <w:tab w:val="left" w:pos="90"/>
        </w:tabs>
        <w:ind w:left="0" w:right="720"/>
        <w:rPr>
          <w:rFonts w:ascii="Tahoma" w:hAnsi="Tahoma" w:cs="Tahoma"/>
          <w:sz w:val="18"/>
          <w:szCs w:val="18"/>
        </w:rPr>
      </w:pPr>
    </w:p>
    <w:p w:rsidR="008B1196" w:rsidRPr="00EB4D74" w:rsidRDefault="008B1196" w:rsidP="008B1196">
      <w:pPr>
        <w:pStyle w:val="AppendixBulletIndent"/>
        <w:numPr>
          <w:ilvl w:val="0"/>
          <w:numId w:val="10"/>
        </w:numPr>
        <w:tabs>
          <w:tab w:val="left" w:pos="1440"/>
        </w:tabs>
        <w:spacing w:after="60"/>
        <w:ind w:left="1440" w:right="720"/>
        <w:rPr>
          <w:rFonts w:ascii="Tahoma" w:hAnsi="Tahoma" w:cs="Tahoma"/>
        </w:rPr>
      </w:pPr>
      <w:r w:rsidRPr="00EB4D74">
        <w:rPr>
          <w:rFonts w:ascii="Tahoma" w:hAnsi="Tahoma" w:cs="Tahoma"/>
          <w:sz w:val="18"/>
          <w:lang w:val="pt-BR"/>
        </w:rPr>
        <w:t>Licença Open</w:t>
      </w:r>
    </w:p>
    <w:p w:rsidR="008B1196" w:rsidRPr="00EB4D74" w:rsidRDefault="008B1196" w:rsidP="008B1196">
      <w:pPr>
        <w:pStyle w:val="AppendixBulletIndent"/>
        <w:numPr>
          <w:ilvl w:val="0"/>
          <w:numId w:val="10"/>
        </w:numPr>
        <w:tabs>
          <w:tab w:val="left" w:pos="1440"/>
        </w:tabs>
        <w:spacing w:after="60"/>
        <w:ind w:left="1440" w:right="720"/>
        <w:rPr>
          <w:rFonts w:ascii="Tahoma" w:hAnsi="Tahoma" w:cs="Tahoma"/>
        </w:rPr>
      </w:pPr>
      <w:r w:rsidRPr="00EB4D74">
        <w:rPr>
          <w:rFonts w:ascii="Tahoma" w:hAnsi="Tahoma" w:cs="Tahoma"/>
          <w:sz w:val="18"/>
          <w:lang w:val="pt-BR"/>
        </w:rPr>
        <w:t>Open Value</w:t>
      </w:r>
    </w:p>
    <w:p w:rsidR="008B1196" w:rsidRPr="00EB4D74" w:rsidRDefault="008B1196" w:rsidP="008B1196">
      <w:pPr>
        <w:pStyle w:val="AppendixBulletIndent"/>
        <w:numPr>
          <w:ilvl w:val="0"/>
          <w:numId w:val="10"/>
        </w:numPr>
        <w:tabs>
          <w:tab w:val="left" w:pos="144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10"/>
        </w:numPr>
        <w:tabs>
          <w:tab w:val="left" w:pos="144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10"/>
        </w:numPr>
        <w:tabs>
          <w:tab w:val="left" w:pos="1440"/>
        </w:tabs>
        <w:spacing w:after="60"/>
        <w:ind w:left="1440" w:right="720"/>
        <w:rPr>
          <w:rFonts w:ascii="Tahoma" w:hAnsi="Tahoma" w:cs="Tahoma"/>
        </w:rPr>
      </w:pPr>
      <w:r w:rsidRPr="00EB4D74">
        <w:rPr>
          <w:rFonts w:ascii="Tahoma" w:hAnsi="Tahoma" w:cs="Tahoma"/>
          <w:sz w:val="18"/>
          <w:lang w:val="pt-BR"/>
        </w:rPr>
        <w:t>Contrato Enterprise</w:t>
      </w:r>
    </w:p>
    <w:p w:rsidR="008B1196" w:rsidRPr="00EB4D74" w:rsidRDefault="008B1196" w:rsidP="008B1196">
      <w:pPr>
        <w:pStyle w:val="AppendixIndent"/>
        <w:ind w:left="0" w:right="720"/>
        <w:rPr>
          <w:rFonts w:ascii="Tahoma" w:hAnsi="Tahoma" w:cs="Tahoma"/>
          <w:sz w:val="18"/>
          <w:szCs w:val="18"/>
        </w:rPr>
      </w:pPr>
    </w:p>
    <w:p w:rsidR="008B1196" w:rsidRPr="00EB4D74" w:rsidRDefault="008B1196" w:rsidP="008B1196">
      <w:pPr>
        <w:pStyle w:val="AppendixIndent"/>
        <w:ind w:left="0" w:right="720"/>
        <w:rPr>
          <w:rFonts w:ascii="Tahoma" w:hAnsi="Tahoma" w:cs="Tahoma"/>
        </w:rPr>
      </w:pPr>
      <w:r w:rsidRPr="00EB4D74">
        <w:rPr>
          <w:rFonts w:ascii="Tahoma" w:hAnsi="Tahoma" w:cs="Tahoma"/>
          <w:sz w:val="18"/>
          <w:lang w:val="pt-BR"/>
        </w:rPr>
        <w:t>Existem três categorias diferentes de compromisso que um cliente pode selecionar para o Software Assurance. As categorias disponíveis variam de acordo com o programa. A categoria de compromisso do Software Assurance do cliente é um dos vários fatores que podem determinar o direito dele receber benefícios. Um cliente pode:</w:t>
      </w:r>
    </w:p>
    <w:p w:rsidR="008B1196" w:rsidRPr="00EB4D74" w:rsidRDefault="008B1196" w:rsidP="008B1196">
      <w:pPr>
        <w:pStyle w:val="AppendixIndent"/>
        <w:ind w:left="0" w:right="720"/>
        <w:rPr>
          <w:rFonts w:ascii="Tahoma" w:hAnsi="Tahoma" w:cs="Tahoma"/>
          <w:sz w:val="18"/>
          <w:szCs w:val="18"/>
        </w:rPr>
      </w:pPr>
    </w:p>
    <w:p w:rsidR="008B1196" w:rsidRPr="00EB4D74" w:rsidRDefault="008B1196" w:rsidP="008B1196">
      <w:pPr>
        <w:pStyle w:val="AppendixIndent"/>
        <w:numPr>
          <w:ilvl w:val="0"/>
          <w:numId w:val="37"/>
        </w:numPr>
        <w:ind w:left="1440" w:right="720"/>
        <w:rPr>
          <w:rFonts w:ascii="Tahoma" w:hAnsi="Tahoma" w:cs="Tahoma"/>
        </w:rPr>
      </w:pPr>
      <w:r w:rsidRPr="00EB4D74">
        <w:rPr>
          <w:rFonts w:ascii="Tahoma" w:hAnsi="Tahoma" w:cs="Tahoma"/>
          <w:sz w:val="18"/>
          <w:lang w:val="pt-BR"/>
        </w:rPr>
        <w:t>Comprometer-se a anexar o Software Assurance a todos os seus produtos da plataforma de desktop. Em geral, isso está disponível no Contrato Enterprise e no Open Value.</w:t>
      </w:r>
    </w:p>
    <w:p w:rsidR="008B1196" w:rsidRPr="00EB4D74" w:rsidRDefault="008B1196" w:rsidP="008B1196">
      <w:pPr>
        <w:pStyle w:val="AppendixIndent"/>
        <w:numPr>
          <w:ilvl w:val="0"/>
          <w:numId w:val="37"/>
        </w:numPr>
        <w:ind w:left="1440" w:right="720"/>
        <w:rPr>
          <w:rFonts w:ascii="Tahoma" w:hAnsi="Tahoma" w:cs="Tahoma"/>
        </w:rPr>
      </w:pPr>
      <w:r w:rsidRPr="00EB4D74">
        <w:rPr>
          <w:rFonts w:ascii="Tahoma" w:hAnsi="Tahoma" w:cs="Tahoma"/>
          <w:sz w:val="18"/>
          <w:lang w:val="pt-BR"/>
        </w:rPr>
        <w:t>Comprometer-se a anexar o Software Assurance a todas as suas compras em um pool de produtos específico (Aplicativos, Sistemas ou Servidores). Isso é conhecido como o Programa de Membros do Software Assurance (SAM). Não é necessário um compromisso de toda a empresa para com o Software Assurance. Em geral, isso está disponível no Select.</w:t>
      </w:r>
    </w:p>
    <w:p w:rsidR="008B1196" w:rsidRPr="00EB4D74" w:rsidRDefault="008B1196" w:rsidP="008B1196">
      <w:pPr>
        <w:pStyle w:val="AppendixIndent"/>
        <w:numPr>
          <w:ilvl w:val="0"/>
          <w:numId w:val="37"/>
        </w:numPr>
        <w:ind w:left="1440" w:right="720"/>
        <w:rPr>
          <w:rFonts w:ascii="Tahoma" w:hAnsi="Tahoma" w:cs="Tahoma"/>
        </w:rPr>
      </w:pPr>
      <w:r w:rsidRPr="00EB4D74">
        <w:rPr>
          <w:rFonts w:ascii="Tahoma" w:hAnsi="Tahoma" w:cs="Tahoma"/>
          <w:sz w:val="18"/>
          <w:lang w:val="pt-BR"/>
        </w:rPr>
        <w:t>Comprar o Software Assurance para produtos individuais sem assumir nenhum compromisso para expandir suas compras do Software Assurance a outros produtos.</w:t>
      </w:r>
    </w:p>
    <w:p w:rsidR="008B1196" w:rsidRPr="00EB4D74" w:rsidRDefault="008B1196" w:rsidP="008B1196">
      <w:pPr>
        <w:pStyle w:val="AppendixBodyText"/>
        <w:ind w:right="720"/>
        <w:rPr>
          <w:rFonts w:ascii="Tahoma" w:hAnsi="Tahoma" w:cs="Tahoma"/>
          <w:sz w:val="18"/>
          <w:szCs w:val="18"/>
        </w:rPr>
      </w:pPr>
    </w:p>
    <w:p w:rsidR="008B1196" w:rsidRPr="00EB4D74" w:rsidRDefault="008B1196" w:rsidP="008B1196">
      <w:pPr>
        <w:pStyle w:val="AppendixBodyText"/>
        <w:ind w:right="450"/>
        <w:rPr>
          <w:rFonts w:ascii="Tahoma" w:hAnsi="Tahoma" w:cs="Tahoma"/>
          <w:spacing w:val="-1"/>
          <w:lang w:val="it-IT"/>
        </w:rPr>
      </w:pPr>
      <w:r w:rsidRPr="00EB4D74">
        <w:rPr>
          <w:rFonts w:ascii="Tahoma" w:hAnsi="Tahoma" w:cs="Tahoma"/>
          <w:spacing w:val="-1"/>
          <w:sz w:val="18"/>
          <w:lang w:val="pt-BR" w:eastAsia="ja-JP"/>
        </w:rPr>
        <w:t xml:space="preserve">O Software Assurance deverá ser adquirido por ocasião da aquisição da Licença ou na renovação do prazo de um Software Assurance existente. Caso contrário, eles deverão adquirir uma nova Licença ou Licença e Software Assurance a fim de atualizar sua Licença posteriormente (no caso do Sistema Operacional Windows Desktop, as opções são Atualização e Software Assurance). </w:t>
      </w:r>
      <w:r w:rsidRPr="00EB4D74">
        <w:rPr>
          <w:rFonts w:ascii="Tahoma" w:hAnsi="Tahoma" w:cs="Tahoma"/>
          <w:spacing w:val="-1"/>
          <w:sz w:val="18"/>
          <w:lang w:val="pt-BR"/>
        </w:rPr>
        <w:t>Consulte a seção sobre regras de renovação e o contrato do programa específico para saber as regras de qualificação que regem a aquisição do Software Assurance.</w:t>
      </w:r>
    </w:p>
    <w:p w:rsidR="008B1196" w:rsidRPr="00EB4D74" w:rsidRDefault="008B1196" w:rsidP="008B1196">
      <w:pPr>
        <w:pStyle w:val="AppendixBodyText"/>
        <w:ind w:right="720"/>
        <w:rPr>
          <w:rFonts w:ascii="Tahoma" w:hAnsi="Tahoma" w:cs="Tahoma"/>
          <w:sz w:val="18"/>
          <w:szCs w:val="18"/>
          <w:lang w:val="it-IT"/>
        </w:rPr>
      </w:pPr>
    </w:p>
    <w:p w:rsidR="008B1196" w:rsidRPr="00EB4D74" w:rsidRDefault="008B1196" w:rsidP="008B1196">
      <w:pPr>
        <w:pStyle w:val="AppendixBodyText"/>
        <w:ind w:right="720"/>
        <w:rPr>
          <w:rFonts w:ascii="Tahoma" w:hAnsi="Tahoma" w:cs="Tahoma"/>
          <w:lang w:val="it-IT"/>
        </w:rPr>
      </w:pPr>
      <w:r w:rsidRPr="00EB4D74">
        <w:rPr>
          <w:rFonts w:ascii="Tahoma" w:hAnsi="Tahoma" w:cs="Tahoma"/>
          <w:sz w:val="18"/>
          <w:lang w:val="pt-BR" w:eastAsia="ja-JP"/>
        </w:rPr>
        <w:t>No caso de transferência de Licenças perpétuas, o beneficiário pode adquirir o Software Assurance para essa Licença transferida dentro de 30 dias a partir da data de transferência e desde que as Licenças transferidas tenham cobertura de Software Assurance ativa na transferência.</w:t>
      </w:r>
    </w:p>
    <w:p w:rsidR="008B1196" w:rsidRPr="00EB4D74" w:rsidRDefault="008B1196" w:rsidP="008B1196">
      <w:pPr>
        <w:pStyle w:val="AppendixBodyText"/>
        <w:ind w:right="720"/>
        <w:rPr>
          <w:rFonts w:ascii="Tahoma" w:hAnsi="Tahoma" w:cs="Tahoma"/>
          <w:sz w:val="18"/>
          <w:szCs w:val="18"/>
          <w:lang w:val="it-IT"/>
        </w:rPr>
      </w:pPr>
    </w:p>
    <w:p w:rsidR="008B1196" w:rsidRPr="00EB4D74" w:rsidRDefault="008B1196" w:rsidP="008B1196">
      <w:pPr>
        <w:pStyle w:val="AppendixBodyText"/>
        <w:ind w:right="720"/>
        <w:rPr>
          <w:rFonts w:ascii="Tahoma" w:hAnsi="Tahoma" w:cs="Tahoma"/>
          <w:lang w:val="it-IT"/>
        </w:rPr>
      </w:pPr>
      <w:r w:rsidRPr="00EB4D74">
        <w:rPr>
          <w:rFonts w:ascii="Tahoma" w:hAnsi="Tahoma" w:cs="Tahoma"/>
          <w:sz w:val="18"/>
          <w:lang w:val="pt-BR"/>
        </w:rPr>
        <w:t>Os clientes poderão ter a opção de adquirir o Software Assurance para determinadas licenças compradas no canal de Distribuição (produto em caixa) ou com um OEM (Fabricante de Equipamento Original). A qualificação varia de acordo com o programa, o pool de produtos e a fonte da licença (veja abaixo). Em todos os casos, a menos que seja indicado ao contrário, somente as licenças da versão mais recente de um produto estarão qualificadas, e o Software Assurance deverá ser adquirido no prazo de 90 dias a partir da data de aquisição das licenças. No Open Value, essa opção aplica-se apenas a produtos com licença não extensiva a toda a Organização/Empresa. Nos Contratos Enterprise, aplica-se apenas a Produtos Adicionais no prazo de 90 dias. Os clientes que adquirirem o Software Assurance para licenças OEM ou licenças para o varejo têm a opção de instalar e usar o software do Licenciamento por Volume para a versão atual a qualquer momento. Nesse caso, o uso do software estará sujeito aos Direitos de Uso desse produto e aos termos e condições do Contrato de Licença por Volume do cliente.</w:t>
      </w: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50"/>
        <w:gridCol w:w="1963"/>
        <w:gridCol w:w="2431"/>
        <w:gridCol w:w="2971"/>
      </w:tblGrid>
      <w:tr w:rsidR="008B1196" w:rsidRPr="00EB4D74" w:rsidTr="00EA30FC">
        <w:tc>
          <w:tcPr>
            <w:tcW w:w="1350" w:type="dxa"/>
            <w:shd w:val="clear" w:color="auto" w:fill="FFCC99"/>
            <w:vAlign w:val="center"/>
          </w:tcPr>
          <w:p w:rsidR="008B1196" w:rsidRPr="00EB4D74" w:rsidRDefault="008B1196" w:rsidP="00EA30FC">
            <w:pPr>
              <w:pStyle w:val="AppendixTableHeadings"/>
              <w:rPr>
                <w:rFonts w:ascii="Tahoma" w:hAnsi="Tahoma" w:cs="Tahoma"/>
                <w:sz w:val="20"/>
                <w:szCs w:val="20"/>
                <w:lang w:val="it-IT"/>
              </w:rPr>
            </w:pPr>
          </w:p>
        </w:tc>
        <w:tc>
          <w:tcPr>
            <w:tcW w:w="1963" w:type="dxa"/>
            <w:shd w:val="clear" w:color="auto" w:fill="FFCC99"/>
            <w:vAlign w:val="center"/>
          </w:tcPr>
          <w:p w:rsidR="008B1196" w:rsidRPr="00EB4D74" w:rsidRDefault="008B1196" w:rsidP="00EA30FC">
            <w:pPr>
              <w:pStyle w:val="AppendixTableHeadings"/>
              <w:rPr>
                <w:rFonts w:ascii="Tahoma" w:hAnsi="Tahoma" w:cs="Tahoma"/>
                <w:sz w:val="20"/>
              </w:rPr>
            </w:pPr>
            <w:r w:rsidRPr="00EB4D74">
              <w:rPr>
                <w:rFonts w:ascii="Tahoma" w:hAnsi="Tahoma" w:cs="Tahoma"/>
                <w:sz w:val="20"/>
                <w:lang w:val="pt-BR"/>
              </w:rPr>
              <w:t>Produtos em Caixa</w:t>
            </w:r>
          </w:p>
        </w:tc>
        <w:tc>
          <w:tcPr>
            <w:tcW w:w="2431" w:type="dxa"/>
            <w:shd w:val="clear" w:color="auto" w:fill="FFCC99"/>
            <w:vAlign w:val="center"/>
          </w:tcPr>
          <w:p w:rsidR="008B1196" w:rsidRPr="00EB4D74" w:rsidRDefault="008B1196" w:rsidP="00EA30FC">
            <w:pPr>
              <w:pStyle w:val="AppendixTableHeadings"/>
              <w:rPr>
                <w:rFonts w:ascii="Tahoma" w:hAnsi="Tahoma" w:cs="Tahoma"/>
                <w:sz w:val="20"/>
              </w:rPr>
            </w:pPr>
            <w:r w:rsidRPr="00EB4D74">
              <w:rPr>
                <w:rFonts w:ascii="Tahoma" w:hAnsi="Tahoma" w:cs="Tahoma"/>
                <w:sz w:val="20"/>
                <w:lang w:val="pt-BR"/>
              </w:rPr>
              <w:t>OEM</w:t>
            </w:r>
          </w:p>
        </w:tc>
        <w:tc>
          <w:tcPr>
            <w:tcW w:w="2971" w:type="dxa"/>
            <w:shd w:val="clear" w:color="auto" w:fill="FFCC99"/>
          </w:tcPr>
          <w:p w:rsidR="008B1196" w:rsidRPr="00EB4D74" w:rsidRDefault="008B1196" w:rsidP="00EA30FC">
            <w:pPr>
              <w:pStyle w:val="AppendixTableHeadings"/>
              <w:rPr>
                <w:rFonts w:ascii="Tahoma" w:hAnsi="Tahoma" w:cs="Tahoma"/>
                <w:sz w:val="20"/>
              </w:rPr>
            </w:pPr>
            <w:r w:rsidRPr="00EB4D74">
              <w:rPr>
                <w:rFonts w:ascii="Tahoma" w:hAnsi="Tahoma" w:cs="Tahoma"/>
                <w:sz w:val="20"/>
                <w:lang w:val="pt-BR"/>
              </w:rPr>
              <w:t>Programas</w:t>
            </w:r>
          </w:p>
        </w:tc>
      </w:tr>
      <w:tr w:rsidR="008B1196" w:rsidRPr="00EB4D74" w:rsidTr="00EA30FC">
        <w:tc>
          <w:tcPr>
            <w:tcW w:w="1350" w:type="dxa"/>
            <w:vAlign w:val="center"/>
          </w:tcPr>
          <w:p w:rsidR="008B1196" w:rsidRPr="00EB4D74" w:rsidRDefault="008B1196" w:rsidP="00EA30FC">
            <w:pPr>
              <w:pStyle w:val="AppendixTableText"/>
              <w:rPr>
                <w:rFonts w:ascii="Tahoma" w:hAnsi="Tahoma" w:cs="Tahoma"/>
                <w:b/>
                <w:color w:val="000000"/>
                <w:sz w:val="20"/>
                <w:szCs w:val="20"/>
              </w:rPr>
            </w:pPr>
            <w:r w:rsidRPr="00EB4D74">
              <w:rPr>
                <w:rFonts w:ascii="Tahoma" w:hAnsi="Tahoma" w:cs="Tahoma"/>
                <w:b/>
                <w:color w:val="000000"/>
                <w:sz w:val="20"/>
                <w:szCs w:val="20"/>
                <w:lang w:val="pt-BR"/>
              </w:rPr>
              <w:t>Pool de Aplicativos</w:t>
            </w:r>
          </w:p>
        </w:tc>
        <w:tc>
          <w:tcPr>
            <w:tcW w:w="1963" w:type="dxa"/>
            <w:vAlign w:val="center"/>
          </w:tcPr>
          <w:p w:rsidR="008B1196" w:rsidRPr="00EB4D74" w:rsidRDefault="008B1196" w:rsidP="00EA30FC">
            <w:pPr>
              <w:pStyle w:val="AppendixTableText"/>
              <w:rPr>
                <w:rFonts w:ascii="Tahoma" w:hAnsi="Tahoma" w:cs="Tahoma"/>
                <w:color w:val="000000"/>
              </w:rPr>
            </w:pPr>
            <w:r w:rsidRPr="00EB4D74">
              <w:rPr>
                <w:rFonts w:ascii="Tahoma" w:hAnsi="Tahoma" w:cs="Tahoma"/>
                <w:color w:val="000000"/>
                <w:lang w:val="pt-BR"/>
              </w:rPr>
              <w:t>N/D</w:t>
            </w:r>
          </w:p>
        </w:tc>
        <w:tc>
          <w:tcPr>
            <w:tcW w:w="2431" w:type="dxa"/>
            <w:vAlign w:val="center"/>
          </w:tcPr>
          <w:p w:rsidR="008B1196" w:rsidRPr="00EB4D74" w:rsidRDefault="008B1196" w:rsidP="00EA30FC">
            <w:pPr>
              <w:pStyle w:val="AppendixTableText"/>
              <w:rPr>
                <w:rFonts w:ascii="Tahoma" w:hAnsi="Tahoma" w:cs="Tahoma"/>
                <w:color w:val="000000"/>
                <w:lang w:val="it-IT"/>
              </w:rPr>
            </w:pPr>
            <w:r w:rsidRPr="00EB4D74">
              <w:rPr>
                <w:rFonts w:ascii="Tahoma" w:hAnsi="Tahoma" w:cs="Tahoma"/>
                <w:color w:val="000000"/>
                <w:lang w:val="pt-BR"/>
              </w:rPr>
              <w:t>SA disponível apenas conforme descrito abaixo</w:t>
            </w:r>
          </w:p>
        </w:tc>
        <w:tc>
          <w:tcPr>
            <w:tcW w:w="2971" w:type="dxa"/>
            <w:vMerge w:val="restart"/>
          </w:tcPr>
          <w:p w:rsidR="008B1196" w:rsidRPr="00EB4D74" w:rsidRDefault="008B1196" w:rsidP="00EA30FC">
            <w:pPr>
              <w:pStyle w:val="AppendixTableText"/>
              <w:jc w:val="left"/>
              <w:rPr>
                <w:rFonts w:ascii="Tahoma" w:hAnsi="Tahoma" w:cs="Tahoma"/>
                <w:color w:val="000000"/>
                <w:lang w:val="it-IT"/>
              </w:rPr>
            </w:pPr>
            <w:r w:rsidRPr="00EB4D74">
              <w:rPr>
                <w:rFonts w:ascii="Tahoma" w:hAnsi="Tahoma" w:cs="Tahoma"/>
                <w:lang w:val="pt-BR"/>
              </w:rPr>
              <w:t xml:space="preserve">Aplica-se a Licença Open, Select, Select Plus e Licença não extensiva a toda a Organização/Empresa sob Open Value e Produtos Adicionais sob Contratos Enterprise. </w:t>
            </w:r>
            <w:r w:rsidRPr="00EB4D74">
              <w:rPr>
                <w:rFonts w:ascii="Tahoma" w:hAnsi="Tahoma" w:cs="Tahoma"/>
                <w:color w:val="000000"/>
                <w:lang w:val="pt-BR"/>
              </w:rPr>
              <w:t>Não se aplica a Produtos Enterprise sob Open Value e Contratos Enterprise</w:t>
            </w:r>
          </w:p>
        </w:tc>
      </w:tr>
      <w:tr w:rsidR="008B1196" w:rsidRPr="00EB4D74" w:rsidTr="00EA30FC">
        <w:tc>
          <w:tcPr>
            <w:tcW w:w="1350" w:type="dxa"/>
            <w:vAlign w:val="center"/>
          </w:tcPr>
          <w:p w:rsidR="008B1196" w:rsidRPr="00EB4D74" w:rsidRDefault="008B1196" w:rsidP="00EA30FC">
            <w:pPr>
              <w:pStyle w:val="AppendixTableText"/>
              <w:rPr>
                <w:rFonts w:ascii="Tahoma" w:hAnsi="Tahoma" w:cs="Tahoma"/>
                <w:b/>
                <w:color w:val="000000"/>
                <w:sz w:val="20"/>
                <w:szCs w:val="20"/>
              </w:rPr>
            </w:pPr>
            <w:r w:rsidRPr="00EB4D74">
              <w:rPr>
                <w:rFonts w:ascii="Tahoma" w:hAnsi="Tahoma" w:cs="Tahoma"/>
                <w:b/>
                <w:color w:val="000000"/>
                <w:sz w:val="20"/>
                <w:szCs w:val="20"/>
                <w:lang w:val="pt-BR"/>
              </w:rPr>
              <w:t>Pool de Sistemas</w:t>
            </w:r>
          </w:p>
        </w:tc>
        <w:tc>
          <w:tcPr>
            <w:tcW w:w="1963" w:type="dxa"/>
            <w:vAlign w:val="center"/>
          </w:tcPr>
          <w:p w:rsidR="008B1196" w:rsidRPr="00EB4D74" w:rsidRDefault="008B1196" w:rsidP="00EA30FC">
            <w:pPr>
              <w:pStyle w:val="AppendixTableText"/>
              <w:rPr>
                <w:rFonts w:ascii="Tahoma" w:hAnsi="Tahoma" w:cs="Tahoma"/>
                <w:color w:val="000000"/>
              </w:rPr>
            </w:pPr>
            <w:r w:rsidRPr="00EB4D74">
              <w:rPr>
                <w:rFonts w:ascii="Tahoma" w:hAnsi="Tahoma" w:cs="Tahoma"/>
                <w:color w:val="000000"/>
                <w:lang w:val="pt-BR"/>
              </w:rPr>
              <w:t>SA disponível</w:t>
            </w:r>
          </w:p>
        </w:tc>
        <w:tc>
          <w:tcPr>
            <w:tcW w:w="2431" w:type="dxa"/>
            <w:vAlign w:val="center"/>
          </w:tcPr>
          <w:p w:rsidR="008B1196" w:rsidRPr="00EB4D74" w:rsidRDefault="008B1196" w:rsidP="00EA30FC">
            <w:pPr>
              <w:pStyle w:val="AppendixTableText"/>
              <w:rPr>
                <w:rFonts w:ascii="Tahoma" w:hAnsi="Tahoma" w:cs="Tahoma"/>
                <w:color w:val="000000"/>
              </w:rPr>
            </w:pPr>
            <w:r w:rsidRPr="00EB4D74">
              <w:rPr>
                <w:rFonts w:ascii="Tahoma" w:hAnsi="Tahoma" w:cs="Tahoma"/>
                <w:color w:val="000000"/>
                <w:lang w:val="pt-BR"/>
              </w:rPr>
              <w:t>SA disponível</w:t>
            </w:r>
          </w:p>
        </w:tc>
        <w:tc>
          <w:tcPr>
            <w:tcW w:w="2971" w:type="dxa"/>
            <w:vMerge/>
            <w:vAlign w:val="center"/>
          </w:tcPr>
          <w:p w:rsidR="008B1196" w:rsidRPr="00EB4D74" w:rsidRDefault="008B1196" w:rsidP="00EA30FC">
            <w:pPr>
              <w:rPr>
                <w:rFonts w:cs="Tahoma"/>
                <w:color w:val="000000"/>
                <w:szCs w:val="18"/>
              </w:rPr>
            </w:pPr>
          </w:p>
        </w:tc>
      </w:tr>
      <w:tr w:rsidR="008B1196" w:rsidRPr="00EB4D74" w:rsidTr="00EA30FC">
        <w:tc>
          <w:tcPr>
            <w:tcW w:w="1350" w:type="dxa"/>
            <w:vAlign w:val="center"/>
          </w:tcPr>
          <w:p w:rsidR="008B1196" w:rsidRPr="00EB4D74" w:rsidRDefault="008B1196" w:rsidP="00EA30FC">
            <w:pPr>
              <w:pStyle w:val="AppendixTableText"/>
              <w:rPr>
                <w:rFonts w:ascii="Tahoma" w:hAnsi="Tahoma" w:cs="Tahoma"/>
                <w:b/>
                <w:color w:val="000000"/>
                <w:sz w:val="20"/>
                <w:szCs w:val="20"/>
              </w:rPr>
            </w:pPr>
            <w:r w:rsidRPr="00EB4D74">
              <w:rPr>
                <w:rFonts w:ascii="Tahoma" w:hAnsi="Tahoma" w:cs="Tahoma"/>
                <w:b/>
                <w:color w:val="000000"/>
                <w:sz w:val="20"/>
                <w:szCs w:val="20"/>
                <w:lang w:val="pt-BR"/>
              </w:rPr>
              <w:t>Pool de Servidores</w:t>
            </w:r>
          </w:p>
        </w:tc>
        <w:tc>
          <w:tcPr>
            <w:tcW w:w="1963" w:type="dxa"/>
            <w:vAlign w:val="center"/>
          </w:tcPr>
          <w:p w:rsidR="008B1196" w:rsidRPr="00EB4D74" w:rsidRDefault="008B1196" w:rsidP="00EA30FC">
            <w:pPr>
              <w:pStyle w:val="AppendixTableText"/>
              <w:rPr>
                <w:rFonts w:ascii="Tahoma" w:hAnsi="Tahoma" w:cs="Tahoma"/>
                <w:color w:val="000000"/>
              </w:rPr>
            </w:pPr>
            <w:r w:rsidRPr="00EB4D74">
              <w:rPr>
                <w:rFonts w:ascii="Tahoma" w:hAnsi="Tahoma" w:cs="Tahoma"/>
                <w:color w:val="000000"/>
                <w:lang w:val="pt-BR"/>
              </w:rPr>
              <w:t>SA disponível</w:t>
            </w:r>
          </w:p>
        </w:tc>
        <w:tc>
          <w:tcPr>
            <w:tcW w:w="2431" w:type="dxa"/>
            <w:vAlign w:val="center"/>
          </w:tcPr>
          <w:p w:rsidR="008B1196" w:rsidRPr="00EB4D74" w:rsidRDefault="008B1196" w:rsidP="00EA30FC">
            <w:pPr>
              <w:pStyle w:val="AppendixTableText"/>
              <w:rPr>
                <w:rFonts w:ascii="Tahoma" w:hAnsi="Tahoma" w:cs="Tahoma"/>
                <w:color w:val="000000"/>
              </w:rPr>
            </w:pPr>
            <w:r w:rsidRPr="00EB4D74">
              <w:rPr>
                <w:rFonts w:ascii="Tahoma" w:hAnsi="Tahoma" w:cs="Tahoma"/>
                <w:color w:val="000000"/>
                <w:lang w:val="pt-BR"/>
              </w:rPr>
              <w:t>SA disponível</w:t>
            </w:r>
          </w:p>
        </w:tc>
        <w:tc>
          <w:tcPr>
            <w:tcW w:w="2971" w:type="dxa"/>
            <w:vMerge/>
            <w:vAlign w:val="center"/>
          </w:tcPr>
          <w:p w:rsidR="008B1196" w:rsidRPr="00EB4D74" w:rsidRDefault="008B1196" w:rsidP="00EA30FC">
            <w:pPr>
              <w:rPr>
                <w:rFonts w:cs="Tahoma"/>
                <w:color w:val="000000"/>
                <w:szCs w:val="18"/>
              </w:rPr>
            </w:pPr>
          </w:p>
        </w:tc>
      </w:tr>
    </w:tbl>
    <w:p w:rsidR="008B1196" w:rsidRPr="00EB4D74" w:rsidRDefault="008B1196" w:rsidP="008B1196">
      <w:pPr>
        <w:ind w:right="720"/>
        <w:rPr>
          <w:rFonts w:cs="Tahoma"/>
        </w:rPr>
      </w:pPr>
    </w:p>
    <w:p w:rsidR="008B1196" w:rsidRPr="00EB4D74" w:rsidRDefault="008B1196" w:rsidP="008B1196">
      <w:pPr>
        <w:pStyle w:val="AppendixBodyText"/>
        <w:ind w:right="720"/>
        <w:rPr>
          <w:rFonts w:ascii="Tahoma" w:hAnsi="Tahoma" w:cs="Tahoma"/>
          <w:lang w:val="pt-BR"/>
        </w:rPr>
      </w:pPr>
      <w:r w:rsidRPr="00EB4D74">
        <w:rPr>
          <w:rFonts w:ascii="Tahoma" w:hAnsi="Tahoma" w:cs="Tahoma"/>
          <w:sz w:val="18"/>
          <w:szCs w:val="18"/>
          <w:lang w:val="pt-BR"/>
        </w:rPr>
        <w:t xml:space="preserve">Os clientes que adquirirem o Microsoft Office Professional 2010 com um OEM poderão adquirir o Software Assurance para Microsoft Office Standard 2010 nos programas Licença Open, nos programas Select e Select Plus, e na Licença não extensiva a toda a empresa sob Open Value no prazo de 90 dias a partir da data da compra com o OEM. </w:t>
      </w:r>
      <w:r w:rsidRPr="00EB4D74">
        <w:rPr>
          <w:rFonts w:ascii="Tahoma" w:hAnsi="Tahoma" w:cs="Tahoma"/>
          <w:sz w:val="18"/>
          <w:lang w:val="pt-BR"/>
        </w:rPr>
        <w:t>Os Cartões de Chave de Produto (PKC ou Product Key Cards) do Office são considerados uma oferta de Produto em Caixa (Varejo) e não são qualificados para a opção de adquirir o Software Assurance.</w:t>
      </w:r>
    </w:p>
    <w:p w:rsidR="008B1196" w:rsidRPr="00EB4D74" w:rsidRDefault="008B1196" w:rsidP="008B1196">
      <w:pPr>
        <w:pStyle w:val="AppendixBodyText"/>
        <w:spacing w:after="0"/>
        <w:ind w:right="720"/>
        <w:rPr>
          <w:rFonts w:ascii="Tahoma" w:hAnsi="Tahoma" w:cs="Tahoma"/>
          <w:sz w:val="18"/>
          <w:szCs w:val="18"/>
          <w:lang w:val="pt-BR"/>
        </w:rPr>
      </w:pPr>
    </w:p>
    <w:p w:rsidR="008B1196" w:rsidRPr="00EB4D74" w:rsidRDefault="008B1196" w:rsidP="008B1196">
      <w:pPr>
        <w:pStyle w:val="AppendixBodyText"/>
        <w:spacing w:after="0"/>
        <w:ind w:right="720"/>
        <w:rPr>
          <w:rFonts w:ascii="Tahoma" w:hAnsi="Tahoma" w:cs="Tahoma"/>
          <w:sz w:val="18"/>
          <w:szCs w:val="18"/>
          <w:lang w:val="pt-BR"/>
        </w:rPr>
      </w:pPr>
    </w:p>
    <w:p w:rsidR="008B1196" w:rsidRPr="00EB4D74" w:rsidRDefault="008B1196" w:rsidP="008B1196">
      <w:pPr>
        <w:pStyle w:val="Heading2"/>
        <w:ind w:left="0" w:right="720"/>
        <w:rPr>
          <w:rFonts w:ascii="Tahoma" w:hAnsi="Tahoma" w:cs="Tahoma"/>
          <w:lang w:val="pt-BR"/>
        </w:rPr>
      </w:pPr>
      <w:bookmarkStart w:id="768" w:name="_Toc323819651"/>
      <w:bookmarkStart w:id="769" w:name="_Toc336338202"/>
      <w:bookmarkStart w:id="770" w:name="_Toc342914839"/>
      <w:bookmarkEnd w:id="768"/>
      <w:bookmarkEnd w:id="769"/>
      <w:r w:rsidRPr="00EB4D74">
        <w:rPr>
          <w:rFonts w:ascii="Tahoma" w:hAnsi="Tahoma" w:cs="Tahoma"/>
          <w:lang w:val="pt-BR"/>
        </w:rPr>
        <w:t>Licenças Step-up</w:t>
      </w:r>
      <w:bookmarkEnd w:id="770"/>
    </w:p>
    <w:p w:rsidR="008B1196" w:rsidRPr="00EB4D74" w:rsidRDefault="008B1196" w:rsidP="008B1196">
      <w:pPr>
        <w:ind w:right="720"/>
        <w:rPr>
          <w:rFonts w:cs="Tahoma"/>
          <w:lang w:val="pt-BR"/>
        </w:rPr>
      </w:pPr>
    </w:p>
    <w:p w:rsidR="008B1196" w:rsidRPr="002711AF" w:rsidRDefault="008B1196" w:rsidP="008B1196">
      <w:pPr>
        <w:pStyle w:val="AppendixIndent"/>
        <w:ind w:left="0" w:right="180"/>
        <w:rPr>
          <w:rFonts w:ascii="Tahoma" w:hAnsi="Tahoma" w:cs="Tahoma"/>
          <w:sz w:val="18"/>
          <w:szCs w:val="18"/>
          <w:lang w:val="it-IT"/>
        </w:rPr>
      </w:pPr>
      <w:r w:rsidRPr="002711AF">
        <w:rPr>
          <w:rFonts w:ascii="Tahoma" w:hAnsi="Tahoma" w:cs="Tahoma"/>
          <w:sz w:val="18"/>
          <w:szCs w:val="18"/>
          <w:lang w:val="pt-BR"/>
        </w:rPr>
        <w:t xml:space="preserve">Os clientes podem migrar da edição padrão para uma edição premium de determinados produtos com uma Licença Step-up. Os clientes devem ter uma licença com Software Assurance ativo para o produto qualificado para adquirir essa Licença Step-up. </w:t>
      </w:r>
      <w:r w:rsidRPr="002711AF">
        <w:rPr>
          <w:rFonts w:ascii="Tahoma" w:hAnsi="Tahoma" w:cs="Tahoma"/>
          <w:color w:val="000000"/>
          <w:sz w:val="18"/>
          <w:szCs w:val="18"/>
          <w:lang w:val="pt-BR"/>
        </w:rPr>
        <w:t xml:space="preserve">A Licença Step-up deve ser adquirida, e é válida apenas quando adquirida, sob os mesmos contrato e registro do Programa de Licenciamento por Volume (se houver), sob o qual a cobertura de proteção de atualização do produto qualificado foi originalmente adquirida. </w:t>
      </w:r>
      <w:r w:rsidRPr="002711AF">
        <w:rPr>
          <w:rFonts w:ascii="Tahoma" w:hAnsi="Tahoma" w:cs="Tahoma"/>
          <w:sz w:val="18"/>
          <w:szCs w:val="18"/>
          <w:lang w:val="pt-BR"/>
        </w:rPr>
        <w:t>O direito de uso de software do cliente sob uma licença Step-up está condicionado à posse e manutenção de uma Licença do produto qualificado. Os clientes não podem transferir a Licença do produto qualificado separadamente da licença Step-up. Para obter mais detalhes e informações sobre a disponibilidade da licença, consulte o Resumo de Licenciamento por Volume da Licença Step-up para Enterprise Edition no site: http://</w:t>
      </w:r>
      <w:hyperlink r:id="rId12" w:history="1">
        <w:r w:rsidRPr="002711AF">
          <w:rPr>
            <w:rStyle w:val="Hyperlink"/>
            <w:rFonts w:ascii="Tahoma" w:hAnsi="Tahoma" w:cs="Tahoma"/>
            <w:sz w:val="18"/>
            <w:szCs w:val="18"/>
            <w:lang w:val="pt-BR"/>
          </w:rPr>
          <w:t>www.microsoft.com/licensing</w:t>
        </w:r>
      </w:hyperlink>
      <w:r w:rsidRPr="002711AF">
        <w:rPr>
          <w:rFonts w:ascii="Tahoma" w:hAnsi="Tahoma" w:cs="Tahoma"/>
          <w:sz w:val="18"/>
          <w:szCs w:val="18"/>
          <w:lang w:val="pt-BR"/>
        </w:rPr>
        <w:t>.</w:t>
      </w:r>
    </w:p>
    <w:p w:rsidR="008B1196" w:rsidRPr="00EB4D74" w:rsidRDefault="008B1196" w:rsidP="008B1196">
      <w:pPr>
        <w:pStyle w:val="Heading2"/>
        <w:ind w:left="0" w:right="720"/>
        <w:rPr>
          <w:rFonts w:ascii="Tahoma" w:hAnsi="Tahoma" w:cs="Tahoma"/>
          <w:sz w:val="18"/>
          <w:szCs w:val="18"/>
          <w:lang w:val="it-IT"/>
        </w:rPr>
      </w:pPr>
    </w:p>
    <w:p w:rsidR="008B1196" w:rsidRPr="00EB4D74" w:rsidRDefault="008B1196" w:rsidP="008B1196">
      <w:pPr>
        <w:rPr>
          <w:rFonts w:cs="Tahoma"/>
          <w:lang w:val="it-IT"/>
        </w:rPr>
      </w:pPr>
    </w:p>
    <w:p w:rsidR="008B1196" w:rsidRPr="00EB4D74" w:rsidRDefault="008B1196" w:rsidP="008B1196">
      <w:pPr>
        <w:pStyle w:val="Heading2"/>
        <w:ind w:left="0" w:right="720"/>
        <w:rPr>
          <w:rFonts w:ascii="Tahoma" w:hAnsi="Tahoma" w:cs="Tahoma"/>
          <w:lang w:val="it-IT"/>
        </w:rPr>
      </w:pPr>
      <w:bookmarkStart w:id="771" w:name="_Toc323819652"/>
      <w:bookmarkStart w:id="772" w:name="_Toc336338203"/>
      <w:bookmarkStart w:id="773" w:name="_Toc342914840"/>
      <w:bookmarkEnd w:id="771"/>
      <w:bookmarkEnd w:id="772"/>
      <w:r w:rsidRPr="00EB4D74">
        <w:rPr>
          <w:rFonts w:ascii="Tahoma" w:hAnsi="Tahoma" w:cs="Tahoma"/>
          <w:lang w:val="pt-BR"/>
        </w:rPr>
        <w:t>Licenças de Assinatura</w:t>
      </w:r>
      <w:bookmarkEnd w:id="773"/>
    </w:p>
    <w:p w:rsidR="008B1196" w:rsidRPr="00EB4D74" w:rsidRDefault="008B1196" w:rsidP="008B1196">
      <w:pPr>
        <w:ind w:right="720"/>
        <w:rPr>
          <w:rFonts w:cs="Tahoma"/>
          <w:lang w:val="it-IT"/>
        </w:rPr>
      </w:pPr>
    </w:p>
    <w:p w:rsidR="008B1196" w:rsidRPr="00EB4D74" w:rsidRDefault="008B1196" w:rsidP="008B1196">
      <w:pPr>
        <w:pStyle w:val="AppendixIndent"/>
        <w:ind w:left="0" w:right="720"/>
        <w:rPr>
          <w:rFonts w:ascii="Tahoma" w:hAnsi="Tahoma" w:cs="Tahoma"/>
          <w:sz w:val="18"/>
          <w:szCs w:val="18"/>
        </w:rPr>
      </w:pPr>
      <w:r w:rsidRPr="00EB4D74">
        <w:rPr>
          <w:rFonts w:ascii="Tahoma" w:hAnsi="Tahoma" w:cs="Tahoma"/>
          <w:sz w:val="18"/>
          <w:lang w:val="pt-BR"/>
        </w:rPr>
        <w:t>Este tipo de produto está disponível para Serviços Online e alguns produtos de software, não é específico à versão e permite que os clientes usem o software e, no caso de um Serviço Online, o serviço durante o prazo do registro Select ou Enterprise ou do contrato Open sob o qual ele foi adquirido. As licenças de assinatura adquiridas sob um Contrato Enterprise ou um Contrato Enterprise Subscription deverão ser adquiridas na ocasião do primeiro acesso ao serviço e são rateadas com base no número de meses restantes no prazo do registro ou contrato. Estão disponíveis nos seguintes programas:</w:t>
      </w:r>
    </w:p>
    <w:p w:rsidR="008B1196" w:rsidRPr="00EB4D74" w:rsidRDefault="008B1196" w:rsidP="008B1196">
      <w:pPr>
        <w:pStyle w:val="AppendixIndent"/>
        <w:ind w:left="0" w:right="720"/>
        <w:rPr>
          <w:rFonts w:ascii="Tahoma" w:hAnsi="Tahoma" w:cs="Tahoma"/>
          <w:sz w:val="18"/>
          <w:szCs w:val="18"/>
        </w:rPr>
      </w:pP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Open Value</w:t>
      </w: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Open Value Subscription</w:t>
      </w: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Contrato School</w:t>
      </w: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EES</w:t>
      </w:r>
    </w:p>
    <w:p w:rsidR="008B1196" w:rsidRPr="00EB4D74" w:rsidRDefault="008B1196" w:rsidP="008B1196">
      <w:pPr>
        <w:pStyle w:val="AppendixBulletIndent"/>
        <w:numPr>
          <w:ilvl w:val="0"/>
          <w:numId w:val="38"/>
        </w:numPr>
        <w:tabs>
          <w:tab w:val="left" w:pos="1440"/>
        </w:tabs>
        <w:spacing w:after="60"/>
        <w:ind w:left="1440" w:right="720"/>
        <w:rPr>
          <w:rFonts w:ascii="Tahoma" w:hAnsi="Tahoma" w:cs="Tahoma"/>
        </w:rPr>
      </w:pPr>
      <w:r w:rsidRPr="00EB4D74">
        <w:rPr>
          <w:rFonts w:ascii="Tahoma" w:hAnsi="Tahoma" w:cs="Tahoma"/>
          <w:sz w:val="18"/>
          <w:lang w:val="pt-BR"/>
        </w:rPr>
        <w:t>Contrato Enterprise</w:t>
      </w:r>
    </w:p>
    <w:p w:rsidR="008B1196" w:rsidRPr="00EB4D74" w:rsidRDefault="008B1196" w:rsidP="008B1196">
      <w:pPr>
        <w:pStyle w:val="AppendixIndent"/>
        <w:numPr>
          <w:ilvl w:val="0"/>
          <w:numId w:val="38"/>
        </w:numPr>
        <w:tabs>
          <w:tab w:val="left" w:pos="1440"/>
        </w:tabs>
        <w:spacing w:before="0" w:after="60"/>
        <w:ind w:left="1440" w:right="720"/>
        <w:rPr>
          <w:rFonts w:ascii="Tahoma" w:hAnsi="Tahoma" w:cs="Tahoma"/>
        </w:rPr>
      </w:pPr>
      <w:r w:rsidRPr="00EB4D74">
        <w:rPr>
          <w:rFonts w:ascii="Tahoma" w:hAnsi="Tahoma" w:cs="Tahoma"/>
          <w:sz w:val="18"/>
          <w:lang w:val="pt-BR"/>
        </w:rPr>
        <w:t>Contrato Enterprise Subscription</w:t>
      </w:r>
    </w:p>
    <w:p w:rsidR="008B1196" w:rsidRPr="00EB4D74" w:rsidRDefault="008B1196" w:rsidP="008B1196">
      <w:pPr>
        <w:pStyle w:val="Heading4"/>
        <w:spacing w:before="0"/>
        <w:ind w:left="0" w:right="720" w:firstLine="0"/>
        <w:rPr>
          <w:rFonts w:ascii="Tahoma" w:hAnsi="Tahoma" w:cs="Tahoma"/>
          <w:sz w:val="18"/>
          <w:szCs w:val="18"/>
        </w:rPr>
      </w:pPr>
    </w:p>
    <w:p w:rsidR="008B1196"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right="720"/>
        <w:rPr>
          <w:rFonts w:ascii="Tahoma" w:hAnsi="Tahoma" w:cs="Tahoma"/>
          <w:sz w:val="18"/>
          <w:szCs w:val="18"/>
          <w:lang w:val="pt-BR"/>
        </w:rPr>
      </w:pPr>
      <w:bookmarkStart w:id="774" w:name="_Toc323819653"/>
      <w:bookmarkStart w:id="775" w:name="_Toc336338204"/>
      <w:bookmarkEnd w:id="774"/>
      <w:bookmarkEnd w:id="775"/>
    </w:p>
    <w:p w:rsidR="008B1196" w:rsidRPr="00EB4D74" w:rsidRDefault="008B1196" w:rsidP="008B1196">
      <w:pPr>
        <w:pStyle w:val="Heading2"/>
        <w:ind w:left="0" w:right="720"/>
        <w:rPr>
          <w:rFonts w:ascii="Tahoma" w:hAnsi="Tahoma" w:cs="Tahoma"/>
        </w:rPr>
      </w:pPr>
      <w:bookmarkStart w:id="776" w:name="_Toc342914841"/>
      <w:r w:rsidRPr="00EB4D74">
        <w:rPr>
          <w:rFonts w:ascii="Tahoma" w:hAnsi="Tahoma" w:cs="Tahoma"/>
          <w:lang w:val="pt-BR"/>
        </w:rPr>
        <w:lastRenderedPageBreak/>
        <w:t>Atualização</w:t>
      </w:r>
      <w:bookmarkEnd w:id="776"/>
    </w:p>
    <w:p w:rsidR="008B1196" w:rsidRPr="00EB4D74" w:rsidRDefault="008B1196" w:rsidP="008B1196">
      <w:pPr>
        <w:pStyle w:val="AppendixIndent"/>
        <w:spacing w:before="0"/>
        <w:ind w:left="0" w:right="720"/>
        <w:rPr>
          <w:rFonts w:ascii="Tahoma" w:hAnsi="Tahoma" w:cs="Tahoma"/>
          <w:sz w:val="18"/>
          <w:szCs w:val="18"/>
        </w:rPr>
      </w:pPr>
    </w:p>
    <w:p w:rsidR="008B1196" w:rsidRPr="00EB4D74" w:rsidRDefault="008B1196" w:rsidP="008B1196">
      <w:pPr>
        <w:pStyle w:val="AppendixIndent"/>
        <w:ind w:left="0"/>
        <w:rPr>
          <w:rFonts w:ascii="Tahoma" w:hAnsi="Tahoma" w:cs="Tahoma"/>
          <w:spacing w:val="-2"/>
          <w:sz w:val="18"/>
          <w:szCs w:val="18"/>
          <w:lang w:val="it-IT"/>
        </w:rPr>
      </w:pPr>
      <w:r w:rsidRPr="00EB4D74">
        <w:rPr>
          <w:rFonts w:ascii="Tahoma" w:hAnsi="Tahoma" w:cs="Tahoma"/>
          <w:spacing w:val="-2"/>
          <w:sz w:val="18"/>
          <w:lang w:val="pt-BR"/>
        </w:rPr>
        <w:t xml:space="preserve">Este tipo de produto está disponível somente para o </w:t>
      </w:r>
      <w:r w:rsidRPr="00EB4D74">
        <w:rPr>
          <w:rFonts w:ascii="Tahoma" w:hAnsi="Tahoma" w:cs="Tahoma"/>
          <w:spacing w:val="-2"/>
          <w:sz w:val="18"/>
          <w:u w:val="single"/>
          <w:lang w:val="pt-BR"/>
        </w:rPr>
        <w:t>Sistema Operacional Windows Desktop</w:t>
      </w:r>
      <w:r w:rsidRPr="00EB4D74">
        <w:rPr>
          <w:rFonts w:ascii="Tahoma" w:hAnsi="Tahoma" w:cs="Tahoma"/>
          <w:spacing w:val="-2"/>
          <w:sz w:val="18"/>
          <w:lang w:val="pt-BR"/>
        </w:rPr>
        <w:t>, é específico à versão e confere o direito de executar a versão do produto para a qual foi solicitado. Estão disponíveis nos seguintes programas:</w:t>
      </w:r>
    </w:p>
    <w:p w:rsidR="008B1196" w:rsidRPr="00EB4D74" w:rsidRDefault="008B1196" w:rsidP="008B1196">
      <w:pPr>
        <w:pStyle w:val="AppendixIndent"/>
        <w:spacing w:before="0"/>
        <w:ind w:left="0" w:right="720"/>
        <w:rPr>
          <w:rFonts w:ascii="Tahoma" w:hAnsi="Tahoma" w:cs="Tahoma"/>
          <w:sz w:val="18"/>
          <w:szCs w:val="18"/>
          <w:lang w:val="it-IT"/>
        </w:rPr>
      </w:pPr>
    </w:p>
    <w:p w:rsidR="008B1196" w:rsidRPr="00EB4D74" w:rsidRDefault="008B1196" w:rsidP="008B1196">
      <w:pPr>
        <w:pStyle w:val="AppendixBulletIndent"/>
        <w:numPr>
          <w:ilvl w:val="0"/>
          <w:numId w:val="32"/>
        </w:numPr>
        <w:tabs>
          <w:tab w:val="left" w:pos="1440"/>
        </w:tabs>
        <w:spacing w:after="60"/>
        <w:ind w:left="1440" w:right="720"/>
        <w:rPr>
          <w:rFonts w:ascii="Tahoma" w:hAnsi="Tahoma" w:cs="Tahoma"/>
        </w:rPr>
      </w:pPr>
      <w:r w:rsidRPr="00EB4D74">
        <w:rPr>
          <w:rFonts w:ascii="Tahoma" w:hAnsi="Tahoma" w:cs="Tahoma"/>
          <w:sz w:val="18"/>
          <w:lang w:val="pt-BR"/>
        </w:rPr>
        <w:t>Licença Open</w:t>
      </w:r>
    </w:p>
    <w:p w:rsidR="008B1196" w:rsidRPr="00EB4D74" w:rsidRDefault="008B1196" w:rsidP="008B1196">
      <w:pPr>
        <w:pStyle w:val="AppendixBulletIndent"/>
        <w:numPr>
          <w:ilvl w:val="0"/>
          <w:numId w:val="32"/>
        </w:numPr>
        <w:tabs>
          <w:tab w:val="left" w:pos="1440"/>
        </w:tabs>
        <w:spacing w:after="60"/>
        <w:ind w:left="1440" w:right="720"/>
        <w:rPr>
          <w:rFonts w:ascii="Tahoma" w:hAnsi="Tahoma" w:cs="Tahoma"/>
        </w:rPr>
      </w:pPr>
      <w:r w:rsidRPr="00EB4D74">
        <w:rPr>
          <w:rFonts w:ascii="Tahoma" w:hAnsi="Tahoma" w:cs="Tahoma"/>
          <w:sz w:val="18"/>
          <w:lang w:val="pt-BR"/>
        </w:rPr>
        <w:t>Open Value Subscription [somente para pedidos com opção de compra (“buy-out”)]</w:t>
      </w:r>
    </w:p>
    <w:p w:rsidR="008B1196" w:rsidRPr="00EB4D74" w:rsidRDefault="008B1196" w:rsidP="008B1196">
      <w:pPr>
        <w:pStyle w:val="AppendixBulletIndent"/>
        <w:numPr>
          <w:ilvl w:val="0"/>
          <w:numId w:val="32"/>
        </w:numPr>
        <w:tabs>
          <w:tab w:val="left" w:pos="144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32"/>
        </w:numPr>
        <w:tabs>
          <w:tab w:val="left" w:pos="144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32"/>
        </w:numPr>
        <w:tabs>
          <w:tab w:val="left" w:pos="1440"/>
        </w:tabs>
        <w:spacing w:after="60"/>
        <w:ind w:left="1440" w:right="720"/>
        <w:rPr>
          <w:rFonts w:ascii="Tahoma" w:hAnsi="Tahoma" w:cs="Tahoma"/>
          <w:lang w:val="it-IT"/>
        </w:rPr>
      </w:pPr>
      <w:r w:rsidRPr="00EB4D74">
        <w:rPr>
          <w:rFonts w:ascii="Tahoma" w:hAnsi="Tahoma" w:cs="Tahoma"/>
          <w:sz w:val="18"/>
          <w:lang w:val="pt-BR"/>
        </w:rPr>
        <w:t>Contrato School (somente para pedidos com opção de compra (“buy-out”))</w:t>
      </w:r>
    </w:p>
    <w:p w:rsidR="008B1196" w:rsidRPr="00EB4D74" w:rsidRDefault="008B1196" w:rsidP="008B1196">
      <w:pPr>
        <w:pStyle w:val="AppendixBulletIndent"/>
        <w:numPr>
          <w:ilvl w:val="0"/>
          <w:numId w:val="32"/>
        </w:numPr>
        <w:tabs>
          <w:tab w:val="left" w:pos="1440"/>
        </w:tabs>
        <w:spacing w:after="60"/>
        <w:ind w:left="1440" w:right="720"/>
        <w:rPr>
          <w:rFonts w:ascii="Tahoma" w:hAnsi="Tahoma" w:cs="Tahoma"/>
        </w:rPr>
      </w:pPr>
      <w:r w:rsidRPr="00EB4D74">
        <w:rPr>
          <w:rFonts w:ascii="Tahoma" w:hAnsi="Tahoma" w:cs="Tahoma"/>
          <w:sz w:val="18"/>
          <w:lang w:val="pt-BR"/>
        </w:rPr>
        <w:t>EES (somente para pedidos com opção de compra (“buy-out”))</w:t>
      </w:r>
    </w:p>
    <w:p w:rsidR="008B1196" w:rsidRPr="00EB4D74" w:rsidRDefault="008B1196" w:rsidP="008B1196">
      <w:pPr>
        <w:pStyle w:val="AppendixBulletIndent"/>
        <w:numPr>
          <w:ilvl w:val="0"/>
          <w:numId w:val="32"/>
        </w:numPr>
        <w:tabs>
          <w:tab w:val="left" w:pos="1440"/>
        </w:tabs>
        <w:spacing w:after="60"/>
        <w:ind w:left="1440" w:right="540"/>
        <w:rPr>
          <w:rFonts w:ascii="Tahoma" w:hAnsi="Tahoma" w:cs="Tahoma"/>
        </w:rPr>
      </w:pPr>
      <w:r w:rsidRPr="00EB4D74">
        <w:rPr>
          <w:rFonts w:ascii="Tahoma" w:hAnsi="Tahoma" w:cs="Tahoma"/>
          <w:sz w:val="18"/>
          <w:lang w:val="pt-BR"/>
        </w:rPr>
        <w:t>Contrato Enterprise Subscription (somente para pedidos com opção de compra (“buy-out”))</w:t>
      </w:r>
    </w:p>
    <w:p w:rsidR="008B1196" w:rsidRPr="00EB4D74" w:rsidRDefault="008B1196" w:rsidP="008B1196">
      <w:pPr>
        <w:pStyle w:val="AppendixIndent"/>
        <w:spacing w:before="0"/>
        <w:ind w:left="0" w:right="720"/>
        <w:rPr>
          <w:rFonts w:ascii="Tahoma" w:hAnsi="Tahoma" w:cs="Tahoma"/>
          <w:sz w:val="16"/>
          <w:szCs w:val="16"/>
        </w:rPr>
      </w:pPr>
    </w:p>
    <w:p w:rsidR="008B1196" w:rsidRPr="00EB4D74" w:rsidRDefault="008B1196" w:rsidP="008B1196">
      <w:pPr>
        <w:pStyle w:val="AppendixIndent"/>
        <w:ind w:left="0" w:right="720"/>
        <w:rPr>
          <w:rFonts w:ascii="Tahoma" w:hAnsi="Tahoma" w:cs="Tahoma"/>
          <w:lang w:val="it-IT"/>
        </w:rPr>
      </w:pPr>
      <w:r w:rsidRPr="00EB4D74">
        <w:rPr>
          <w:rFonts w:ascii="Tahoma" w:hAnsi="Tahoma" w:cs="Tahoma"/>
          <w:sz w:val="18"/>
          <w:lang w:val="pt-BR"/>
        </w:rPr>
        <w:t>O cliente deverá ter uma licença básica de sistema operacional de desktop qualificada para poder adquirir a licença de Atualização de Sistema Operacional Windows Desktop. Consulte a seção sobre produtos de sistema para obter uma lista dos sistemas operacionais de desktop qualificados. Essa lista varia conforme o programa e as circunstâncias do pedido.</w:t>
      </w:r>
    </w:p>
    <w:p w:rsidR="008B1196" w:rsidRPr="00EB4D74" w:rsidRDefault="008B1196" w:rsidP="008B1196">
      <w:pPr>
        <w:pStyle w:val="Heading2"/>
        <w:ind w:left="0" w:right="720"/>
        <w:rPr>
          <w:rFonts w:ascii="Tahoma" w:hAnsi="Tahoma" w:cs="Tahoma"/>
          <w:b w:val="0"/>
          <w:sz w:val="12"/>
          <w:szCs w:val="12"/>
          <w:lang w:val="it-IT"/>
        </w:rPr>
      </w:pPr>
    </w:p>
    <w:p w:rsidR="008B1196" w:rsidRPr="00EB4D74" w:rsidRDefault="008B1196" w:rsidP="008B1196">
      <w:pPr>
        <w:pStyle w:val="Heading2"/>
        <w:ind w:left="0" w:right="720"/>
        <w:rPr>
          <w:rFonts w:ascii="Tahoma" w:hAnsi="Tahoma" w:cs="Tahoma"/>
          <w:b w:val="0"/>
          <w:sz w:val="12"/>
          <w:szCs w:val="12"/>
          <w:lang w:val="it-IT"/>
        </w:rPr>
      </w:pPr>
      <w:bookmarkStart w:id="777" w:name="_Toc323819654"/>
    </w:p>
    <w:p w:rsidR="008B1196" w:rsidRPr="00EB4D74" w:rsidRDefault="008B1196" w:rsidP="008B1196">
      <w:pPr>
        <w:pStyle w:val="Heading2"/>
        <w:ind w:left="0" w:right="720"/>
        <w:rPr>
          <w:rFonts w:ascii="Tahoma" w:hAnsi="Tahoma" w:cs="Tahoma"/>
          <w:lang w:val="it-IT"/>
        </w:rPr>
      </w:pPr>
      <w:bookmarkStart w:id="778" w:name="_Toc336338205"/>
      <w:bookmarkStart w:id="779" w:name="_Toc342914842"/>
      <w:bookmarkEnd w:id="777"/>
      <w:bookmarkEnd w:id="778"/>
      <w:r w:rsidRPr="00EB4D74">
        <w:rPr>
          <w:rFonts w:ascii="Tahoma" w:hAnsi="Tahoma" w:cs="Tahoma"/>
          <w:lang w:val="pt-BR"/>
        </w:rPr>
        <w:t>Atualização e Software Assurance</w:t>
      </w:r>
      <w:bookmarkEnd w:id="779"/>
    </w:p>
    <w:p w:rsidR="008B1196" w:rsidRPr="00EB4D74" w:rsidRDefault="008B1196" w:rsidP="008B1196">
      <w:pPr>
        <w:ind w:right="720"/>
        <w:rPr>
          <w:rFonts w:cs="Tahoma"/>
          <w:lang w:val="it-IT"/>
        </w:rPr>
      </w:pPr>
    </w:p>
    <w:p w:rsidR="008B1196" w:rsidRPr="00EB4D74" w:rsidRDefault="008B1196" w:rsidP="008B1196">
      <w:pPr>
        <w:pStyle w:val="AppendixIndent"/>
        <w:ind w:left="0" w:right="720"/>
        <w:rPr>
          <w:rFonts w:ascii="Tahoma" w:hAnsi="Tahoma" w:cs="Tahoma"/>
        </w:rPr>
      </w:pPr>
      <w:r w:rsidRPr="00EB4D74">
        <w:rPr>
          <w:rFonts w:ascii="Tahoma" w:hAnsi="Tahoma" w:cs="Tahoma"/>
          <w:sz w:val="18"/>
          <w:lang w:val="pt-BR"/>
        </w:rPr>
        <w:t>Este tipo de produto está disponível somente para o Sistema Operacional Windows Desktop, não é específico à versão e permite que os clientes adquiram a Atualização e o Software Assurance para o sistema operacional de desktop ao mesmo tempo. Estão disponíveis nos seguintes programas:</w:t>
      </w:r>
    </w:p>
    <w:p w:rsidR="008B1196" w:rsidRPr="00EB4D74" w:rsidRDefault="008B1196" w:rsidP="008B1196">
      <w:pPr>
        <w:pStyle w:val="AppendixIndent"/>
        <w:spacing w:before="0"/>
        <w:ind w:left="0" w:right="720"/>
        <w:rPr>
          <w:rFonts w:ascii="Tahoma" w:hAnsi="Tahoma" w:cs="Tahoma"/>
          <w:sz w:val="16"/>
          <w:szCs w:val="16"/>
        </w:rPr>
      </w:pP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Licença Open</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Open Value</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Open Value Subscription</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Contrato School</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ESS</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Contrato Enterprise</w:t>
      </w:r>
    </w:p>
    <w:p w:rsidR="008B1196" w:rsidRPr="00EB4D74" w:rsidRDefault="008B1196" w:rsidP="008B1196">
      <w:pPr>
        <w:pStyle w:val="AppendixBulletIndent"/>
        <w:numPr>
          <w:ilvl w:val="0"/>
          <w:numId w:val="33"/>
        </w:numPr>
        <w:tabs>
          <w:tab w:val="clear" w:pos="360"/>
          <w:tab w:val="num" w:pos="1440"/>
        </w:tabs>
        <w:spacing w:after="60"/>
        <w:ind w:left="1440" w:right="720"/>
        <w:rPr>
          <w:rFonts w:ascii="Tahoma" w:hAnsi="Tahoma" w:cs="Tahoma"/>
        </w:rPr>
      </w:pPr>
      <w:r w:rsidRPr="00EB4D74">
        <w:rPr>
          <w:rFonts w:ascii="Tahoma" w:hAnsi="Tahoma" w:cs="Tahoma"/>
          <w:sz w:val="18"/>
          <w:lang w:val="pt-BR"/>
        </w:rPr>
        <w:t>Contrato Enterprise Subscription</w:t>
      </w:r>
    </w:p>
    <w:p w:rsidR="008B1196" w:rsidRPr="00EB4D74" w:rsidRDefault="008B1196" w:rsidP="008B1196">
      <w:pPr>
        <w:pStyle w:val="AppendixIndent"/>
        <w:spacing w:before="0"/>
        <w:ind w:left="0" w:right="720"/>
        <w:rPr>
          <w:rFonts w:ascii="Tahoma" w:hAnsi="Tahoma" w:cs="Tahoma"/>
          <w:sz w:val="16"/>
          <w:szCs w:val="16"/>
        </w:rPr>
      </w:pPr>
    </w:p>
    <w:p w:rsidR="008B1196" w:rsidRPr="00EB4D74" w:rsidRDefault="008B1196" w:rsidP="008B1196">
      <w:pPr>
        <w:pStyle w:val="AppendixIndent"/>
        <w:spacing w:before="0"/>
        <w:ind w:left="0"/>
        <w:rPr>
          <w:rFonts w:ascii="Tahoma" w:hAnsi="Tahoma" w:cs="Tahoma"/>
          <w:lang w:val="it-IT"/>
        </w:rPr>
      </w:pPr>
      <w:r w:rsidRPr="00EB4D74">
        <w:rPr>
          <w:rFonts w:ascii="Tahoma" w:hAnsi="Tahoma" w:cs="Tahoma"/>
          <w:sz w:val="18"/>
          <w:lang w:val="pt-BR"/>
        </w:rPr>
        <w:t>O cliente deverá ter a licença básica do sistema operacional de desktop qualificada para poder adquirir a Atualização. O Software Assurance deverá ser adquirido por ocasião da aquisição da Atualização correspondente, exceto no caso de programas de assinatura, quando a atualização deverá ser comprada na renovação do prazo de um Software Assurance existente.</w:t>
      </w:r>
    </w:p>
    <w:p w:rsidR="008B1196" w:rsidRPr="00EB4D74" w:rsidRDefault="008B1196" w:rsidP="008B1196">
      <w:pPr>
        <w:pStyle w:val="AppendixIndent"/>
        <w:spacing w:before="0" w:line="160" w:lineRule="exact"/>
        <w:ind w:left="0" w:right="720"/>
        <w:rPr>
          <w:rFonts w:ascii="Tahoma" w:hAnsi="Tahoma" w:cs="Tahoma"/>
          <w:sz w:val="16"/>
          <w:szCs w:val="16"/>
          <w:lang w:val="it-IT"/>
        </w:rPr>
      </w:pPr>
    </w:p>
    <w:p w:rsidR="008B1196" w:rsidRPr="00EB4D74" w:rsidRDefault="008B1196" w:rsidP="008B1196">
      <w:pPr>
        <w:pStyle w:val="AppendixIndent"/>
        <w:spacing w:before="0" w:line="160" w:lineRule="exact"/>
        <w:ind w:left="0" w:right="720"/>
        <w:rPr>
          <w:rFonts w:ascii="Tahoma" w:hAnsi="Tahoma" w:cs="Tahoma"/>
          <w:sz w:val="16"/>
          <w:szCs w:val="16"/>
          <w:lang w:val="it-IT"/>
        </w:rPr>
      </w:pPr>
    </w:p>
    <w:p w:rsidR="008B1196" w:rsidRPr="00EB4D74" w:rsidRDefault="008B1196" w:rsidP="008B1196">
      <w:pPr>
        <w:pStyle w:val="Heading2"/>
        <w:ind w:left="0" w:right="720"/>
        <w:rPr>
          <w:rFonts w:ascii="Tahoma" w:hAnsi="Tahoma" w:cs="Tahoma"/>
        </w:rPr>
      </w:pPr>
      <w:bookmarkStart w:id="780" w:name="_Toc323819656"/>
      <w:bookmarkStart w:id="781" w:name="_Toc336338206"/>
      <w:bookmarkStart w:id="782" w:name="_Toc342914843"/>
      <w:bookmarkEnd w:id="780"/>
      <w:bookmarkEnd w:id="781"/>
      <w:r w:rsidRPr="00EB4D74">
        <w:rPr>
          <w:rFonts w:ascii="Tahoma" w:hAnsi="Tahoma" w:cs="Tahoma"/>
          <w:lang w:val="pt-BR"/>
        </w:rPr>
        <w:t>Licenças Work-at-Home</w:t>
      </w:r>
      <w:bookmarkEnd w:id="782"/>
    </w:p>
    <w:p w:rsidR="008B1196" w:rsidRPr="00EB4D74" w:rsidRDefault="008B1196" w:rsidP="008B1196">
      <w:pPr>
        <w:ind w:right="720"/>
        <w:rPr>
          <w:rFonts w:cs="Tahoma"/>
          <w:sz w:val="16"/>
          <w:szCs w:val="20"/>
        </w:rPr>
      </w:pPr>
    </w:p>
    <w:p w:rsidR="008B1196" w:rsidRPr="00EB4D74" w:rsidRDefault="008B1196" w:rsidP="008B1196">
      <w:pPr>
        <w:pStyle w:val="AppendixIndent"/>
        <w:ind w:left="0" w:right="720"/>
        <w:rPr>
          <w:rFonts w:ascii="Tahoma" w:hAnsi="Tahoma" w:cs="Tahoma"/>
        </w:rPr>
      </w:pPr>
      <w:r w:rsidRPr="00EB4D74">
        <w:rPr>
          <w:rFonts w:ascii="Tahoma" w:hAnsi="Tahoma" w:cs="Tahoma"/>
          <w:sz w:val="18"/>
          <w:lang w:val="pt-BR"/>
        </w:rPr>
        <w:t>Estão disponíveis nos seguintes programas:</w:t>
      </w:r>
    </w:p>
    <w:p w:rsidR="008B1196" w:rsidRPr="00EB4D74" w:rsidRDefault="008B1196" w:rsidP="008B1196">
      <w:pPr>
        <w:pStyle w:val="AppendixBulletIndent"/>
        <w:ind w:left="0" w:right="720" w:firstLine="0"/>
        <w:rPr>
          <w:rFonts w:ascii="Tahoma" w:hAnsi="Tahoma" w:cs="Tahoma"/>
          <w:sz w:val="16"/>
          <w:szCs w:val="16"/>
        </w:rPr>
      </w:pPr>
    </w:p>
    <w:p w:rsidR="008B1196" w:rsidRPr="00EB4D74" w:rsidRDefault="008B1196" w:rsidP="008B1196">
      <w:pPr>
        <w:pStyle w:val="AppendixBulletIndent"/>
        <w:numPr>
          <w:ilvl w:val="0"/>
          <w:numId w:val="35"/>
        </w:numPr>
        <w:tabs>
          <w:tab w:val="clear" w:pos="360"/>
          <w:tab w:val="num" w:pos="1440"/>
        </w:tabs>
        <w:spacing w:after="60"/>
        <w:ind w:left="1440" w:right="720"/>
        <w:rPr>
          <w:rFonts w:ascii="Tahoma" w:hAnsi="Tahoma" w:cs="Tahoma"/>
        </w:rPr>
      </w:pPr>
      <w:r w:rsidRPr="00EB4D74">
        <w:rPr>
          <w:rFonts w:ascii="Tahoma" w:hAnsi="Tahoma" w:cs="Tahoma"/>
          <w:sz w:val="18"/>
          <w:lang w:val="pt-BR"/>
        </w:rPr>
        <w:t>Select</w:t>
      </w:r>
    </w:p>
    <w:p w:rsidR="008B1196" w:rsidRPr="00EB4D74" w:rsidRDefault="008B1196" w:rsidP="008B1196">
      <w:pPr>
        <w:pStyle w:val="AppendixBulletIndent"/>
        <w:numPr>
          <w:ilvl w:val="0"/>
          <w:numId w:val="35"/>
        </w:numPr>
        <w:tabs>
          <w:tab w:val="clear" w:pos="360"/>
          <w:tab w:val="num" w:pos="1440"/>
        </w:tabs>
        <w:spacing w:after="60"/>
        <w:ind w:left="1440" w:right="720"/>
        <w:rPr>
          <w:rFonts w:ascii="Tahoma" w:hAnsi="Tahoma" w:cs="Tahoma"/>
        </w:rPr>
      </w:pPr>
      <w:r w:rsidRPr="00EB4D74">
        <w:rPr>
          <w:rFonts w:ascii="Tahoma" w:hAnsi="Tahoma" w:cs="Tahoma"/>
          <w:sz w:val="18"/>
          <w:lang w:val="pt-BR"/>
        </w:rPr>
        <w:t>Select Plus</w:t>
      </w:r>
    </w:p>
    <w:p w:rsidR="008B1196" w:rsidRPr="00EB4D74" w:rsidRDefault="008B1196" w:rsidP="008B1196">
      <w:pPr>
        <w:pStyle w:val="AppendixBulletIndent"/>
        <w:numPr>
          <w:ilvl w:val="0"/>
          <w:numId w:val="35"/>
        </w:numPr>
        <w:tabs>
          <w:tab w:val="clear" w:pos="360"/>
          <w:tab w:val="num" w:pos="1440"/>
        </w:tabs>
        <w:spacing w:after="60"/>
        <w:ind w:left="1440" w:right="720"/>
        <w:rPr>
          <w:rFonts w:ascii="Tahoma" w:hAnsi="Tahoma" w:cs="Tahoma"/>
        </w:rPr>
      </w:pPr>
      <w:r w:rsidRPr="00EB4D74">
        <w:rPr>
          <w:rFonts w:ascii="Tahoma" w:hAnsi="Tahoma" w:cs="Tahoma"/>
          <w:sz w:val="18"/>
          <w:lang w:val="pt-BR"/>
        </w:rPr>
        <w:t>Contrato Enterprise</w:t>
      </w:r>
    </w:p>
    <w:p w:rsidR="008B1196" w:rsidRPr="00EB4D74" w:rsidRDefault="008B1196" w:rsidP="008B1196">
      <w:pPr>
        <w:spacing w:line="200" w:lineRule="exact"/>
        <w:rPr>
          <w:rFonts w:cs="Tahoma"/>
          <w:lang w:val="it-IT"/>
        </w:rPr>
      </w:pPr>
      <w:r w:rsidRPr="00EB4D74">
        <w:rPr>
          <w:rFonts w:cs="Tahoma"/>
          <w:lang w:val="pt-BR"/>
        </w:rPr>
        <w:t>Uma licença Work-at-Home só poderá ser adquirida em conjunto com um produto que ela estiver licenciada para executar em um desktop At Work. A oferta Work-at-Home não é uma oferta de plano de compra para funcionários. O cliente da Licença Select, do Select Plus ou do Contrato Enterprise (não o funcionário) detém os direitos da licença Work-at-Home. Para os direitos da licença Work-at-Home disponíveis para clientes qualificados da instituição acadêmica, consulte o Contrato/Registro.</w:t>
      </w:r>
    </w:p>
    <w:p w:rsidR="008B1196" w:rsidRPr="00EB4D74" w:rsidRDefault="008B1196" w:rsidP="008B1196">
      <w:pPr>
        <w:pStyle w:val="Heading1"/>
        <w:spacing w:after="120"/>
      </w:pPr>
      <w:bookmarkStart w:id="783" w:name="_Section_5_–"/>
      <w:bookmarkStart w:id="784" w:name="_Seção_5_–"/>
      <w:bookmarkStart w:id="785" w:name="_Seção_5_–_1"/>
      <w:bookmarkStart w:id="786" w:name="_Toc342914844"/>
      <w:bookmarkEnd w:id="783"/>
      <w:bookmarkEnd w:id="784"/>
      <w:bookmarkEnd w:id="785"/>
      <w:r w:rsidRPr="00EB4D74">
        <w:lastRenderedPageBreak/>
        <w:t>Seção 5 – Termos de PAGAMENTO E PREÇOS DE Serviços Online</w:t>
      </w:r>
      <w:bookmarkEnd w:id="786"/>
    </w:p>
    <w:p w:rsidR="008B1196" w:rsidRPr="00EB4D74" w:rsidRDefault="008B1196" w:rsidP="008B1196">
      <w:pPr>
        <w:outlineLvl w:val="2"/>
        <w:rPr>
          <w:rFonts w:cs="Tahoma"/>
          <w:sz w:val="24"/>
          <w:szCs w:val="24"/>
          <w:lang w:val="it-IT"/>
        </w:rPr>
      </w:pPr>
    </w:p>
    <w:p w:rsidR="008B1196" w:rsidRPr="00EB4D74" w:rsidRDefault="008B1196" w:rsidP="008B1196">
      <w:pPr>
        <w:outlineLvl w:val="2"/>
        <w:rPr>
          <w:rFonts w:cs="Tahoma"/>
        </w:rPr>
      </w:pPr>
      <w:r w:rsidRPr="00EB4D74">
        <w:rPr>
          <w:rFonts w:cs="Tahoma"/>
          <w:szCs w:val="18"/>
          <w:lang w:val="pt-BR"/>
        </w:rPr>
        <w:t xml:space="preserve">Os Serviços Online são produtos que incluem software com serviços disponíveis em uma assinatura baseada conforme descrito nos Direitos de Uso de Produto e fornecidos online. </w:t>
      </w:r>
      <w:r w:rsidRPr="00EB4D74">
        <w:rPr>
          <w:rFonts w:cs="Tahoma"/>
          <w:lang w:val="pt-BR"/>
        </w:rPr>
        <w:t>Alguns contratos de licença por volume direcionam os clientes para a Lista de Produtos para obter uma lista dos “Serviços Online” disponíveis. Para fins dessa referência, os Serviços Online incluem:</w:t>
      </w:r>
    </w:p>
    <w:p w:rsidR="008B1196" w:rsidRPr="00EB4D74" w:rsidRDefault="008B1196" w:rsidP="008B1196">
      <w:pPr>
        <w:outlineLvl w:val="2"/>
        <w:rPr>
          <w:rFonts w:cs="Tahoma"/>
        </w:rPr>
      </w:pPr>
    </w:p>
    <w:p w:rsidR="008B1196" w:rsidRPr="00EB4D74" w:rsidRDefault="008B1196" w:rsidP="008B1196">
      <w:pPr>
        <w:numPr>
          <w:ilvl w:val="0"/>
          <w:numId w:val="39"/>
        </w:numPr>
        <w:spacing w:after="60"/>
        <w:rPr>
          <w:rFonts w:cs="Tahoma"/>
        </w:rPr>
      </w:pPr>
      <w:r w:rsidRPr="00EB4D74">
        <w:rPr>
          <w:rFonts w:cs="Tahoma"/>
          <w:color w:val="000000"/>
          <w:lang w:val="pt-BR"/>
        </w:rPr>
        <w:t>Dynamics CRM Online</w:t>
      </w:r>
    </w:p>
    <w:p w:rsidR="008B1196" w:rsidRPr="00EB4D74" w:rsidRDefault="008B1196" w:rsidP="008B1196">
      <w:pPr>
        <w:numPr>
          <w:ilvl w:val="0"/>
          <w:numId w:val="39"/>
        </w:numPr>
        <w:spacing w:after="60"/>
        <w:rPr>
          <w:rFonts w:cs="Tahoma"/>
        </w:rPr>
      </w:pPr>
      <w:r w:rsidRPr="00EB4D74">
        <w:rPr>
          <w:rFonts w:cs="Tahoma"/>
          <w:color w:val="000000"/>
          <w:lang w:val="pt-BR"/>
        </w:rPr>
        <w:t>Arquivamento do Exchange Online</w:t>
      </w:r>
    </w:p>
    <w:p w:rsidR="008B1196" w:rsidRPr="00EB4D74" w:rsidRDefault="008B1196" w:rsidP="008B1196">
      <w:pPr>
        <w:numPr>
          <w:ilvl w:val="0"/>
          <w:numId w:val="39"/>
        </w:numPr>
        <w:spacing w:after="60"/>
        <w:rPr>
          <w:rFonts w:cs="Tahoma"/>
        </w:rPr>
      </w:pPr>
      <w:r w:rsidRPr="00EB4D74">
        <w:rPr>
          <w:rFonts w:cs="Tahoma"/>
          <w:color w:val="000000"/>
          <w:lang w:val="pt-BR"/>
        </w:rPr>
        <w:t>Quiosque do Exchange Online, Plano 1 e Plano 2</w:t>
      </w:r>
    </w:p>
    <w:p w:rsidR="008B1196" w:rsidRPr="00EB4D74" w:rsidRDefault="008B1196" w:rsidP="008B1196">
      <w:pPr>
        <w:numPr>
          <w:ilvl w:val="0"/>
          <w:numId w:val="39"/>
        </w:numPr>
        <w:spacing w:after="60"/>
        <w:rPr>
          <w:rFonts w:cs="Tahoma"/>
        </w:rPr>
      </w:pPr>
      <w:r w:rsidRPr="00EB4D74">
        <w:rPr>
          <w:rFonts w:cs="Tahoma"/>
          <w:color w:val="000000"/>
          <w:lang w:val="pt-BR"/>
        </w:rPr>
        <w:t>Lync Online Planos 1, 2 e 3</w:t>
      </w:r>
    </w:p>
    <w:p w:rsidR="008B1196" w:rsidRPr="00EB4D74" w:rsidRDefault="008B1196" w:rsidP="008B1196">
      <w:pPr>
        <w:numPr>
          <w:ilvl w:val="0"/>
          <w:numId w:val="39"/>
        </w:numPr>
        <w:spacing w:after="60"/>
        <w:rPr>
          <w:rFonts w:cs="Tahoma"/>
        </w:rPr>
      </w:pPr>
      <w:r w:rsidRPr="00EB4D74">
        <w:rPr>
          <w:rFonts w:cs="Tahoma"/>
          <w:color w:val="000000"/>
          <w:lang w:val="pt-BR"/>
        </w:rPr>
        <w:t>Microsoft Exchange Hosted Continuity</w:t>
      </w:r>
    </w:p>
    <w:p w:rsidR="008B1196" w:rsidRPr="00EB4D74" w:rsidRDefault="008B1196" w:rsidP="008B1196">
      <w:pPr>
        <w:numPr>
          <w:ilvl w:val="0"/>
          <w:numId w:val="39"/>
        </w:numPr>
        <w:spacing w:after="60"/>
        <w:rPr>
          <w:rFonts w:cs="Tahoma"/>
        </w:rPr>
      </w:pPr>
      <w:r w:rsidRPr="00EB4D74">
        <w:rPr>
          <w:rFonts w:cs="Tahoma"/>
          <w:color w:val="000000"/>
          <w:lang w:val="pt-BR"/>
        </w:rPr>
        <w:t>Microsoft Exchange Hosted Encryption</w:t>
      </w:r>
    </w:p>
    <w:p w:rsidR="008B1196" w:rsidRPr="00EB4D74" w:rsidRDefault="008B1196" w:rsidP="008B1196">
      <w:pPr>
        <w:numPr>
          <w:ilvl w:val="0"/>
          <w:numId w:val="39"/>
        </w:numPr>
        <w:spacing w:after="60"/>
        <w:rPr>
          <w:rFonts w:cs="Tahoma"/>
          <w:lang w:val="it-IT"/>
        </w:rPr>
      </w:pPr>
      <w:r w:rsidRPr="00EB4D74">
        <w:rPr>
          <w:rFonts w:cs="Tahoma"/>
          <w:color w:val="000000"/>
          <w:lang w:val="pt-BR"/>
        </w:rPr>
        <w:t>Office 365 Plano K1, K1, E1, E2, E3 e E4</w:t>
      </w:r>
    </w:p>
    <w:p w:rsidR="008B1196" w:rsidRPr="00EB4D74" w:rsidRDefault="008B1196" w:rsidP="008B1196">
      <w:pPr>
        <w:numPr>
          <w:ilvl w:val="0"/>
          <w:numId w:val="39"/>
        </w:numPr>
        <w:spacing w:after="60"/>
        <w:rPr>
          <w:rFonts w:cs="Tahoma"/>
        </w:rPr>
      </w:pPr>
      <w:r w:rsidRPr="00EB4D74">
        <w:rPr>
          <w:rFonts w:cs="Tahoma"/>
          <w:color w:val="000000"/>
          <w:lang w:val="pt-BR"/>
        </w:rPr>
        <w:t>O Lync Server Public Instant Messaging Connectivity com Serviço de Mensagens Instantâneas AOL (America Online) e Serviço Windows Live Messenger</w:t>
      </w:r>
    </w:p>
    <w:p w:rsidR="008B1196" w:rsidRPr="00EB4D74" w:rsidRDefault="008B1196" w:rsidP="008B1196">
      <w:pPr>
        <w:numPr>
          <w:ilvl w:val="0"/>
          <w:numId w:val="39"/>
        </w:numPr>
        <w:spacing w:after="60"/>
        <w:rPr>
          <w:rFonts w:cs="Tahoma"/>
        </w:rPr>
      </w:pPr>
      <w:r w:rsidRPr="00EB4D74">
        <w:rPr>
          <w:rFonts w:cs="Tahoma"/>
          <w:color w:val="000000"/>
          <w:lang w:val="pt-BR"/>
        </w:rPr>
        <w:t>Lync Server Public Instant Messaging Connectivity com Serviço de Mensagens Instantâneas Yahoo</w:t>
      </w:r>
    </w:p>
    <w:p w:rsidR="008B1196" w:rsidRPr="00EB4D74" w:rsidRDefault="008B1196" w:rsidP="008B1196">
      <w:pPr>
        <w:numPr>
          <w:ilvl w:val="0"/>
          <w:numId w:val="39"/>
        </w:numPr>
        <w:spacing w:after="60"/>
        <w:rPr>
          <w:rFonts w:cs="Tahoma"/>
        </w:rPr>
      </w:pPr>
      <w:r w:rsidRPr="00EB4D74">
        <w:rPr>
          <w:rFonts w:cs="Tahoma"/>
          <w:color w:val="000000"/>
          <w:lang w:val="pt-BR"/>
        </w:rPr>
        <w:t>Office Groove Enterprise Services</w:t>
      </w:r>
    </w:p>
    <w:p w:rsidR="008B1196" w:rsidRPr="00EB4D74" w:rsidRDefault="008B1196" w:rsidP="008B1196">
      <w:pPr>
        <w:numPr>
          <w:ilvl w:val="0"/>
          <w:numId w:val="39"/>
        </w:numPr>
        <w:spacing w:after="60"/>
        <w:rPr>
          <w:rFonts w:cs="Tahoma"/>
        </w:rPr>
      </w:pPr>
      <w:r w:rsidRPr="00EB4D74">
        <w:rPr>
          <w:rFonts w:cs="Tahoma"/>
          <w:color w:val="000000"/>
          <w:lang w:val="pt-BR"/>
        </w:rPr>
        <w:t>Assinatura do Office Professional Plus</w:t>
      </w:r>
    </w:p>
    <w:p w:rsidR="008B1196" w:rsidRPr="00EB4D74" w:rsidRDefault="008B1196" w:rsidP="008B1196">
      <w:pPr>
        <w:numPr>
          <w:ilvl w:val="0"/>
          <w:numId w:val="39"/>
        </w:numPr>
        <w:spacing w:after="60"/>
        <w:rPr>
          <w:rFonts w:cs="Tahoma"/>
        </w:rPr>
      </w:pPr>
      <w:r w:rsidRPr="00EB4D74">
        <w:rPr>
          <w:rFonts w:cs="Tahoma"/>
          <w:color w:val="000000"/>
          <w:lang w:val="pt-BR"/>
        </w:rPr>
        <w:t>Office Live Meeting Standard e Professional Editions</w:t>
      </w:r>
    </w:p>
    <w:p w:rsidR="008B1196" w:rsidRPr="00EB4D74" w:rsidRDefault="008B1196" w:rsidP="008B1196">
      <w:pPr>
        <w:numPr>
          <w:ilvl w:val="0"/>
          <w:numId w:val="39"/>
        </w:numPr>
        <w:spacing w:after="60"/>
        <w:rPr>
          <w:rFonts w:cs="Tahoma"/>
        </w:rPr>
      </w:pPr>
      <w:r w:rsidRPr="00EB4D74">
        <w:rPr>
          <w:rFonts w:cs="Tahoma"/>
          <w:color w:val="000000"/>
          <w:lang w:val="pt-BR"/>
        </w:rPr>
        <w:t>SharePoint Online Plan 1 e Plano 2</w:t>
      </w:r>
    </w:p>
    <w:p w:rsidR="008B1196" w:rsidRPr="00EB4D74" w:rsidRDefault="008B1196" w:rsidP="008B1196">
      <w:pPr>
        <w:numPr>
          <w:ilvl w:val="0"/>
          <w:numId w:val="39"/>
        </w:numPr>
        <w:spacing w:after="60"/>
        <w:rPr>
          <w:rFonts w:cs="Tahoma"/>
        </w:rPr>
      </w:pPr>
      <w:r w:rsidRPr="00EB4D74">
        <w:rPr>
          <w:rFonts w:cs="Tahoma"/>
          <w:color w:val="000000"/>
          <w:lang w:val="pt-BR"/>
        </w:rPr>
        <w:t>System Center Advisor</w:t>
      </w:r>
    </w:p>
    <w:p w:rsidR="008B1196" w:rsidRPr="00EB4D74" w:rsidRDefault="008B1196" w:rsidP="008B1196">
      <w:pPr>
        <w:numPr>
          <w:ilvl w:val="0"/>
          <w:numId w:val="39"/>
        </w:numPr>
        <w:spacing w:after="60"/>
        <w:rPr>
          <w:rFonts w:cs="Tahoma"/>
        </w:rPr>
      </w:pPr>
      <w:r w:rsidRPr="00EB4D74">
        <w:rPr>
          <w:rFonts w:cs="Tahoma"/>
          <w:color w:val="000000"/>
          <w:lang w:val="pt-BR"/>
        </w:rPr>
        <w:t>Serviços do Windows Azure</w:t>
      </w:r>
    </w:p>
    <w:p w:rsidR="008B1196" w:rsidRPr="00EB4D74" w:rsidRDefault="008B1196" w:rsidP="008B1196">
      <w:pPr>
        <w:numPr>
          <w:ilvl w:val="0"/>
          <w:numId w:val="39"/>
        </w:numPr>
        <w:spacing w:after="60"/>
        <w:rPr>
          <w:rFonts w:cs="Tahoma"/>
        </w:rPr>
      </w:pPr>
      <w:r w:rsidRPr="00EB4D74">
        <w:rPr>
          <w:rFonts w:cs="Tahoma"/>
          <w:color w:val="000000"/>
          <w:lang w:val="pt-BR"/>
        </w:rPr>
        <w:t>Windows Intune e Complemento do Windows Intune para System Center Configuration Manager e System Center Endpoint Protection</w:t>
      </w:r>
    </w:p>
    <w:p w:rsidR="008B1196" w:rsidRPr="00EB4D74" w:rsidRDefault="008B1196" w:rsidP="008B1196">
      <w:pPr>
        <w:spacing w:after="60"/>
        <w:rPr>
          <w:rFonts w:cs="Tahoma"/>
        </w:rPr>
      </w:pPr>
    </w:p>
    <w:p w:rsidR="008B1196" w:rsidRPr="00EB4D74" w:rsidRDefault="008B1196" w:rsidP="008B1196">
      <w:pPr>
        <w:outlineLvl w:val="2"/>
        <w:rPr>
          <w:rFonts w:cs="Tahoma"/>
        </w:rPr>
      </w:pPr>
      <w:r w:rsidRPr="00EB4D74">
        <w:rPr>
          <w:rFonts w:cs="Tahoma"/>
          <w:szCs w:val="18"/>
          <w:lang w:val="pt-BR"/>
        </w:rPr>
        <w:t xml:space="preserve">Existem outras ofertas além daquelas identificadas na seção de Serviços Online dos Direitos de Uso de Produto. </w:t>
      </w:r>
      <w:r w:rsidRPr="00EB4D74">
        <w:rPr>
          <w:rFonts w:cs="Tahoma"/>
          <w:lang w:val="pt-BR"/>
        </w:rPr>
        <w:t>As seções restantes desses “Termos de Preços e Pagamentos dos Serviços Online” se aplicam aos Serviços Online identificados por nome anteriormente e a essas outras ofertas.</w:t>
      </w:r>
    </w:p>
    <w:p w:rsidR="008B1196" w:rsidRPr="00EB4D74" w:rsidRDefault="008B1196" w:rsidP="008B1196">
      <w:pPr>
        <w:outlineLvl w:val="2"/>
        <w:rPr>
          <w:rFonts w:cs="Tahoma"/>
        </w:rPr>
      </w:pPr>
    </w:p>
    <w:p w:rsidR="008B1196" w:rsidRPr="00EB4D74" w:rsidRDefault="008B1196" w:rsidP="008B1196">
      <w:pPr>
        <w:outlineLvl w:val="2"/>
        <w:rPr>
          <w:rFonts w:cs="Tahoma"/>
        </w:rPr>
      </w:pPr>
    </w:p>
    <w:p w:rsidR="008B1196" w:rsidRPr="00EB4D74" w:rsidRDefault="008B1196" w:rsidP="008B1196">
      <w:pPr>
        <w:pStyle w:val="Heading2"/>
        <w:ind w:left="0"/>
        <w:rPr>
          <w:rFonts w:ascii="Tahoma" w:hAnsi="Tahoma" w:cs="Tahoma"/>
          <w:lang w:val="it-IT"/>
        </w:rPr>
      </w:pPr>
      <w:bookmarkStart w:id="787" w:name="_Toc336338208"/>
      <w:bookmarkStart w:id="788" w:name="_Toc342914845"/>
      <w:bookmarkEnd w:id="787"/>
      <w:r w:rsidRPr="00EB4D74">
        <w:rPr>
          <w:rFonts w:ascii="Tahoma" w:hAnsi="Tahoma" w:cs="Tahoma"/>
          <w:lang w:val="pt-BR"/>
        </w:rPr>
        <w:t>Prazo da assinatura de Serviços Online</w:t>
      </w:r>
      <w:bookmarkEnd w:id="788"/>
    </w:p>
    <w:p w:rsidR="008B1196" w:rsidRPr="00EB4D74" w:rsidRDefault="008B1196" w:rsidP="008B1196">
      <w:pPr>
        <w:outlineLvl w:val="2"/>
        <w:rPr>
          <w:rFonts w:cs="Tahoma"/>
          <w:lang w:val="it-IT"/>
        </w:rPr>
      </w:pPr>
    </w:p>
    <w:p w:rsidR="008B1196" w:rsidRPr="00EB4D74" w:rsidRDefault="008B1196" w:rsidP="008B1196">
      <w:pPr>
        <w:outlineLvl w:val="2"/>
        <w:rPr>
          <w:rFonts w:cs="Tahoma"/>
        </w:rPr>
      </w:pPr>
      <w:r w:rsidRPr="00EB4D74">
        <w:rPr>
          <w:rFonts w:cs="Tahoma"/>
          <w:szCs w:val="18"/>
          <w:lang w:val="pt-BR"/>
        </w:rPr>
        <w:t xml:space="preserve">A compra inicial de uma nova assinatura de serviços online determinará a duração do prazo da assinatura. </w:t>
      </w:r>
      <w:r w:rsidRPr="00EB4D74">
        <w:rPr>
          <w:rFonts w:cs="Tahoma"/>
          <w:lang w:val="pt-BR"/>
        </w:rPr>
        <w:t>Alguns serviços permitem ao cliente optar entre um prazo de assinatura de um ano ou uma assinatura que acaba na data de término do contrato ou registro do cliente (“coextensiva”) conforme indicado na tabela a seguir. O Select Plus não oferece a opção coextensiva, mas permite ao cliente optar pelos termos de assinatura, incluindo 1 ano, 3 anos ou para alinhar o segundo aniversário a partir da data de início do prazo. O prazo de assinatura de um ano pode não estar alinhado nem expirar na data de término do contrato do cliente. Se o prazo de assinatura de um ano se encerrar após o contrato, o cliente deverá ter um contrato de licenciamento por volume ativo para solicitar licenças adicionais ou renovar o serviço. Se o cliente fizer compras adicionais de um serviço, o prazo da assinatura da compra adicional deverá estar alinhado com o prazo da assinatura existente do cliente para o mesmo serviço. Se a questão do preço de pedidos adicionais de produtos ou serviços não estiver tratada no contrato existente do cliente, o preço que cobraremos da parte registrada para cobrança por quantidades adicionais de serviços será igual ao preço cobrado na compra inicial. Para informações específicas dos Serviços do Windows Azure, consulte a seção Serviços do Windows Azure abaixo.</w:t>
      </w:r>
    </w:p>
    <w:p w:rsidR="008B1196" w:rsidRDefault="008B1196" w:rsidP="008B1196">
      <w:pPr>
        <w:rPr>
          <w:rFonts w:cs="Tahoma"/>
        </w:rPr>
      </w:pPr>
    </w:p>
    <w:p w:rsidR="008B1196" w:rsidRPr="00EB4D74" w:rsidRDefault="008B1196" w:rsidP="008B1196">
      <w:pPr>
        <w:rPr>
          <w:rFonts w:cs="Tahoma"/>
        </w:rPr>
      </w:pPr>
    </w:p>
    <w:tbl>
      <w:tblPr>
        <w:tblW w:w="0" w:type="auto"/>
        <w:tblInd w:w="720" w:type="dxa"/>
        <w:tblCellMar>
          <w:left w:w="0" w:type="dxa"/>
          <w:right w:w="0" w:type="dxa"/>
        </w:tblCellMar>
        <w:tblLook w:val="04A0" w:firstRow="1" w:lastRow="0" w:firstColumn="1" w:lastColumn="0" w:noHBand="0" w:noVBand="1"/>
      </w:tblPr>
      <w:tblGrid>
        <w:gridCol w:w="4443"/>
        <w:gridCol w:w="4413"/>
      </w:tblGrid>
      <w:tr w:rsidR="008B1196" w:rsidRPr="00EB4D74" w:rsidTr="00EA30FC">
        <w:trPr>
          <w:trHeight w:val="515"/>
          <w:tblHeader/>
        </w:trPr>
        <w:tc>
          <w:tcPr>
            <w:tcW w:w="444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B1196" w:rsidRPr="00EB4D74" w:rsidRDefault="008B1196" w:rsidP="00EA30FC">
            <w:pPr>
              <w:jc w:val="center"/>
              <w:rPr>
                <w:rFonts w:eastAsia="Times New Roman" w:cs="Tahoma"/>
                <w:b/>
                <w:bCs/>
                <w:sz w:val="20"/>
                <w:szCs w:val="18"/>
                <w:lang w:val="it-IT"/>
              </w:rPr>
            </w:pPr>
            <w:r w:rsidRPr="00EB4D74">
              <w:rPr>
                <w:rFonts w:eastAsia="Times New Roman" w:cs="Tahoma"/>
                <w:b/>
                <w:bCs/>
                <w:sz w:val="20"/>
                <w:szCs w:val="18"/>
                <w:lang w:val="pt-BR"/>
              </w:rPr>
              <w:lastRenderedPageBreak/>
              <w:t>Serviços Online Disponíveis por um Ano ou Termo de Assinatura Coextensiva</w:t>
            </w:r>
          </w:p>
        </w:tc>
        <w:tc>
          <w:tcPr>
            <w:tcW w:w="4413"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B1196" w:rsidRPr="00EB4D74" w:rsidRDefault="008B1196" w:rsidP="00EA30FC">
            <w:pPr>
              <w:jc w:val="center"/>
              <w:rPr>
                <w:rFonts w:eastAsia="Times New Roman" w:cs="Tahoma"/>
                <w:b/>
                <w:bCs/>
                <w:sz w:val="20"/>
                <w:szCs w:val="18"/>
                <w:lang w:val="it-IT"/>
              </w:rPr>
            </w:pPr>
            <w:r w:rsidRPr="00EB4D74">
              <w:rPr>
                <w:rFonts w:eastAsia="Times New Roman" w:cs="Tahoma"/>
                <w:b/>
                <w:bCs/>
                <w:sz w:val="20"/>
                <w:szCs w:val="18"/>
                <w:lang w:val="pt-BR"/>
              </w:rPr>
              <w:t>Serviços Online Disponíveis Apenas para Termo de Assinatura Coextensiva</w:t>
            </w:r>
          </w:p>
        </w:tc>
      </w:tr>
      <w:tr w:rsidR="008B1196" w:rsidRPr="00EB4D74" w:rsidTr="00EA30FC">
        <w:trPr>
          <w:trHeight w:val="258"/>
        </w:trPr>
        <w:tc>
          <w:tcPr>
            <w:tcW w:w="444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numPr>
                <w:ilvl w:val="0"/>
                <w:numId w:val="40"/>
              </w:numPr>
              <w:spacing w:after="60"/>
              <w:ind w:left="720" w:right="259"/>
              <w:rPr>
                <w:rFonts w:cs="Tahoma"/>
              </w:rPr>
            </w:pPr>
            <w:r w:rsidRPr="00EB4D74">
              <w:rPr>
                <w:rFonts w:cs="Tahoma"/>
                <w:color w:val="000000"/>
                <w:lang w:val="pt-BR"/>
              </w:rPr>
              <w:t>Bing Maps Professional</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Forefront Online Protection for Exchange</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Forefront Protection 2010 for Exchange Server</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Forefront Protection 2010 for SharePoint</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Forefront Protection Suite</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Forefront Security for Office Communications Server</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Forefront Threat Management Gateway Web Protection Service</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O Lync Server Public Instant Messaging Connectivity com Serviço de Mensagens Instantâneas AOL (America Online) e Serviço Windows Live Messenger</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Lync Server Public Instant Messaging Connectivity com Serviço de Mensagens Instantâneas Yahoo</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Microsoft Exchange Hosted Encryption</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Microsoft Learning Solutions</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Office Groove Enterprise Services</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System Center 2012 Endpoint Protection</w:t>
            </w:r>
          </w:p>
          <w:p w:rsidR="008B1196" w:rsidRPr="00EB4D74" w:rsidRDefault="008B1196" w:rsidP="00EA30FC">
            <w:pPr>
              <w:numPr>
                <w:ilvl w:val="0"/>
                <w:numId w:val="40"/>
              </w:numPr>
              <w:spacing w:after="60"/>
              <w:ind w:left="720" w:right="259"/>
              <w:rPr>
                <w:rFonts w:cs="Tahoma"/>
              </w:rPr>
            </w:pPr>
            <w:r w:rsidRPr="00EB4D74">
              <w:rPr>
                <w:rFonts w:cs="Tahoma"/>
                <w:color w:val="000000"/>
                <w:lang w:val="pt-BR"/>
              </w:rPr>
              <w:t>Assinatura do Web Antimalware para Forefront Threat Management Gateway Medium Business Edition</w:t>
            </w:r>
          </w:p>
          <w:p w:rsidR="008B1196" w:rsidRPr="00EB4D74" w:rsidRDefault="008B1196" w:rsidP="00EA30FC">
            <w:pPr>
              <w:numPr>
                <w:ilvl w:val="0"/>
                <w:numId w:val="40"/>
              </w:numPr>
              <w:spacing w:after="60"/>
              <w:ind w:left="720" w:right="259"/>
              <w:rPr>
                <w:rFonts w:eastAsia="Times New Roman" w:cs="Tahoma"/>
                <w:color w:val="000000"/>
                <w:szCs w:val="18"/>
              </w:rPr>
            </w:pPr>
            <w:r w:rsidRPr="00EB4D74">
              <w:rPr>
                <w:rFonts w:cs="Tahoma"/>
                <w:color w:val="000000"/>
                <w:lang w:val="pt-BR"/>
              </w:rPr>
              <w:t>Serviços do Windows Azure</w:t>
            </w:r>
          </w:p>
        </w:tc>
        <w:tc>
          <w:tcPr>
            <w:tcW w:w="4413"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numPr>
                <w:ilvl w:val="0"/>
                <w:numId w:val="41"/>
              </w:numPr>
              <w:spacing w:after="60"/>
              <w:ind w:left="576" w:right="187"/>
              <w:rPr>
                <w:rFonts w:cs="Tahoma"/>
              </w:rPr>
            </w:pPr>
            <w:r w:rsidRPr="00EB4D74">
              <w:rPr>
                <w:rFonts w:cs="Tahoma"/>
                <w:color w:val="000000"/>
                <w:lang w:val="pt-BR"/>
              </w:rPr>
              <w:t>Dynamics CRM Online</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Dynamics Mobile</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Dynamics Onprem Mobile</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Arquivamento do Exchange Online</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Quiosque do Exchange Online, Plano 1 e Plano 2</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Lync Online Planos 1, 2 e 3</w:t>
            </w:r>
          </w:p>
          <w:p w:rsidR="008B1196" w:rsidRPr="00EB4D74" w:rsidRDefault="008B1196" w:rsidP="00EA30FC">
            <w:pPr>
              <w:numPr>
                <w:ilvl w:val="0"/>
                <w:numId w:val="41"/>
              </w:numPr>
              <w:spacing w:after="60"/>
              <w:ind w:left="576" w:right="187"/>
              <w:rPr>
                <w:rFonts w:cs="Tahoma"/>
                <w:lang w:val="it-IT"/>
              </w:rPr>
            </w:pPr>
            <w:r w:rsidRPr="00EB4D74">
              <w:rPr>
                <w:rFonts w:cs="Tahoma"/>
                <w:color w:val="000000"/>
                <w:lang w:val="pt-BR"/>
              </w:rPr>
              <w:t>Office 365 Plano A2, A3, A4, K1, K2,E1, E2, E3 e E4</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Assinatura do Office Professional Plus</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Aplicativos da Web do Office</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SharePoint Online Plan 1 e Plano 2</w:t>
            </w:r>
          </w:p>
          <w:p w:rsidR="008B1196" w:rsidRPr="00EB4D74" w:rsidRDefault="008B1196" w:rsidP="00EA30FC">
            <w:pPr>
              <w:numPr>
                <w:ilvl w:val="0"/>
                <w:numId w:val="41"/>
              </w:numPr>
              <w:spacing w:after="60"/>
              <w:ind w:left="576" w:right="187"/>
              <w:rPr>
                <w:rFonts w:cs="Tahoma"/>
              </w:rPr>
            </w:pPr>
            <w:r w:rsidRPr="00EB4D74">
              <w:rPr>
                <w:rFonts w:cs="Tahoma"/>
                <w:color w:val="000000"/>
                <w:lang w:val="pt-BR"/>
              </w:rPr>
              <w:t>Windows Intune</w:t>
            </w:r>
          </w:p>
          <w:p w:rsidR="008B1196" w:rsidRPr="00EB4D74" w:rsidRDefault="008B1196" w:rsidP="00EA30FC">
            <w:pPr>
              <w:numPr>
                <w:ilvl w:val="0"/>
                <w:numId w:val="41"/>
              </w:numPr>
              <w:spacing w:after="60"/>
              <w:ind w:left="576" w:right="187"/>
              <w:rPr>
                <w:rFonts w:eastAsia="Times New Roman" w:cs="Tahoma"/>
                <w:szCs w:val="18"/>
              </w:rPr>
            </w:pPr>
            <w:r w:rsidRPr="00EB4D74">
              <w:rPr>
                <w:rFonts w:cs="Tahoma"/>
                <w:color w:val="000000"/>
                <w:lang w:val="pt-BR"/>
              </w:rPr>
              <w:t>Windows Intune Complementar</w:t>
            </w:r>
          </w:p>
        </w:tc>
      </w:tr>
    </w:tbl>
    <w:p w:rsidR="008B1196" w:rsidRPr="00EB4D74" w:rsidRDefault="008B1196" w:rsidP="008B1196">
      <w:pPr>
        <w:ind w:left="720"/>
        <w:outlineLvl w:val="2"/>
        <w:rPr>
          <w:rFonts w:cs="Tahoma"/>
        </w:rPr>
      </w:pPr>
    </w:p>
    <w:p w:rsidR="008B1196" w:rsidRPr="00EB4D74" w:rsidRDefault="008B1196" w:rsidP="008B1196">
      <w:pPr>
        <w:pStyle w:val="Heading2"/>
        <w:ind w:left="0"/>
        <w:rPr>
          <w:rFonts w:ascii="Tahoma" w:hAnsi="Tahoma" w:cs="Tahoma"/>
          <w:sz w:val="18"/>
          <w:szCs w:val="18"/>
        </w:rPr>
      </w:pPr>
    </w:p>
    <w:p w:rsidR="008B1196" w:rsidRPr="00EB4D74" w:rsidRDefault="008B1196" w:rsidP="008B1196">
      <w:pPr>
        <w:pStyle w:val="Heading2"/>
        <w:ind w:left="0"/>
        <w:rPr>
          <w:rFonts w:ascii="Tahoma" w:hAnsi="Tahoma" w:cs="Tahoma"/>
          <w:lang w:val="it-IT"/>
        </w:rPr>
      </w:pPr>
      <w:bookmarkStart w:id="789" w:name="_Toc336338209"/>
      <w:bookmarkStart w:id="790" w:name="_Toc342914846"/>
      <w:bookmarkEnd w:id="789"/>
      <w:r w:rsidRPr="00EB4D74">
        <w:rPr>
          <w:rFonts w:ascii="Tahoma" w:hAnsi="Tahoma" w:cs="Tahoma"/>
          <w:lang w:val="pt-BR"/>
        </w:rPr>
        <w:t>Compras e renovação automática em Serviços Online</w:t>
      </w:r>
      <w:bookmarkEnd w:id="790"/>
    </w:p>
    <w:p w:rsidR="008B1196" w:rsidRPr="00EB4D74" w:rsidRDefault="008B1196" w:rsidP="008B1196">
      <w:pPr>
        <w:outlineLvl w:val="2"/>
        <w:rPr>
          <w:rFonts w:cs="Tahoma"/>
          <w:lang w:val="it-IT"/>
        </w:rPr>
      </w:pPr>
    </w:p>
    <w:p w:rsidR="008B1196" w:rsidRPr="00EB4D74" w:rsidRDefault="008B1196" w:rsidP="008B1196">
      <w:pPr>
        <w:outlineLvl w:val="2"/>
        <w:rPr>
          <w:rFonts w:cs="Tahoma"/>
          <w:lang w:val="pt-BR"/>
        </w:rPr>
      </w:pPr>
      <w:r w:rsidRPr="00EB4D74">
        <w:rPr>
          <w:rFonts w:cs="Tahoma"/>
          <w:szCs w:val="18"/>
          <w:lang w:val="pt-BR"/>
        </w:rPr>
        <w:t xml:space="preserve">Os clientes deverão ter um contrato de Licenciamento por Volume ativo para solicitar ou renovar assinaturas de serviços online no Licenciamento por Volume. </w:t>
      </w:r>
      <w:r w:rsidRPr="00EB4D74">
        <w:rPr>
          <w:rFonts w:cs="Tahoma"/>
          <w:lang w:val="pt-BR"/>
        </w:rPr>
        <w:t>Uma assinatura de serviços online será automaticamente renovada no dia seguinte ao término do prazo da assinatura, a não ser que o cliente opte por não renová-la recusando a renovação automática no mínimo 5 dias antes da assinatura expirar. Na renovação automática, a Microsoft enviará à parte registrada para cobrança uma fatura referente ao número de licenças em vias de terminar com a mesma opção de prazo de assinatura, se o contrato inicial do cliente permanecer ativo. As assinaturas dos serviços online com contratos Government e Academic só serão renovadas automaticamente se o cliente escolher a opção de renovação automática. Os preços serão redefinidos por ocasião da renovação. A opção de renovação automática não está disponível para Serviços do Windows Azure.</w:t>
      </w:r>
    </w:p>
    <w:p w:rsidR="008B1196" w:rsidRPr="00EB4D74" w:rsidRDefault="008B1196" w:rsidP="008B1196">
      <w:pPr>
        <w:pStyle w:val="Heading2"/>
        <w:ind w:left="0"/>
        <w:rPr>
          <w:rFonts w:ascii="Tahoma" w:hAnsi="Tahoma" w:cs="Tahoma"/>
          <w:sz w:val="18"/>
          <w:szCs w:val="18"/>
          <w:lang w:val="pt-BR"/>
        </w:rPr>
      </w:pPr>
    </w:p>
    <w:p w:rsidR="008B1196" w:rsidRPr="00EB4D74" w:rsidRDefault="008B1196" w:rsidP="008B1196">
      <w:pPr>
        <w:rPr>
          <w:rFonts w:cs="Tahoma"/>
          <w:lang w:val="pt-BR"/>
        </w:rPr>
      </w:pPr>
    </w:p>
    <w:p w:rsidR="008B1196" w:rsidRPr="00EB4D74" w:rsidRDefault="008B1196" w:rsidP="008B1196">
      <w:pPr>
        <w:pStyle w:val="Heading2"/>
        <w:ind w:left="0"/>
        <w:rPr>
          <w:rFonts w:ascii="Tahoma" w:hAnsi="Tahoma" w:cs="Tahoma"/>
          <w:lang w:val="it-IT"/>
        </w:rPr>
      </w:pPr>
      <w:bookmarkStart w:id="791" w:name="_Toc336338210"/>
      <w:bookmarkStart w:id="792" w:name="_Toc342914847"/>
      <w:bookmarkEnd w:id="791"/>
      <w:r w:rsidRPr="00EB4D74">
        <w:rPr>
          <w:rFonts w:ascii="Tahoma" w:hAnsi="Tahoma" w:cs="Tahoma"/>
          <w:lang w:val="pt-BR"/>
        </w:rPr>
        <w:t>Gerenciamento do status da renovação e da renovação automática</w:t>
      </w:r>
      <w:bookmarkEnd w:id="792"/>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r w:rsidRPr="00EB4D74">
        <w:rPr>
          <w:rFonts w:cs="Tahoma"/>
          <w:szCs w:val="18"/>
          <w:lang w:val="pt-BR"/>
        </w:rPr>
        <w:t xml:space="preserve">Os clientes receberão notificações de renovação antes do fim do prazo da assinatura dos serviços online. Os clientes poderão cancelar a renovação ou alterar um pedido de renovação automática caso procedam pelo menos 30 dias antes do fim do prazo da assinatura. Além disso, poderão alterar um pedido de renovação fazendo um pedido ao revendedor 30 dias antes do término da assinatura. Os clientes poderão cancelar a renovação de uma assinatura, enviando à Microsoft uma notificação por escrito com 30 dias de antecedência em um formulário disponibilizado pelo revendedor da Microsoft ou no site http://microsoft.com/licensing/contracts. </w:t>
      </w:r>
      <w:r w:rsidRPr="00EB4D74">
        <w:rPr>
          <w:rFonts w:cs="Tahoma"/>
          <w:lang w:val="pt-BR"/>
        </w:rPr>
        <w:t>Todas as renovações de serviços iniciam um novo prazo de assinatura que começa no primeiro dia do mês do calendário seguinte após o término do prazo da assinatura anterior.</w:t>
      </w:r>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r w:rsidRPr="00EB4D74">
        <w:rPr>
          <w:rFonts w:cs="Tahoma"/>
          <w:szCs w:val="18"/>
          <w:lang w:val="pt-BR"/>
        </w:rPr>
        <w:lastRenderedPageBreak/>
        <w:t xml:space="preserve">Os clientes podem aumentar o compromisso de assinatura dos serviços online, mas não podem reduzi-los durante o prazo da assinatura dos serviços online, salvo se for permitido em seus contratos. </w:t>
      </w:r>
      <w:r w:rsidRPr="00EB4D74">
        <w:rPr>
          <w:rFonts w:cs="Tahoma"/>
          <w:lang w:val="pt-BR"/>
        </w:rPr>
        <w:t>Para assegurar que usuários adicionais sejam provisionados, o cliente deverá fazer um pedido para cada aumento no serviço da assinatura.</w:t>
      </w:r>
    </w:p>
    <w:p w:rsidR="008B1196" w:rsidRPr="00EB4D74" w:rsidRDefault="008B1196" w:rsidP="008B1196">
      <w:pPr>
        <w:pStyle w:val="Heading2"/>
        <w:ind w:left="0"/>
        <w:rPr>
          <w:rFonts w:ascii="Tahoma" w:hAnsi="Tahoma" w:cs="Tahoma"/>
          <w:sz w:val="18"/>
          <w:szCs w:val="18"/>
          <w:lang w:val="it-IT"/>
        </w:rPr>
      </w:pPr>
      <w:bookmarkStart w:id="793" w:name="_Toc336338211"/>
    </w:p>
    <w:p w:rsidR="008B1196" w:rsidRPr="00EB4D74" w:rsidRDefault="008B1196" w:rsidP="008B1196">
      <w:pPr>
        <w:rPr>
          <w:rFonts w:cs="Tahoma"/>
          <w:lang w:val="it-IT"/>
        </w:rPr>
      </w:pPr>
    </w:p>
    <w:p w:rsidR="008B1196" w:rsidRPr="00EB4D74" w:rsidRDefault="008B1196" w:rsidP="008B1196">
      <w:pPr>
        <w:pStyle w:val="Heading2"/>
        <w:ind w:left="0"/>
        <w:rPr>
          <w:rFonts w:ascii="Tahoma" w:hAnsi="Tahoma" w:cs="Tahoma"/>
          <w:lang w:val="it-IT"/>
        </w:rPr>
      </w:pPr>
      <w:bookmarkStart w:id="794" w:name="_Toc342914848"/>
      <w:bookmarkEnd w:id="793"/>
      <w:r w:rsidRPr="00EB4D74">
        <w:rPr>
          <w:rFonts w:ascii="Tahoma" w:hAnsi="Tahoma" w:cs="Tahoma"/>
          <w:lang w:val="pt-BR"/>
        </w:rPr>
        <w:t>Cancelamento de Serviços Online</w:t>
      </w:r>
      <w:bookmarkEnd w:id="794"/>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r w:rsidRPr="00EB4D74">
        <w:rPr>
          <w:rFonts w:cs="Tahoma"/>
          <w:lang w:val="pt-BR"/>
        </w:rPr>
        <w:t>É possível cancelar assinaturas de um serviço online sem penalidades em até 30 (trinta) dias após o pedido inicial ou a reserva de licença inicial de um serviço, o que ocorrer primeiro. Consulte as seções desta Lista de Produtos referentes a produtos específicos para obter informações sobre termos de cancelamento adicionais que possam existir.</w:t>
      </w:r>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p>
    <w:p w:rsidR="008B1196" w:rsidRPr="00EB4D74" w:rsidRDefault="008B1196" w:rsidP="008B1196">
      <w:pPr>
        <w:pStyle w:val="Heading2"/>
        <w:ind w:left="0"/>
        <w:rPr>
          <w:rFonts w:ascii="Tahoma" w:hAnsi="Tahoma" w:cs="Tahoma"/>
          <w:lang w:val="it-IT"/>
        </w:rPr>
      </w:pPr>
      <w:bookmarkStart w:id="795" w:name="_Toc328145982"/>
      <w:bookmarkStart w:id="796" w:name="_Toc336338212"/>
      <w:bookmarkStart w:id="797" w:name="_Toc342914849"/>
      <w:bookmarkEnd w:id="795"/>
      <w:bookmarkEnd w:id="796"/>
      <w:r w:rsidRPr="00EB4D74">
        <w:rPr>
          <w:rFonts w:ascii="Tahoma" w:hAnsi="Tahoma" w:cs="Tahoma"/>
          <w:lang w:val="pt-BR"/>
        </w:rPr>
        <w:t>Opções de termos de pagamento de Serviços Online</w:t>
      </w:r>
      <w:bookmarkEnd w:id="797"/>
    </w:p>
    <w:p w:rsidR="008B1196" w:rsidRPr="00EB4D74" w:rsidRDefault="008B1196" w:rsidP="008B1196">
      <w:pPr>
        <w:ind w:left="720"/>
        <w:outlineLvl w:val="2"/>
        <w:rPr>
          <w:rFonts w:cs="Tahoma"/>
          <w:lang w:val="it-IT"/>
        </w:rPr>
      </w:pPr>
    </w:p>
    <w:p w:rsidR="008B1196" w:rsidRPr="00EB4D74" w:rsidRDefault="008B1196" w:rsidP="008B1196">
      <w:pPr>
        <w:outlineLvl w:val="2"/>
        <w:rPr>
          <w:rFonts w:cs="Tahoma"/>
          <w:lang w:val="it-IT"/>
        </w:rPr>
      </w:pPr>
      <w:r w:rsidRPr="00EB4D74">
        <w:rPr>
          <w:rFonts w:cs="Tahoma"/>
          <w:szCs w:val="18"/>
          <w:lang w:val="pt-BR"/>
        </w:rPr>
        <w:t xml:space="preserve">Os clientes deverão pagar por assinaturas dos serviços online de um ano integralmente no início do prazo da assinatura. Os clientes que optarem pelos termos da assinatura coextensiva, ou “Alinhar-se com o 2° Aniversário” no Select Plus, dispõem destas duas formas de pagamento: </w:t>
      </w:r>
      <w:r w:rsidRPr="00EB4D74">
        <w:rPr>
          <w:rFonts w:cs="Tahoma"/>
          <w:lang w:val="pt-BR"/>
        </w:rPr>
        <w:t>(1) pagamento integral ao efetuar o pedido cobrindo todo o prazo da assinatura ou (2) pagamentos parcelados, sendo o primeiro pagamento ao efetuar o pedido que cobre o restante do ano contratual corrente e os demais pagamentos com vencimento em cada aniversário do contrato (no caso do Select Plus, o aniversário da afiliada é usado em vez do aniversário do contrato). Uma terceira opção está disponível para os clientes do Select Plus: cobrança no aniversário do pedido, sendo o primeiro pagamento ao efetuar o pedido que cobre 12 meses e os demais pagamentos com vencimento em cada aniversário do pedido (o último pagamento cobrirá o saldo entre o aniversário do pedido e a data de término da cobertura da assinatura).</w:t>
      </w:r>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r w:rsidRPr="00EB4D74">
        <w:rPr>
          <w:rFonts w:cs="Tahoma"/>
          <w:szCs w:val="18"/>
          <w:lang w:val="pt-BR"/>
        </w:rPr>
        <w:t xml:space="preserve">Além disso, os clientes do Open Value também podem optar por uma forma de pagamento mensal. </w:t>
      </w:r>
      <w:r w:rsidRPr="00EB4D74">
        <w:rPr>
          <w:rFonts w:cs="Tahoma"/>
          <w:lang w:val="pt-BR"/>
        </w:rPr>
        <w:t>Nessa opção, uma parte registrada para cobrança receberá automaticamente uma fatura referente à quantidade de assinaturas solicitadas pelo cliente a cada mês durante o prazo da assinatura.</w:t>
      </w:r>
    </w:p>
    <w:p w:rsidR="008B1196" w:rsidRPr="00EB4D74" w:rsidRDefault="008B1196" w:rsidP="008B1196">
      <w:pPr>
        <w:outlineLvl w:val="2"/>
        <w:rPr>
          <w:rFonts w:cs="Tahoma"/>
          <w:lang w:val="it-IT"/>
        </w:rPr>
      </w:pPr>
    </w:p>
    <w:p w:rsidR="008B1196" w:rsidRPr="00EB4D74" w:rsidRDefault="008B1196" w:rsidP="008B1196">
      <w:pPr>
        <w:outlineLvl w:val="2"/>
        <w:rPr>
          <w:rFonts w:cs="Tahoma"/>
          <w:lang w:val="pt-BR"/>
        </w:rPr>
      </w:pPr>
      <w:r w:rsidRPr="00EB4D74">
        <w:rPr>
          <w:rFonts w:cs="Tahoma"/>
          <w:szCs w:val="18"/>
          <w:lang w:val="pt-BR"/>
        </w:rPr>
        <w:t>Os termos de pagamento e preços das assinaturas adquiridas por meio de revendedores serão determinados pelo contrato entre o cliente e seu revendedor. A não ser que o cliente tenha celebrado o Aditamento do Registro Enterprise - Adicionando Serviços Online Enterprise, não obstante qualquer disposição em contrário no contrato, ele deverá solicitar uma assinatura dos serviços online antes de a assinatura ser usada pela primeira vez. Os clientes com um Contrato Enterprise não poderão enviar um pedido de adequação (“true-up”) para licenças de assinatura adicionais.</w:t>
      </w:r>
    </w:p>
    <w:p w:rsidR="008B1196" w:rsidRPr="00EB4D74" w:rsidRDefault="008B1196" w:rsidP="008B1196">
      <w:pPr>
        <w:outlineLvl w:val="2"/>
        <w:rPr>
          <w:rFonts w:cs="Tahoma"/>
          <w:lang w:val="pt-BR"/>
        </w:rPr>
      </w:pPr>
    </w:p>
    <w:p w:rsidR="008B1196" w:rsidRPr="00EB4D74" w:rsidRDefault="008B1196" w:rsidP="008B1196">
      <w:pPr>
        <w:outlineLvl w:val="2"/>
        <w:rPr>
          <w:rFonts w:cs="Tahoma"/>
        </w:rPr>
      </w:pPr>
      <w:r w:rsidRPr="00EB4D74">
        <w:rPr>
          <w:rFonts w:cs="Tahoma"/>
          <w:lang w:val="pt-BR"/>
        </w:rPr>
        <w:t>Para informações específicas dos Serviços do Windows Azure, consulte a seção Serviços do Windows Azure abaixo.</w:t>
      </w:r>
    </w:p>
    <w:p w:rsidR="008B1196" w:rsidRPr="00EB4D74" w:rsidRDefault="008B1196" w:rsidP="008B1196">
      <w:pPr>
        <w:outlineLvl w:val="2"/>
        <w:rPr>
          <w:rFonts w:cs="Tahoma"/>
        </w:rPr>
      </w:pPr>
    </w:p>
    <w:p w:rsidR="008B1196" w:rsidRPr="00EB4D74" w:rsidRDefault="008B1196" w:rsidP="008B1196">
      <w:pPr>
        <w:outlineLvl w:val="2"/>
        <w:rPr>
          <w:rFonts w:cs="Tahoma"/>
        </w:rPr>
      </w:pPr>
    </w:p>
    <w:p w:rsidR="008B1196" w:rsidRPr="00EB4D74" w:rsidRDefault="008B1196" w:rsidP="008B1196">
      <w:pPr>
        <w:pStyle w:val="Heading2"/>
        <w:ind w:left="0"/>
        <w:rPr>
          <w:rFonts w:ascii="Tahoma" w:hAnsi="Tahoma" w:cs="Tahoma"/>
          <w:lang w:val="it-IT"/>
        </w:rPr>
      </w:pPr>
      <w:bookmarkStart w:id="798" w:name="_Toc328145983"/>
      <w:bookmarkStart w:id="799" w:name="_Toc336338213"/>
      <w:bookmarkStart w:id="800" w:name="_Toc342914850"/>
      <w:bookmarkEnd w:id="798"/>
      <w:bookmarkEnd w:id="799"/>
      <w:r w:rsidRPr="00EB4D74">
        <w:rPr>
          <w:rFonts w:ascii="Tahoma" w:hAnsi="Tahoma" w:cs="Tahoma"/>
          <w:lang w:val="pt-BR"/>
        </w:rPr>
        <w:t>Requisitos de compra mínima para Serviços Online no Licenciamento por Volume</w:t>
      </w:r>
      <w:bookmarkEnd w:id="800"/>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r w:rsidRPr="00EB4D74">
        <w:rPr>
          <w:rFonts w:cs="Tahoma"/>
          <w:szCs w:val="18"/>
          <w:lang w:val="pt-BR"/>
        </w:rPr>
        <w:t>Um cliente estará qualificado para o programa Open Value com uma compra mínima de 5 licenças. Essa regra também se aplicará à contagem de quantidades de Licenças de Assinatura de Usuário (USLs) de Serviços Online. Uma USL poderá ser contabilizada para a quantidade mínima de 5 licenças. Um pedido de 5 USLs satisfaz o requisito mínimo do programa Open Value. Porém, só as 5 USLs não satisfazem o mínimo para Open Value Companywide e Open Value Subscription. No caso de OV Companywide e OV Subscription, o pedido inicial deve incluir um mínimo de 5 Licenças de Plataforma de Desktop ou Componente de Desktop além de quaisquer USLs.</w:t>
      </w:r>
    </w:p>
    <w:p w:rsidR="008B1196" w:rsidRPr="00EB4D74" w:rsidRDefault="008B1196" w:rsidP="008B1196">
      <w:pPr>
        <w:outlineLvl w:val="2"/>
        <w:rPr>
          <w:rFonts w:cs="Tahoma"/>
          <w:lang w:val="it-IT"/>
        </w:rPr>
      </w:pPr>
    </w:p>
    <w:p w:rsidR="008B1196" w:rsidRPr="00EB4D74" w:rsidRDefault="008B1196" w:rsidP="008B1196">
      <w:pPr>
        <w:pStyle w:val="Heading3"/>
        <w:rPr>
          <w:rFonts w:ascii="Tahoma" w:hAnsi="Tahoma" w:cs="Tahoma"/>
          <w:sz w:val="18"/>
          <w:szCs w:val="18"/>
          <w:lang w:val="pt-BR"/>
        </w:rPr>
      </w:pPr>
      <w:bookmarkStart w:id="801" w:name="_Toc336338214"/>
      <w:bookmarkEnd w:id="801"/>
    </w:p>
    <w:p w:rsidR="008B1196" w:rsidRDefault="008B1196" w:rsidP="008B1196">
      <w:pPr>
        <w:pStyle w:val="Heading3"/>
        <w:rPr>
          <w:rFonts w:ascii="Tahoma" w:hAnsi="Tahoma" w:cs="Tahoma"/>
          <w:sz w:val="24"/>
          <w:lang w:val="pt-BR"/>
        </w:rPr>
      </w:pPr>
      <w:bookmarkStart w:id="802" w:name="_Toc342914851"/>
    </w:p>
    <w:p w:rsidR="008B1196" w:rsidRDefault="008B1196" w:rsidP="008B1196">
      <w:pPr>
        <w:pStyle w:val="Heading3"/>
        <w:rPr>
          <w:rFonts w:ascii="Tahoma" w:hAnsi="Tahoma" w:cs="Tahoma"/>
          <w:sz w:val="24"/>
          <w:lang w:val="pt-BR"/>
        </w:rPr>
      </w:pPr>
    </w:p>
    <w:p w:rsidR="008B1196" w:rsidRDefault="008B1196" w:rsidP="008B1196">
      <w:pPr>
        <w:pStyle w:val="Heading3"/>
        <w:rPr>
          <w:rFonts w:ascii="Tahoma" w:hAnsi="Tahoma" w:cs="Tahoma"/>
          <w:sz w:val="24"/>
          <w:lang w:val="pt-BR"/>
        </w:rPr>
      </w:pPr>
    </w:p>
    <w:p w:rsidR="008B1196" w:rsidRDefault="008B1196" w:rsidP="008B1196">
      <w:pPr>
        <w:pStyle w:val="Heading3"/>
        <w:rPr>
          <w:rFonts w:ascii="Tahoma" w:hAnsi="Tahoma" w:cs="Tahoma"/>
          <w:sz w:val="24"/>
          <w:lang w:val="pt-BR"/>
        </w:rPr>
      </w:pPr>
    </w:p>
    <w:p w:rsidR="008B1196" w:rsidRDefault="008B1196" w:rsidP="008B1196">
      <w:pPr>
        <w:pStyle w:val="Heading3"/>
        <w:rPr>
          <w:rFonts w:ascii="Tahoma" w:hAnsi="Tahoma" w:cs="Tahoma"/>
          <w:sz w:val="24"/>
          <w:lang w:val="pt-BR"/>
        </w:rPr>
      </w:pPr>
    </w:p>
    <w:p w:rsidR="008B1196" w:rsidRPr="00EB4D74" w:rsidRDefault="008B1196" w:rsidP="008B1196">
      <w:pPr>
        <w:pStyle w:val="Heading3"/>
        <w:rPr>
          <w:rFonts w:ascii="Tahoma" w:hAnsi="Tahoma" w:cs="Tahoma"/>
          <w:lang w:val="pt-BR"/>
        </w:rPr>
      </w:pPr>
      <w:r w:rsidRPr="00EB4D74">
        <w:rPr>
          <w:rFonts w:ascii="Tahoma" w:hAnsi="Tahoma" w:cs="Tahoma"/>
          <w:sz w:val="24"/>
          <w:lang w:val="pt-BR"/>
        </w:rPr>
        <w:lastRenderedPageBreak/>
        <w:t>Serviços do Windows Azure</w:t>
      </w:r>
      <w:bookmarkEnd w:id="802"/>
    </w:p>
    <w:p w:rsidR="008B1196" w:rsidRPr="00EB4D74" w:rsidRDefault="008B1196" w:rsidP="008B1196">
      <w:pPr>
        <w:outlineLvl w:val="1"/>
        <w:rPr>
          <w:rFonts w:cs="Tahoma"/>
          <w:lang w:val="pt-BR"/>
        </w:rPr>
      </w:pPr>
    </w:p>
    <w:p w:rsidR="008B1196" w:rsidRPr="00EB4D74" w:rsidRDefault="008B1196" w:rsidP="008B1196">
      <w:pPr>
        <w:outlineLvl w:val="1"/>
        <w:rPr>
          <w:rFonts w:cs="Tahoma"/>
          <w:lang w:val="pt-BR"/>
        </w:rPr>
      </w:pPr>
      <w:r w:rsidRPr="00EB4D74">
        <w:rPr>
          <w:rFonts w:cs="Tahoma"/>
          <w:b/>
          <w:sz w:val="20"/>
          <w:lang w:val="pt-BR"/>
        </w:rPr>
        <w:t>Definições</w:t>
      </w:r>
    </w:p>
    <w:p w:rsidR="008B1196" w:rsidRPr="00EB4D74" w:rsidRDefault="008B1196" w:rsidP="008B1196">
      <w:pPr>
        <w:outlineLvl w:val="1"/>
        <w:rPr>
          <w:rFonts w:cs="Tahoma"/>
          <w:lang w:val="pt-BR"/>
        </w:rPr>
      </w:pPr>
    </w:p>
    <w:p w:rsidR="008B1196" w:rsidRPr="00EB4D74" w:rsidRDefault="008B1196" w:rsidP="008B1196">
      <w:pPr>
        <w:outlineLvl w:val="1"/>
        <w:rPr>
          <w:rFonts w:cs="Tahoma"/>
          <w:lang w:val="pt-BR"/>
        </w:rPr>
      </w:pPr>
      <w:r w:rsidRPr="00EB4D74">
        <w:rPr>
          <w:rFonts w:cs="Tahoma"/>
          <w:b/>
          <w:lang w:val="pt-BR"/>
        </w:rPr>
        <w:t>Taxas de Compromissos</w:t>
      </w:r>
      <w:r w:rsidRPr="00EB4D74">
        <w:rPr>
          <w:rFonts w:cs="Tahoma"/>
          <w:lang w:val="pt-BR"/>
        </w:rPr>
        <w:t xml:space="preserve"> significa os preços estabelecidos para todo o uso dos Serviços do Windows Azure até o Compromisso Anual Alocado.</w:t>
      </w:r>
    </w:p>
    <w:p w:rsidR="008B1196" w:rsidRPr="00EB4D74" w:rsidRDefault="008B1196" w:rsidP="008B1196">
      <w:pPr>
        <w:outlineLvl w:val="1"/>
        <w:rPr>
          <w:rFonts w:cs="Tahoma"/>
        </w:rPr>
      </w:pPr>
      <w:r w:rsidRPr="00EB4D74">
        <w:rPr>
          <w:rFonts w:cs="Tahoma"/>
          <w:b/>
          <w:lang w:val="pt-BR"/>
        </w:rPr>
        <w:t xml:space="preserve">Taxas de Consumo </w:t>
      </w:r>
      <w:r w:rsidRPr="00EB4D74">
        <w:rPr>
          <w:rFonts w:cs="Tahoma"/>
          <w:lang w:val="pt-BR"/>
        </w:rPr>
        <w:t>significa os preços estabelecidos para todo o uso dos Serviços do Windows Azure em excesso do Compromisso Anual Alocado. As Taxas de Consumo também podem ser denominadas “Taxas Excedentes” ou “Excedente” em outros documentos da Microsoft ou do Windows Azure.</w:t>
      </w:r>
    </w:p>
    <w:p w:rsidR="008B1196" w:rsidRPr="00EB4D74" w:rsidRDefault="008B1196" w:rsidP="008B1196">
      <w:pPr>
        <w:outlineLvl w:val="1"/>
        <w:rPr>
          <w:rFonts w:cs="Tahoma"/>
        </w:rPr>
      </w:pPr>
    </w:p>
    <w:p w:rsidR="008B1196" w:rsidRPr="00EB4D74" w:rsidRDefault="008B1196" w:rsidP="008B1196">
      <w:pPr>
        <w:outlineLvl w:val="1"/>
        <w:rPr>
          <w:rFonts w:cs="Tahoma"/>
          <w:lang w:val="it-IT"/>
        </w:rPr>
      </w:pPr>
      <w:r w:rsidRPr="00EB4D74">
        <w:rPr>
          <w:rFonts w:cs="Tahoma"/>
          <w:b/>
          <w:lang w:val="pt-BR"/>
        </w:rPr>
        <w:t>Compromisso Monetário</w:t>
      </w:r>
      <w:r w:rsidRPr="00EB4D74">
        <w:rPr>
          <w:rFonts w:cs="Tahoma"/>
          <w:lang w:val="pt-BR"/>
        </w:rPr>
        <w:t xml:space="preserve"> significa o valor monetário total que um cliente se compromete a pagar pelo período da assinatura para seu uso dos Serviços do Windows Azure.</w:t>
      </w:r>
    </w:p>
    <w:p w:rsidR="008B1196" w:rsidRPr="00EB4D74" w:rsidRDefault="008B1196" w:rsidP="008B1196">
      <w:pPr>
        <w:outlineLvl w:val="1"/>
        <w:rPr>
          <w:rFonts w:cs="Tahoma"/>
          <w:lang w:val="it-IT"/>
        </w:rPr>
      </w:pPr>
    </w:p>
    <w:p w:rsidR="008B1196" w:rsidRPr="00EB4D74" w:rsidRDefault="008B1196" w:rsidP="008B1196">
      <w:pPr>
        <w:outlineLvl w:val="1"/>
        <w:rPr>
          <w:rFonts w:cs="Tahoma"/>
          <w:lang w:val="it-IT"/>
        </w:rPr>
      </w:pPr>
      <w:r w:rsidRPr="00EB4D74">
        <w:rPr>
          <w:rFonts w:cs="Tahoma"/>
          <w:b/>
          <w:lang w:val="pt-BR"/>
        </w:rPr>
        <w:t xml:space="preserve">Compromisso Anual Alocado </w:t>
      </w:r>
      <w:r w:rsidRPr="00EB4D74">
        <w:rPr>
          <w:rFonts w:cs="Tahoma"/>
          <w:lang w:val="pt-BR"/>
        </w:rPr>
        <w:t>significa a parte do Compromisso Monetário alocada anualmente pelo prazo do Registro. Para a opção de assinatura de um ano, o Compromisso Anual Alocadoé igual ao Compromisso Monetário.</w:t>
      </w:r>
    </w:p>
    <w:p w:rsidR="008B1196" w:rsidRPr="00EB4D74" w:rsidRDefault="008B1196" w:rsidP="008B1196">
      <w:pPr>
        <w:rPr>
          <w:rFonts w:cs="Tahoma"/>
          <w:lang w:val="it-IT"/>
        </w:rPr>
      </w:pPr>
    </w:p>
    <w:p w:rsidR="008B1196" w:rsidRPr="00EB4D74" w:rsidRDefault="008B1196" w:rsidP="008B1196">
      <w:pPr>
        <w:outlineLvl w:val="1"/>
        <w:rPr>
          <w:rFonts w:cs="Tahoma"/>
          <w:lang w:val="it-IT"/>
        </w:rPr>
      </w:pPr>
      <w:r w:rsidRPr="00EB4D74">
        <w:rPr>
          <w:rFonts w:cs="Tahoma"/>
          <w:b/>
          <w:sz w:val="20"/>
          <w:lang w:val="pt-BR"/>
        </w:rPr>
        <w:t>Prazo da Assinatura</w:t>
      </w:r>
    </w:p>
    <w:p w:rsidR="008B1196" w:rsidRPr="00EB4D74" w:rsidRDefault="008B1196" w:rsidP="008B1196">
      <w:pPr>
        <w:outlineLvl w:val="1"/>
        <w:rPr>
          <w:rFonts w:cs="Tahoma"/>
          <w:lang w:val="it-IT"/>
        </w:rPr>
      </w:pPr>
    </w:p>
    <w:p w:rsidR="008B1196" w:rsidRPr="00EB4D74" w:rsidRDefault="008B1196" w:rsidP="008B1196">
      <w:pPr>
        <w:outlineLvl w:val="1"/>
        <w:rPr>
          <w:rFonts w:cs="Tahoma"/>
          <w:lang w:val="it-IT"/>
        </w:rPr>
      </w:pPr>
      <w:r w:rsidRPr="00EB4D74">
        <w:rPr>
          <w:rFonts w:cs="Tahoma"/>
          <w:lang w:val="pt-BR"/>
        </w:rPr>
        <w:t>No caso dos Serviços do Windows Azure, os clientes podem optar entre um prazo de assinatura de um ano ou um prazo de assinatura que acaba na data de término do registro do cliente (“coextensiva”). Os clientes que escolhem a opção de um ano devem ter pelo menos 12 meses restantes no seu prazo de registro e aqueles que escolhem a opção coextensiva devem ter pelo menos dois meses restantes no seu prazo de registro.</w:t>
      </w:r>
    </w:p>
    <w:p w:rsidR="008B1196" w:rsidRPr="00EB4D74" w:rsidRDefault="008B1196" w:rsidP="008B1196">
      <w:pPr>
        <w:rPr>
          <w:rFonts w:cs="Tahoma"/>
          <w:lang w:val="it-IT"/>
        </w:rPr>
      </w:pPr>
    </w:p>
    <w:p w:rsidR="008B1196" w:rsidRPr="00EB4D74" w:rsidRDefault="008B1196" w:rsidP="008B1196">
      <w:pPr>
        <w:outlineLvl w:val="1"/>
        <w:rPr>
          <w:rFonts w:cs="Tahoma"/>
          <w:lang w:val="it-IT"/>
        </w:rPr>
      </w:pPr>
      <w:r w:rsidRPr="00EB4D74">
        <w:rPr>
          <w:rFonts w:cs="Tahoma"/>
          <w:b/>
          <w:sz w:val="20"/>
          <w:lang w:val="pt-BR"/>
        </w:rPr>
        <w:t>Compromisso Monetário</w:t>
      </w:r>
    </w:p>
    <w:p w:rsidR="008B1196" w:rsidRPr="00EB4D74" w:rsidRDefault="008B1196" w:rsidP="008B1196">
      <w:pPr>
        <w:outlineLvl w:val="1"/>
        <w:rPr>
          <w:rFonts w:cs="Tahoma"/>
          <w:lang w:val="it-IT"/>
        </w:rPr>
      </w:pPr>
    </w:p>
    <w:p w:rsidR="008B1196" w:rsidRPr="00EB4D74" w:rsidRDefault="008B1196" w:rsidP="008B1196">
      <w:pPr>
        <w:outlineLvl w:val="1"/>
        <w:rPr>
          <w:rFonts w:cs="Tahoma"/>
          <w:lang w:val="it-IT"/>
        </w:rPr>
      </w:pPr>
      <w:r w:rsidRPr="00EB4D74">
        <w:rPr>
          <w:rFonts w:cs="Tahoma"/>
          <w:lang w:val="pt-BR"/>
        </w:rPr>
        <w:t>O pedido inicial dos clientes deve incluir um Compromisso Monetário e pode ser substituído a qualquer momento antes do último mês do seu prazo de registro. O Compromisso Monetário de acordo com a opção de assinatura de um ano será rateado pelos 12 meses seguintes. O Compromisso Monetário de acordo com a opção de assinatura coextensiva será alocado proporcionalmente pelo prazo de registro.</w:t>
      </w:r>
    </w:p>
    <w:p w:rsidR="008B1196" w:rsidRPr="00EB4D74" w:rsidRDefault="008B1196" w:rsidP="008B1196">
      <w:pPr>
        <w:outlineLvl w:val="1"/>
        <w:rPr>
          <w:rFonts w:cs="Tahoma"/>
          <w:lang w:val="it-IT"/>
        </w:rPr>
      </w:pPr>
    </w:p>
    <w:p w:rsidR="008B1196" w:rsidRPr="00EB4D74" w:rsidRDefault="008B1196" w:rsidP="008B1196">
      <w:pPr>
        <w:rPr>
          <w:rFonts w:cs="Tahoma"/>
          <w:lang w:val="it-IT"/>
        </w:rPr>
      </w:pPr>
      <w:r w:rsidRPr="00EB4D74">
        <w:rPr>
          <w:rFonts w:cs="Tahoma"/>
          <w:lang w:val="pt-BR"/>
        </w:rPr>
        <w:t>Os clientes podem aumentar seu Compromisso Monetário a qualquer momento, fazendo pedidos adicionais. Os pedidos adicionais serão incluídos no Compromisso Anual Alocado atual e estarão disponíveis para uso no primeiro dia do mês depois que a Microsoft processar tal pedido. Para a opção de assinatura coextensiva, os Compromissos Anuais Alocados futuros do cliente serão incrementados pelo valor do pedido adicional multiplicado por 12, divididos pelo número de meses inteiros restantes no ano em que o pedido adicional foi feito.</w:t>
      </w:r>
    </w:p>
    <w:p w:rsidR="008B1196" w:rsidRPr="00EB4D74" w:rsidRDefault="008B1196" w:rsidP="008B1196">
      <w:pPr>
        <w:rPr>
          <w:rFonts w:cs="Tahoma"/>
          <w:lang w:val="it-IT"/>
        </w:rPr>
      </w:pPr>
    </w:p>
    <w:p w:rsidR="008B1196" w:rsidRPr="00EB4D74" w:rsidRDefault="008B1196" w:rsidP="008B1196">
      <w:pPr>
        <w:outlineLvl w:val="1"/>
        <w:rPr>
          <w:rFonts w:cs="Tahoma"/>
          <w:lang w:val="it-IT"/>
        </w:rPr>
      </w:pPr>
      <w:r w:rsidRPr="00EB4D74">
        <w:rPr>
          <w:rFonts w:cs="Tahoma"/>
          <w:lang w:val="pt-BR"/>
        </w:rPr>
        <w:t>Os clientes devem consumir seu Compromisso Anual Alocado até o último dia do 12º mês após o pedido para a opção de assinatura de um ano e até o último dia do mês que antecede o aniversário do registro todo ano para a opção de assinatura coextensiva. Qualquer parte não usada do Compromisso Anual Alocado não será transferida para o próximo período e será perdida.</w:t>
      </w:r>
    </w:p>
    <w:p w:rsidR="008B1196" w:rsidRPr="00EB4D74" w:rsidRDefault="008B1196" w:rsidP="008B1196">
      <w:pPr>
        <w:rPr>
          <w:rFonts w:cs="Tahoma"/>
          <w:lang w:val="it-IT"/>
        </w:rPr>
      </w:pPr>
    </w:p>
    <w:p w:rsidR="008B1196" w:rsidRPr="00EB4D74" w:rsidRDefault="008B1196" w:rsidP="008B1196">
      <w:pPr>
        <w:outlineLvl w:val="1"/>
        <w:rPr>
          <w:rFonts w:cs="Tahoma"/>
          <w:lang w:val="it-IT"/>
        </w:rPr>
      </w:pPr>
      <w:r w:rsidRPr="00EB4D74">
        <w:rPr>
          <w:rFonts w:cs="Tahoma"/>
          <w:b/>
          <w:sz w:val="20"/>
          <w:lang w:val="pt-BR"/>
        </w:rPr>
        <w:t>Pagamento e Taxas</w:t>
      </w:r>
    </w:p>
    <w:p w:rsidR="008B1196" w:rsidRPr="00EB4D74" w:rsidRDefault="008B1196" w:rsidP="008B1196">
      <w:pPr>
        <w:outlineLvl w:val="1"/>
        <w:rPr>
          <w:rFonts w:cs="Tahoma"/>
          <w:lang w:val="it-IT"/>
        </w:rPr>
      </w:pPr>
    </w:p>
    <w:p w:rsidR="008B1196" w:rsidRPr="00EB4D74" w:rsidRDefault="008B1196" w:rsidP="008B1196">
      <w:pPr>
        <w:rPr>
          <w:rFonts w:cs="Tahoma"/>
          <w:lang w:val="it-IT"/>
        </w:rPr>
      </w:pPr>
      <w:r w:rsidRPr="00EB4D74">
        <w:rPr>
          <w:rFonts w:cs="Tahoma"/>
          <w:lang w:val="pt-BR"/>
        </w:rPr>
        <w:t>No caso da opção de assinatura de um ano, os pedidos serão faturados imediatamente para os clientes ou seus revendedores. No caso da opção de assinatura coextensiva, o primeiro Compromisso Anual Alocado será faturado imediatamente, os Compromissos Anuais Alocados futuros serão faturados na data de início de vigência do aniversário do registro. Opcionalmente, os clientes poderão optar por pagar seu Compromisso Monetário inteiro fazendo o pedido inicial.</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A cada mês, a Microsoft deduzirá do Compromisso Anual Alocado o valor monetário do uso feito por parte do cliente dos Serviços do Windows Azure. Assim que o saldo do Compromisso Anual Alocado do cliente tiver se esgotado, qualquer uso adicional naquele mês e nos meses restantes no caso da opção de assinatura de um ano ou nos meses restantes do ano atual do registro no caso da opção coextensiva será faturado de acordo com as Taxas de Consumo. Se o cliente escolher a opção de assinatura de um ano, qualquer uso de acordo com as Taxas de Consumo será faturado ao cliente ou seu revendedor no final de cada trimestre do registro e no final do prazo de assinatura</w:t>
      </w:r>
      <w:r w:rsidRPr="00EB4D74">
        <w:rPr>
          <w:rStyle w:val="CommentReference"/>
          <w:rFonts w:cs="Tahoma"/>
          <w:lang w:val="pt-BR"/>
        </w:rPr>
        <w:t xml:space="preserve">. </w:t>
      </w:r>
      <w:r w:rsidRPr="00EB4D74">
        <w:rPr>
          <w:rFonts w:cs="Tahoma"/>
          <w:lang w:val="pt-BR"/>
        </w:rPr>
        <w:t>Se o cliente escolher a opção de assinatura coextensiva, qualquer uso de acordo com as Taxas de Consumo será faturado ao cliente ou seu revendedor no final de cada trimestre do registro</w:t>
      </w:r>
      <w:r w:rsidRPr="00EB4D74">
        <w:rPr>
          <w:rStyle w:val="CommentReference"/>
          <w:rFonts w:cs="Tahoma"/>
          <w:lang w:val="pt-BR"/>
        </w:rPr>
        <w:t>.</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lastRenderedPageBreak/>
        <w:t>Todo o uso dos Serviços do Windows Azure após o término ou a rescisão do prazo de assinatura de um cliente será faturado para o cliente ou seu revendedor às Taxas de Consumo trimestralmente</w:t>
      </w:r>
      <w:r w:rsidRPr="00EB4D74">
        <w:rPr>
          <w:rStyle w:val="CommentReference"/>
          <w:rFonts w:cs="Tahoma"/>
          <w:lang w:val="pt-BR"/>
        </w:rPr>
        <w:t>.</w:t>
      </w:r>
    </w:p>
    <w:p w:rsidR="008B1196" w:rsidRPr="00EB4D74" w:rsidRDefault="008B1196" w:rsidP="008B1196">
      <w:pPr>
        <w:rPr>
          <w:rFonts w:cs="Tahoma"/>
          <w:lang w:val="it-IT"/>
        </w:rPr>
      </w:pPr>
    </w:p>
    <w:p w:rsidR="008B1196" w:rsidRPr="00EB4D74" w:rsidRDefault="008B1196" w:rsidP="008B1196">
      <w:pPr>
        <w:rPr>
          <w:rFonts w:cs="Tahoma"/>
          <w:lang w:val="pt-BR"/>
        </w:rPr>
      </w:pPr>
      <w:r w:rsidRPr="00EB4D74">
        <w:rPr>
          <w:rFonts w:cs="Tahoma"/>
          <w:lang w:val="pt-BR"/>
        </w:rPr>
        <w:t>A Microsoft poderá diminuir preços de Serviços individuais do Windows Azure durante o prazo do registro do cliente. Para os clientes que adquiriram os Serviços do Windows Azure diretamente da Microsoft, a Tabela de Preços ao Cliente poderá indicar um preço mais alto do que o preço vigente. A Microsoft concederá preços mais baixos a esses clientes durante o período em que eles estiverem em vigência. A Microsoft fornecerá aos clientes uma notificação sobre tais alterações.</w:t>
      </w:r>
    </w:p>
    <w:p w:rsidR="008B1196" w:rsidRPr="00EB4D74" w:rsidRDefault="008B1196" w:rsidP="008B1196">
      <w:pPr>
        <w:rPr>
          <w:rFonts w:cs="Tahoma"/>
          <w:lang w:val="pt-BR"/>
        </w:rPr>
      </w:pPr>
    </w:p>
    <w:p w:rsidR="008B1196" w:rsidRPr="00EB4D74" w:rsidRDefault="008B1196" w:rsidP="008B1196">
      <w:pPr>
        <w:rPr>
          <w:rFonts w:cs="Tahoma"/>
          <w:lang w:val="it-IT"/>
        </w:rPr>
      </w:pPr>
      <w:r w:rsidRPr="00EB4D74">
        <w:rPr>
          <w:rFonts w:cs="Tahoma"/>
          <w:szCs w:val="18"/>
          <w:lang w:val="pt-BR"/>
        </w:rPr>
        <w:t xml:space="preserve">Os termos de pagamento e preços das assinaturas adquiridas por meio de revendedores serão determinados pelo contrato entre o cliente e seu revendedor. </w:t>
      </w:r>
      <w:r w:rsidRPr="00EB4D74">
        <w:rPr>
          <w:rFonts w:cs="Tahoma"/>
          <w:lang w:val="pt-BR"/>
        </w:rPr>
        <w:t>O revendedor de um cliente fornecerá informações adicionais relativas ao processo de pedidos de Serviços do Windows Azure. Os preços e os termos de cobrança para todos os Serviços do Windows Azure serão regidos por um contrato separado entre o cliente e seu respectivo revendedor. A Microsoft poderá baixar os preços para os Serviços do Windows Azure apenas durante o prazo do registro do cliente e poderá fornecer preços mais baixos para o revendedor do cliente durante o período em que eles estiverem vigentes. A Microsoft fornecerá ao revendedor do cliente uma notificação sobre tais alterações. O cliente e seu revendedor determinarão os preços reais e a aplicabilidade das alterações de preços.</w:t>
      </w:r>
    </w:p>
    <w:p w:rsidR="008B1196" w:rsidRPr="00EB4D74" w:rsidRDefault="008B1196" w:rsidP="008B1196">
      <w:pPr>
        <w:rPr>
          <w:rFonts w:cs="Tahoma"/>
          <w:lang w:val="it-IT"/>
        </w:rPr>
      </w:pPr>
    </w:p>
    <w:p w:rsidR="008B1196" w:rsidRPr="00EB4D74" w:rsidRDefault="008B1196" w:rsidP="008B1196">
      <w:pPr>
        <w:outlineLvl w:val="1"/>
        <w:rPr>
          <w:rFonts w:cs="Tahoma"/>
        </w:rPr>
      </w:pPr>
      <w:r w:rsidRPr="00EB4D74">
        <w:rPr>
          <w:rFonts w:cs="Tahoma"/>
          <w:b/>
          <w:sz w:val="20"/>
          <w:lang w:val="pt-BR"/>
        </w:rPr>
        <w:t>Taxas de Compromissos do Windows Azure</w:t>
      </w:r>
    </w:p>
    <w:p w:rsidR="008B1196" w:rsidRPr="00EB4D74" w:rsidRDefault="008B1196" w:rsidP="008B1196">
      <w:pPr>
        <w:outlineLvl w:val="1"/>
        <w:rPr>
          <w:rFonts w:cs="Tahoma"/>
        </w:rPr>
      </w:pPr>
    </w:p>
    <w:p w:rsidR="008B1196" w:rsidRPr="00EB4D74" w:rsidRDefault="008B1196" w:rsidP="008B1196">
      <w:pPr>
        <w:outlineLvl w:val="1"/>
        <w:rPr>
          <w:rFonts w:cs="Tahoma"/>
          <w:lang w:val="it-IT"/>
        </w:rPr>
      </w:pPr>
      <w:r w:rsidRPr="00EB4D74">
        <w:rPr>
          <w:rFonts w:cs="Tahoma"/>
          <w:lang w:val="pt-BR"/>
        </w:rPr>
        <w:t>As Taxas de Compromissos dos Clientes para Serviços do Windows Azure se baseiam em seu Nível de Compromisso Monetário do Windows Azure e na categoria de preços do registro. O Nível de Compromisso Monetário do Windows Azure é determinado pela quantidade de Compromissos Monetários do Windows Azure (ou seja, o valor monetário total que o cliente se compromete a dispor anualmente durante a vigência da assinatura do Windows Azure) e corresponde ao desconto especificado na tabela abaixo (expresso como uma porcentagem das Taxas Excedentes/Consumo do Windows Azure).</w:t>
      </w:r>
    </w:p>
    <w:p w:rsidR="008B1196" w:rsidRPr="00EB4D74" w:rsidRDefault="008B1196" w:rsidP="008B1196">
      <w:pPr>
        <w:ind w:left="720"/>
        <w:outlineLvl w:val="1"/>
        <w:rPr>
          <w:rFonts w:cs="Tahoma"/>
          <w:lang w:val="it-IT"/>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310"/>
        <w:gridCol w:w="2874"/>
        <w:gridCol w:w="2082"/>
      </w:tblGrid>
      <w:tr w:rsidR="008B1196" w:rsidRPr="00EB4D74" w:rsidTr="00EA30FC">
        <w:trPr>
          <w:trHeight w:val="515"/>
          <w:tblHeader/>
          <w:jc w:val="center"/>
        </w:trPr>
        <w:tc>
          <w:tcPr>
            <w:tcW w:w="2310" w:type="dxa"/>
            <w:shd w:val="clear" w:color="auto" w:fill="FABF8F"/>
            <w:tcMar>
              <w:top w:w="0" w:type="dxa"/>
              <w:left w:w="108" w:type="dxa"/>
              <w:bottom w:w="0" w:type="dxa"/>
              <w:right w:w="108" w:type="dxa"/>
            </w:tcMar>
          </w:tcPr>
          <w:p w:rsidR="008B1196" w:rsidRPr="00EB4D74" w:rsidRDefault="008B1196" w:rsidP="00EA30FC">
            <w:pPr>
              <w:jc w:val="center"/>
              <w:rPr>
                <w:rFonts w:eastAsia="Times New Roman" w:cs="Tahoma"/>
                <w:b/>
                <w:bCs/>
                <w:szCs w:val="18"/>
              </w:rPr>
            </w:pPr>
            <w:r w:rsidRPr="00EB4D74">
              <w:rPr>
                <w:rFonts w:cs="Tahoma"/>
                <w:b/>
                <w:lang w:val="pt-BR"/>
              </w:rPr>
              <w:t>Nível de Compromisso Monetário do Windows Azure</w:t>
            </w:r>
          </w:p>
        </w:tc>
        <w:tc>
          <w:tcPr>
            <w:tcW w:w="2874" w:type="dxa"/>
            <w:shd w:val="clear" w:color="auto" w:fill="FABF8F"/>
            <w:tcMar>
              <w:top w:w="0" w:type="dxa"/>
              <w:left w:w="108" w:type="dxa"/>
              <w:bottom w:w="0" w:type="dxa"/>
              <w:right w:w="108" w:type="dxa"/>
            </w:tcMar>
          </w:tcPr>
          <w:p w:rsidR="008B1196" w:rsidRPr="00EB4D74" w:rsidRDefault="008B1196" w:rsidP="00EA30FC">
            <w:pPr>
              <w:jc w:val="center"/>
              <w:rPr>
                <w:rFonts w:eastAsia="Times New Roman" w:cs="Tahoma"/>
                <w:b/>
                <w:bCs/>
                <w:szCs w:val="18"/>
              </w:rPr>
            </w:pPr>
            <w:r w:rsidRPr="00EB4D74">
              <w:rPr>
                <w:rFonts w:cs="Tahoma"/>
                <w:b/>
                <w:lang w:val="pt-BR"/>
              </w:rPr>
              <w:t>Quantidade de Unidade de Compromisso Monetário Anual do Windows Azure*</w:t>
            </w:r>
          </w:p>
        </w:tc>
        <w:tc>
          <w:tcPr>
            <w:tcW w:w="2082" w:type="dxa"/>
            <w:shd w:val="clear" w:color="auto" w:fill="FABF8F"/>
          </w:tcPr>
          <w:p w:rsidR="008B1196" w:rsidRPr="00EB4D74" w:rsidRDefault="008B1196" w:rsidP="00EA30FC">
            <w:pPr>
              <w:jc w:val="center"/>
              <w:rPr>
                <w:rFonts w:eastAsia="Times New Roman" w:cs="Tahoma"/>
                <w:b/>
                <w:bCs/>
                <w:szCs w:val="18"/>
              </w:rPr>
            </w:pPr>
            <w:r w:rsidRPr="00EB4D74">
              <w:rPr>
                <w:rFonts w:cs="Tahoma"/>
                <w:b/>
                <w:lang w:val="pt-BR"/>
              </w:rPr>
              <w:t>Desconto Sobre as Taxas de Consumo</w:t>
            </w:r>
          </w:p>
        </w:tc>
      </w:tr>
      <w:tr w:rsidR="008B1196" w:rsidRPr="00EB4D74" w:rsidTr="00EA30FC">
        <w:trPr>
          <w:trHeight w:val="258"/>
          <w:jc w:val="center"/>
        </w:trPr>
        <w:tc>
          <w:tcPr>
            <w:tcW w:w="2310" w:type="dxa"/>
            <w:tcMar>
              <w:top w:w="0" w:type="dxa"/>
              <w:left w:w="108" w:type="dxa"/>
              <w:bottom w:w="0" w:type="dxa"/>
              <w:right w:w="108" w:type="dxa"/>
            </w:tcMar>
          </w:tcPr>
          <w:p w:rsidR="008B1196" w:rsidRPr="00EB4D74" w:rsidRDefault="008B1196" w:rsidP="00EA30FC">
            <w:pPr>
              <w:spacing w:before="100" w:beforeAutospacing="1" w:after="100" w:afterAutospacing="1"/>
              <w:ind w:right="259"/>
              <w:jc w:val="center"/>
              <w:rPr>
                <w:rFonts w:eastAsia="Times New Roman" w:cs="Tahoma"/>
                <w:szCs w:val="18"/>
              </w:rPr>
            </w:pPr>
            <w:r w:rsidRPr="00EB4D74">
              <w:rPr>
                <w:rFonts w:cs="Tahoma"/>
                <w:szCs w:val="18"/>
                <w:lang w:val="pt-BR"/>
              </w:rPr>
              <w:t>Nível 1</w:t>
            </w:r>
          </w:p>
        </w:tc>
        <w:tc>
          <w:tcPr>
            <w:tcW w:w="2874" w:type="dxa"/>
            <w:tcMar>
              <w:top w:w="0" w:type="dxa"/>
              <w:left w:w="108" w:type="dxa"/>
              <w:bottom w:w="0" w:type="dxa"/>
              <w:right w:w="108" w:type="dxa"/>
            </w:tcMar>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lang w:val="pt-BR"/>
              </w:rPr>
              <w:t>Até 1.799 Unidades</w:t>
            </w:r>
          </w:p>
        </w:tc>
        <w:tc>
          <w:tcPr>
            <w:tcW w:w="2082" w:type="dxa"/>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szCs w:val="18"/>
              </w:rPr>
              <w:t>23%</w:t>
            </w:r>
          </w:p>
        </w:tc>
      </w:tr>
      <w:tr w:rsidR="008B1196" w:rsidRPr="00EB4D74" w:rsidTr="00EA30FC">
        <w:trPr>
          <w:trHeight w:val="258"/>
          <w:jc w:val="center"/>
        </w:trPr>
        <w:tc>
          <w:tcPr>
            <w:tcW w:w="2310" w:type="dxa"/>
            <w:tcMar>
              <w:top w:w="0" w:type="dxa"/>
              <w:left w:w="108" w:type="dxa"/>
              <w:bottom w:w="0" w:type="dxa"/>
              <w:right w:w="108" w:type="dxa"/>
            </w:tcMar>
          </w:tcPr>
          <w:p w:rsidR="008B1196" w:rsidRPr="00EB4D74" w:rsidRDefault="008B1196" w:rsidP="00EA30FC">
            <w:pPr>
              <w:spacing w:before="100" w:beforeAutospacing="1" w:after="100" w:afterAutospacing="1"/>
              <w:ind w:right="259"/>
              <w:jc w:val="center"/>
              <w:rPr>
                <w:rFonts w:eastAsia="Times New Roman" w:cs="Tahoma"/>
                <w:szCs w:val="18"/>
              </w:rPr>
            </w:pPr>
            <w:r w:rsidRPr="00EB4D74">
              <w:rPr>
                <w:rFonts w:cs="Tahoma"/>
                <w:szCs w:val="18"/>
                <w:lang w:val="pt-BR"/>
              </w:rPr>
              <w:t>Nível 2</w:t>
            </w:r>
          </w:p>
        </w:tc>
        <w:tc>
          <w:tcPr>
            <w:tcW w:w="2874" w:type="dxa"/>
            <w:tcMar>
              <w:top w:w="0" w:type="dxa"/>
              <w:left w:w="108" w:type="dxa"/>
              <w:bottom w:w="0" w:type="dxa"/>
              <w:right w:w="108" w:type="dxa"/>
            </w:tcMar>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lang w:val="pt-BR"/>
              </w:rPr>
              <w:t>1.800 – 4.799 Unidades</w:t>
            </w:r>
          </w:p>
        </w:tc>
        <w:tc>
          <w:tcPr>
            <w:tcW w:w="2082" w:type="dxa"/>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szCs w:val="18"/>
              </w:rPr>
              <w:t>26%</w:t>
            </w:r>
          </w:p>
        </w:tc>
      </w:tr>
      <w:tr w:rsidR="008B1196" w:rsidRPr="00EB4D74" w:rsidTr="00EA30FC">
        <w:trPr>
          <w:trHeight w:val="258"/>
          <w:jc w:val="center"/>
        </w:trPr>
        <w:tc>
          <w:tcPr>
            <w:tcW w:w="2310" w:type="dxa"/>
            <w:tcMar>
              <w:top w:w="0" w:type="dxa"/>
              <w:left w:w="108" w:type="dxa"/>
              <w:bottom w:w="0" w:type="dxa"/>
              <w:right w:w="108" w:type="dxa"/>
            </w:tcMar>
          </w:tcPr>
          <w:p w:rsidR="008B1196" w:rsidRPr="00EB4D74" w:rsidRDefault="008B1196" w:rsidP="00EA30FC">
            <w:pPr>
              <w:spacing w:before="100" w:beforeAutospacing="1" w:after="100" w:afterAutospacing="1"/>
              <w:ind w:right="259"/>
              <w:jc w:val="center"/>
              <w:rPr>
                <w:rFonts w:eastAsia="Times New Roman" w:cs="Tahoma"/>
                <w:szCs w:val="18"/>
              </w:rPr>
            </w:pPr>
            <w:r w:rsidRPr="00EB4D74">
              <w:rPr>
                <w:rFonts w:cs="Tahoma"/>
                <w:szCs w:val="18"/>
                <w:lang w:val="pt-BR"/>
              </w:rPr>
              <w:t>Nível 3</w:t>
            </w:r>
          </w:p>
        </w:tc>
        <w:tc>
          <w:tcPr>
            <w:tcW w:w="2874" w:type="dxa"/>
            <w:tcMar>
              <w:top w:w="0" w:type="dxa"/>
              <w:left w:w="108" w:type="dxa"/>
              <w:bottom w:w="0" w:type="dxa"/>
              <w:right w:w="108" w:type="dxa"/>
            </w:tcMar>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lang w:val="pt-BR"/>
              </w:rPr>
              <w:t>4.800 – 11.999 Unidades</w:t>
            </w:r>
          </w:p>
        </w:tc>
        <w:tc>
          <w:tcPr>
            <w:tcW w:w="2082" w:type="dxa"/>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szCs w:val="18"/>
              </w:rPr>
              <w:t>30%</w:t>
            </w:r>
          </w:p>
        </w:tc>
      </w:tr>
      <w:tr w:rsidR="008B1196" w:rsidRPr="00EB4D74" w:rsidTr="00EA30FC">
        <w:trPr>
          <w:trHeight w:val="258"/>
          <w:jc w:val="center"/>
        </w:trPr>
        <w:tc>
          <w:tcPr>
            <w:tcW w:w="2310" w:type="dxa"/>
            <w:tcMar>
              <w:top w:w="0" w:type="dxa"/>
              <w:left w:w="108" w:type="dxa"/>
              <w:bottom w:w="0" w:type="dxa"/>
              <w:right w:w="108" w:type="dxa"/>
            </w:tcMar>
          </w:tcPr>
          <w:p w:rsidR="008B1196" w:rsidRPr="00EB4D74" w:rsidRDefault="008B1196" w:rsidP="00EA30FC">
            <w:pPr>
              <w:spacing w:before="100" w:beforeAutospacing="1" w:after="100" w:afterAutospacing="1"/>
              <w:ind w:right="259"/>
              <w:jc w:val="center"/>
              <w:rPr>
                <w:rFonts w:eastAsia="Times New Roman" w:cs="Tahoma"/>
                <w:szCs w:val="18"/>
              </w:rPr>
            </w:pPr>
            <w:r w:rsidRPr="00EB4D74">
              <w:rPr>
                <w:rFonts w:cs="Tahoma"/>
                <w:szCs w:val="18"/>
                <w:lang w:val="pt-BR"/>
              </w:rPr>
              <w:t>Nível 4</w:t>
            </w:r>
          </w:p>
        </w:tc>
        <w:tc>
          <w:tcPr>
            <w:tcW w:w="2874" w:type="dxa"/>
            <w:tcMar>
              <w:top w:w="0" w:type="dxa"/>
              <w:left w:w="108" w:type="dxa"/>
              <w:bottom w:w="0" w:type="dxa"/>
              <w:right w:w="108" w:type="dxa"/>
            </w:tcMar>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lang w:val="pt-BR"/>
              </w:rPr>
              <w:t>Mais de 12.000 Unidades</w:t>
            </w:r>
          </w:p>
        </w:tc>
        <w:tc>
          <w:tcPr>
            <w:tcW w:w="2082" w:type="dxa"/>
          </w:tcPr>
          <w:p w:rsidR="008B1196" w:rsidRPr="00EB4D74" w:rsidRDefault="008B1196" w:rsidP="00EA30FC">
            <w:pPr>
              <w:spacing w:before="100" w:beforeAutospacing="1" w:after="100" w:afterAutospacing="1"/>
              <w:ind w:left="557" w:right="180"/>
              <w:jc w:val="center"/>
              <w:rPr>
                <w:rFonts w:eastAsia="Times New Roman" w:cs="Tahoma"/>
                <w:szCs w:val="18"/>
              </w:rPr>
            </w:pPr>
            <w:r w:rsidRPr="00EB4D74">
              <w:rPr>
                <w:rFonts w:cs="Tahoma"/>
                <w:szCs w:val="18"/>
              </w:rPr>
              <w:t>35%</w:t>
            </w:r>
          </w:p>
        </w:tc>
      </w:tr>
    </w:tbl>
    <w:p w:rsidR="008B1196" w:rsidRPr="00EB4D74" w:rsidRDefault="008B1196" w:rsidP="008B1196">
      <w:pPr>
        <w:ind w:left="1080"/>
        <w:outlineLvl w:val="1"/>
        <w:rPr>
          <w:rFonts w:cs="Tahoma"/>
        </w:rPr>
      </w:pPr>
      <w:r w:rsidRPr="00EB4D74">
        <w:rPr>
          <w:rFonts w:cs="Tahoma"/>
          <w:i/>
          <w:sz w:val="16"/>
          <w:lang w:val="pt-BR"/>
        </w:rPr>
        <w:t>* Unidade é um valor monetário na moeda aplicável</w:t>
      </w:r>
    </w:p>
    <w:p w:rsidR="008B1196" w:rsidRPr="00EB4D74" w:rsidRDefault="008B1196" w:rsidP="008B1196">
      <w:pPr>
        <w:outlineLvl w:val="1"/>
        <w:rPr>
          <w:rFonts w:cs="Tahoma"/>
        </w:rPr>
      </w:pPr>
    </w:p>
    <w:p w:rsidR="008B1196" w:rsidRPr="00EB4D74" w:rsidRDefault="008B1196" w:rsidP="008B1196">
      <w:pPr>
        <w:outlineLvl w:val="1"/>
        <w:rPr>
          <w:rFonts w:cs="Tahoma"/>
          <w:lang w:val="pt-BR"/>
        </w:rPr>
      </w:pPr>
      <w:r w:rsidRPr="00EB4D74">
        <w:rPr>
          <w:rFonts w:cs="Tahoma"/>
          <w:szCs w:val="18"/>
          <w:lang w:val="pt-BR"/>
        </w:rPr>
        <w:t>Um cliente pode aumentar sua quantidade de Compromisso Monetário anual do Windows Azure e qualificar-se para um Nível mais alto a qualquer momento durante a vigência da assinatura do Windows Azure. As novas Taxas de Compromisso se aplicarão ao uso que o cliente faz dos Serviços do Windows Azure, começando no primeiro dia do mês calendário depois que o cliente ajusta sua quantidade de licenças de Compromisso Monetário anual do Windows Azure.</w:t>
      </w:r>
    </w:p>
    <w:p w:rsidR="008B1196" w:rsidRPr="00EB4D74" w:rsidRDefault="008B1196" w:rsidP="008B1196">
      <w:pPr>
        <w:outlineLvl w:val="1"/>
        <w:rPr>
          <w:rFonts w:cs="Tahoma"/>
          <w:lang w:val="pt-BR"/>
        </w:rPr>
      </w:pPr>
    </w:p>
    <w:p w:rsidR="008B1196" w:rsidRPr="00EB4D74" w:rsidRDefault="008B1196" w:rsidP="008B1196">
      <w:pPr>
        <w:outlineLvl w:val="1"/>
        <w:rPr>
          <w:rFonts w:cs="Tahoma"/>
          <w:lang w:val="it-IT"/>
        </w:rPr>
      </w:pPr>
      <w:r w:rsidRPr="00EB4D74">
        <w:rPr>
          <w:rFonts w:cs="Tahoma"/>
          <w:szCs w:val="18"/>
          <w:lang w:val="pt-BR"/>
        </w:rPr>
        <w:t xml:space="preserve">A Tabela de Preços ao Cliente refletirá os preços da Taxa de Compromisso Nível 1. </w:t>
      </w:r>
      <w:r w:rsidRPr="00EB4D74">
        <w:rPr>
          <w:rFonts w:cs="Tahoma"/>
          <w:lang w:val="pt-BR"/>
        </w:rPr>
        <w:t>Os preços reais da Taxa de Compromisso serão mostrados na página Exibição da Conta no Portal Corporativo do Windows Azure. Os termos de pagamento e preços dos Serviços do Windows Azure adquiridos por meio de revendedores serão determinados pelo contrato entre o cliente e seu revendedor.</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2"/>
        <w:ind w:left="0"/>
        <w:rPr>
          <w:rFonts w:ascii="Tahoma" w:hAnsi="Tahoma" w:cs="Tahoma"/>
          <w:lang w:val="it-IT"/>
        </w:rPr>
      </w:pPr>
      <w:bookmarkStart w:id="803" w:name="_Toc328145984"/>
      <w:bookmarkStart w:id="804" w:name="_Toc336338215"/>
      <w:bookmarkStart w:id="805" w:name="_Toc342914852"/>
      <w:bookmarkEnd w:id="803"/>
      <w:bookmarkEnd w:id="804"/>
      <w:r w:rsidRPr="00EB4D74">
        <w:rPr>
          <w:rFonts w:ascii="Tahoma" w:hAnsi="Tahoma" w:cs="Tahoma"/>
          <w:lang w:val="pt-BR"/>
        </w:rPr>
        <w:t>Disponibilidade Regional dos Serviços Online</w:t>
      </w:r>
      <w:bookmarkEnd w:id="805"/>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r w:rsidRPr="00EB4D74">
        <w:rPr>
          <w:rFonts w:cs="Tahoma"/>
          <w:lang w:val="pt-BR"/>
        </w:rPr>
        <w:t xml:space="preserve">Visite o site </w:t>
      </w:r>
      <w:hyperlink r:id="rId13" w:anchor="international" w:history="1">
        <w:r w:rsidRPr="00EB4D74">
          <w:rPr>
            <w:rStyle w:val="Hyperlink"/>
            <w:rFonts w:cs="Tahoma"/>
            <w:lang w:val="pt-BR"/>
          </w:rPr>
          <w:t>http://www.microsoft.com/online/faq.aspx#international</w:t>
        </w:r>
      </w:hyperlink>
      <w:r w:rsidRPr="00EB4D74">
        <w:rPr>
          <w:rFonts w:cs="Tahoma"/>
          <w:lang w:val="pt-BR"/>
        </w:rPr>
        <w:t xml:space="preserve"> para obter uma lista de países e regiões nos quais os Serviços Online estão disponíveis.</w:t>
      </w:r>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p>
    <w:p w:rsidR="008B1196" w:rsidRDefault="008B1196" w:rsidP="008B1196">
      <w:pPr>
        <w:pStyle w:val="Heading2"/>
        <w:ind w:left="0"/>
        <w:rPr>
          <w:rFonts w:ascii="Tahoma" w:hAnsi="Tahoma" w:cs="Tahoma"/>
          <w:lang w:val="pt-BR"/>
        </w:rPr>
      </w:pPr>
      <w:bookmarkStart w:id="806" w:name="_Toc328145985"/>
      <w:bookmarkStart w:id="807" w:name="_Toc336338216"/>
      <w:bookmarkStart w:id="808" w:name="_Toc342914853"/>
      <w:bookmarkEnd w:id="806"/>
      <w:bookmarkEnd w:id="807"/>
    </w:p>
    <w:p w:rsidR="008B1196" w:rsidRPr="00EB4D74" w:rsidRDefault="008B1196" w:rsidP="008B1196">
      <w:pPr>
        <w:pStyle w:val="Heading2"/>
        <w:ind w:left="0"/>
        <w:rPr>
          <w:rFonts w:ascii="Tahoma" w:hAnsi="Tahoma" w:cs="Tahoma"/>
          <w:lang w:val="it-IT"/>
        </w:rPr>
      </w:pPr>
      <w:r w:rsidRPr="00EB4D74">
        <w:rPr>
          <w:rFonts w:ascii="Tahoma" w:hAnsi="Tahoma" w:cs="Tahoma"/>
          <w:lang w:val="pt-BR"/>
        </w:rPr>
        <w:lastRenderedPageBreak/>
        <w:t>Termos adicionais de Serviços Online</w:t>
      </w:r>
      <w:bookmarkEnd w:id="808"/>
    </w:p>
    <w:p w:rsidR="008B1196" w:rsidRPr="00EB4D74" w:rsidRDefault="008B1196" w:rsidP="008B1196">
      <w:pPr>
        <w:outlineLvl w:val="2"/>
        <w:rPr>
          <w:rFonts w:cs="Tahoma"/>
          <w:lang w:val="it-IT"/>
        </w:rPr>
      </w:pPr>
    </w:p>
    <w:p w:rsidR="008B1196" w:rsidRPr="00EB4D74" w:rsidRDefault="008B1196" w:rsidP="008B1196">
      <w:pPr>
        <w:rPr>
          <w:rFonts w:cs="Tahoma"/>
          <w:lang w:val="it-IT"/>
        </w:rPr>
      </w:pPr>
      <w:r w:rsidRPr="00EB4D74">
        <w:rPr>
          <w:rFonts w:cs="Tahoma"/>
          <w:lang w:val="pt-BR"/>
        </w:rPr>
        <w:t>Esta Lista de Produtos pode conter informações adicionais sobre produtos específicos. Para saber mais, consulte as seções sobre produtos neste documento.</w:t>
      </w:r>
    </w:p>
    <w:p w:rsidR="008B1196" w:rsidRPr="00EB4D74" w:rsidRDefault="008B1196" w:rsidP="008B1196">
      <w:pPr>
        <w:rPr>
          <w:rFonts w:cs="Tahoma"/>
          <w:lang w:val="it-IT"/>
        </w:rPr>
      </w:pPr>
      <w:r w:rsidRPr="00EB4D74">
        <w:rPr>
          <w:rFonts w:cs="Tahoma"/>
          <w:lang w:val="pt-BR"/>
        </w:rPr>
        <w:t>Os Direitos de Uso de Produto encontrados no site http://www.microsoftvolumelicensing.com/userights/PUR.aspx estabelecem outros termos e condições gerais e específicos a produtos que regem o uso dos serviços online. Os direitos de uso de produto dos serviços online estão sujeitos a alterações conforme descrito na seção sobre Serviços Online desse documento.</w:t>
      </w:r>
    </w:p>
    <w:p w:rsidR="008B1196" w:rsidRPr="00EB4D74" w:rsidRDefault="008B1196" w:rsidP="008B1196">
      <w:pPr>
        <w:rPr>
          <w:rFonts w:cs="Tahoma"/>
          <w:lang w:val="it-IT"/>
        </w:rPr>
      </w:pPr>
    </w:p>
    <w:p w:rsidR="008B1196" w:rsidRPr="00EB4D74" w:rsidRDefault="008B1196" w:rsidP="008B1196">
      <w:pPr>
        <w:rPr>
          <w:rFonts w:cs="Tahoma"/>
          <w:lang w:val="pt-BR"/>
        </w:rPr>
      </w:pPr>
      <w:bookmarkStart w:id="809" w:name="_Toc325313160"/>
      <w:r w:rsidRPr="00EB4D74">
        <w:rPr>
          <w:rFonts w:cs="Tahoma"/>
          <w:lang w:val="pt-BR"/>
        </w:rPr>
        <w:t xml:space="preserve">Os Termos de Pagamento e Preços de Serviços Online não se aplicam aos Serviços Online obtidos de acordo com o Contrato Microsoft Online Subscription. </w:t>
      </w:r>
      <w:bookmarkEnd w:id="809"/>
      <w:r w:rsidRPr="00EB4D74">
        <w:rPr>
          <w:rFonts w:cs="Tahoma"/>
          <w:lang w:val="pt-BR"/>
        </w:rPr>
        <w:t>Todos os termos aplicáveis dos Serviços Online obtidos de acordo com o Contrato Microsoft Online Subscription estão contidos nesse contrato e no Portal do Cliente do Microsoft Online Services.</w:t>
      </w:r>
    </w:p>
    <w:p w:rsidR="008B1196" w:rsidRPr="00EB4D74" w:rsidRDefault="008B1196" w:rsidP="008B1196">
      <w:pPr>
        <w:pStyle w:val="Heading1"/>
        <w:spacing w:after="120"/>
      </w:pPr>
      <w:r w:rsidRPr="00EB4D74">
        <w:br w:type="page"/>
      </w:r>
      <w:bookmarkStart w:id="810" w:name="_Toc336338217"/>
      <w:bookmarkStart w:id="811" w:name="_Toc342914854"/>
      <w:bookmarkEnd w:id="810"/>
      <w:r w:rsidRPr="00EB4D74">
        <w:lastRenderedPageBreak/>
        <w:t>SEÇÃO 6 – regras de renovação DO Software Assurance</w:t>
      </w:r>
      <w:bookmarkEnd w:id="811"/>
    </w:p>
    <w:p w:rsidR="008B1196" w:rsidRPr="00EB4D74" w:rsidRDefault="008B1196" w:rsidP="008B1196">
      <w:pPr>
        <w:rPr>
          <w:rFonts w:cs="Tahoma"/>
          <w:sz w:val="24"/>
          <w:szCs w:val="24"/>
        </w:rPr>
      </w:pPr>
    </w:p>
    <w:p w:rsidR="008B1196" w:rsidRPr="00EB4D74" w:rsidRDefault="008B1196" w:rsidP="008B1196">
      <w:pPr>
        <w:pStyle w:val="Heading4"/>
        <w:tabs>
          <w:tab w:val="clear" w:pos="720"/>
          <w:tab w:val="num" w:pos="0"/>
        </w:tabs>
        <w:ind w:left="0" w:firstLine="0"/>
        <w:rPr>
          <w:rFonts w:ascii="Tahoma" w:hAnsi="Tahoma" w:cs="Tahoma"/>
          <w:lang w:val="it-IT"/>
        </w:rPr>
      </w:pPr>
      <w:bookmarkStart w:id="812" w:name="_Toc323159745"/>
      <w:bookmarkStart w:id="813" w:name="_Toc336338218"/>
      <w:bookmarkStart w:id="814" w:name="_Toc342914855"/>
      <w:bookmarkEnd w:id="812"/>
      <w:bookmarkEnd w:id="813"/>
      <w:r w:rsidRPr="00EB4D74">
        <w:rPr>
          <w:rFonts w:ascii="Tahoma" w:hAnsi="Tahoma" w:cs="Tahoma"/>
          <w:sz w:val="24"/>
          <w:lang w:val="pt-BR"/>
        </w:rPr>
        <w:t>Licença Open</w:t>
      </w:r>
      <w:bookmarkEnd w:id="814"/>
    </w:p>
    <w:p w:rsidR="008B1196" w:rsidRPr="00EB4D74" w:rsidRDefault="008B1196" w:rsidP="008B1196">
      <w:pPr>
        <w:pStyle w:val="Heading4"/>
        <w:tabs>
          <w:tab w:val="clear" w:pos="720"/>
          <w:tab w:val="num" w:pos="0"/>
        </w:tabs>
        <w:spacing w:before="0"/>
        <w:ind w:left="0" w:firstLine="0"/>
        <w:rPr>
          <w:rFonts w:ascii="Tahoma" w:hAnsi="Tahoma" w:cs="Tahoma"/>
          <w:sz w:val="18"/>
          <w:szCs w:val="18"/>
          <w:lang w:val="it-IT"/>
        </w:rPr>
      </w:pPr>
    </w:p>
    <w:p w:rsidR="008B1196" w:rsidRPr="00EB4D74" w:rsidRDefault="008B1196" w:rsidP="008B1196">
      <w:pPr>
        <w:pStyle w:val="StyleHeading22Left138Firstline0"/>
        <w:tabs>
          <w:tab w:val="num" w:pos="0"/>
        </w:tabs>
        <w:ind w:left="0"/>
        <w:jc w:val="left"/>
        <w:rPr>
          <w:rFonts w:ascii="Tahoma" w:hAnsi="Tahoma" w:cs="Tahoma"/>
          <w:lang w:val="it-IT"/>
        </w:rPr>
      </w:pPr>
      <w:r w:rsidRPr="00EB4D74">
        <w:rPr>
          <w:rFonts w:ascii="Tahoma" w:hAnsi="Tahoma" w:cs="Tahoma"/>
          <w:sz w:val="18"/>
          <w:lang w:val="pt-BR"/>
        </w:rPr>
        <w:t xml:space="preserve">A cobertura do Software Assurance solicitada sob um número de autorização de Licença Open se encerrará ao término desse número. Para renovar essa cobertura, os clientes deverão enviar um pedido de renovação do Software Assurance para todas as cópias de todos os produtos para os quais desejem renovar a cobertura dentro de 90 dias após a data de término do número de autorização. Os clientes poderão solicitar o Software Assurance sem precisar solicitar uma Licença simultaneamente, desde que a cobertura do Software Assurance seja renovada conforme determinado acima. A nova cobertura do Software Assurance começa na data de início de vigência do novo número de autorização. </w:t>
      </w:r>
    </w:p>
    <w:p w:rsidR="008B1196" w:rsidRPr="00EB4D74" w:rsidRDefault="008B1196" w:rsidP="008B1196">
      <w:pPr>
        <w:pStyle w:val="AppendIndentSub"/>
        <w:ind w:left="0"/>
        <w:rPr>
          <w:rFonts w:ascii="Tahoma" w:hAnsi="Tahoma" w:cs="Tahoma"/>
          <w:lang w:val="it-IT"/>
        </w:rPr>
      </w:pPr>
    </w:p>
    <w:p w:rsidR="008B1196" w:rsidRPr="00EB4D74" w:rsidRDefault="008B1196" w:rsidP="008B1196">
      <w:pPr>
        <w:pStyle w:val="AppendIndentSub"/>
        <w:ind w:left="0"/>
        <w:rPr>
          <w:rFonts w:ascii="Tahoma" w:hAnsi="Tahoma" w:cs="Tahoma"/>
          <w:lang w:val="it-IT"/>
        </w:rPr>
      </w:pPr>
    </w:p>
    <w:p w:rsidR="008B1196" w:rsidRPr="00EB4D74" w:rsidRDefault="008B1196" w:rsidP="008B1196">
      <w:pPr>
        <w:pStyle w:val="Heading4"/>
        <w:ind w:left="360"/>
        <w:rPr>
          <w:rFonts w:ascii="Tahoma" w:hAnsi="Tahoma" w:cs="Tahoma"/>
          <w:lang w:val="it-IT"/>
        </w:rPr>
      </w:pPr>
      <w:bookmarkStart w:id="815" w:name="_Toc336338219"/>
      <w:bookmarkStart w:id="816" w:name="_Toc342914856"/>
      <w:bookmarkEnd w:id="815"/>
      <w:r w:rsidRPr="00EB4D74">
        <w:rPr>
          <w:rFonts w:ascii="Tahoma" w:hAnsi="Tahoma" w:cs="Tahoma"/>
          <w:sz w:val="24"/>
          <w:lang w:val="pt-BR"/>
        </w:rPr>
        <w:t>Open Value 20xx</w:t>
      </w:r>
      <w:bookmarkEnd w:id="816"/>
    </w:p>
    <w:p w:rsidR="008B1196" w:rsidRPr="00EB4D74" w:rsidRDefault="008B1196" w:rsidP="008B1196">
      <w:pPr>
        <w:tabs>
          <w:tab w:val="num" w:pos="0"/>
        </w:tabs>
        <w:rPr>
          <w:rFonts w:cs="Tahoma"/>
          <w:lang w:val="it-IT"/>
        </w:rPr>
      </w:pPr>
    </w:p>
    <w:p w:rsidR="008B1196" w:rsidRPr="00EB4D74" w:rsidRDefault="008B1196" w:rsidP="008B1196">
      <w:pPr>
        <w:keepNext/>
        <w:tabs>
          <w:tab w:val="num" w:pos="720"/>
        </w:tabs>
        <w:spacing w:before="60"/>
        <w:ind w:left="360" w:hanging="360"/>
        <w:outlineLvl w:val="3"/>
        <w:rPr>
          <w:rFonts w:cs="Tahoma"/>
          <w:lang w:val="it-IT"/>
        </w:rPr>
      </w:pPr>
      <w:r w:rsidRPr="00EB4D74">
        <w:rPr>
          <w:rFonts w:cs="Tahoma"/>
          <w:b/>
          <w:sz w:val="20"/>
          <w:lang w:val="pt-BR"/>
        </w:rPr>
        <w:t>Renovação da Cobertura sob o Mesmo Contrato</w:t>
      </w:r>
    </w:p>
    <w:p w:rsidR="008B1196" w:rsidRPr="00EB4D74" w:rsidRDefault="008B1196" w:rsidP="008B1196">
      <w:pPr>
        <w:tabs>
          <w:tab w:val="num" w:pos="0"/>
        </w:tabs>
        <w:rPr>
          <w:rFonts w:cs="Tahoma"/>
          <w:lang w:val="it-IT"/>
        </w:rPr>
      </w:pPr>
    </w:p>
    <w:p w:rsidR="008B1196" w:rsidRPr="00EB4D74" w:rsidRDefault="008B1196" w:rsidP="008B1196">
      <w:pPr>
        <w:tabs>
          <w:tab w:val="num" w:pos="0"/>
        </w:tabs>
        <w:rPr>
          <w:rFonts w:cs="Tahoma"/>
          <w:lang w:val="it-IT"/>
        </w:rPr>
      </w:pPr>
      <w:r w:rsidRPr="00EB4D74">
        <w:rPr>
          <w:rFonts w:cs="Tahoma"/>
          <w:szCs w:val="20"/>
          <w:lang w:val="pt-BR"/>
        </w:rPr>
        <w:t xml:space="preserve">A cobertura do Software Assurance solicitada sob um contrato Open Value se encerrará ao término (ou na rescisão) do referido contrato. </w:t>
      </w:r>
      <w:r w:rsidRPr="00EB4D74">
        <w:rPr>
          <w:rFonts w:cs="Tahoma"/>
          <w:lang w:val="pt-BR"/>
        </w:rPr>
        <w:t>Os clientes receberão uma notificação por escrito 60 dias antes do término do contrato, informando-os sobre suas opções de renovação. Os clientes poderão ter a opção de renovar seus contratos por um período de 36 meses subsequentes. Para renovar a cobertura do Software Assurance, os clientes deverão enviar um pedido de renovação do Software Assurance antes do término do prazo anterior. Se um cliente tiver escolhido a opção para toda a empresa, ele deverá solicitar o Software Assurance para todas as cópias de qualquer produto que deseje renovar para toda a empresa. Se um cliente não tiver escolhido a opção para toda a empresa, ele poderá renovar a cobertura para um número indeterminado de licenças registradas anteriormente. Cada prazo de renovação terá início no dia seguinte ao término do prazo anterior. Os clientes poderão solicitar o Software Assurance sem precisar solicitar uma Licença simultaneamente, desde que a cobertura do Software Assurance seja renovada conforme determinado acima.</w:t>
      </w:r>
    </w:p>
    <w:p w:rsidR="008B1196" w:rsidRPr="00EB4D74" w:rsidRDefault="008B1196" w:rsidP="008B1196">
      <w:pPr>
        <w:tabs>
          <w:tab w:val="num" w:pos="0"/>
        </w:tabs>
        <w:rPr>
          <w:rFonts w:cs="Tahoma"/>
          <w:lang w:val="it-IT"/>
        </w:rPr>
      </w:pPr>
    </w:p>
    <w:p w:rsidR="008B1196" w:rsidRPr="00EB4D74" w:rsidRDefault="008B1196" w:rsidP="008B1196">
      <w:pPr>
        <w:keepNext/>
        <w:tabs>
          <w:tab w:val="num" w:pos="720"/>
        </w:tabs>
        <w:spacing w:before="60"/>
        <w:ind w:left="360" w:hanging="360"/>
        <w:outlineLvl w:val="3"/>
        <w:rPr>
          <w:rFonts w:cs="Tahoma"/>
          <w:lang w:val="it-IT"/>
        </w:rPr>
      </w:pPr>
      <w:r w:rsidRPr="00EB4D74">
        <w:rPr>
          <w:rFonts w:cs="Tahoma"/>
          <w:b/>
          <w:sz w:val="20"/>
          <w:lang w:val="pt-BR"/>
        </w:rPr>
        <w:t>Renovação da Cobertura a partir de um Contrato Separado</w:t>
      </w:r>
    </w:p>
    <w:p w:rsidR="008B1196" w:rsidRPr="00EB4D74" w:rsidRDefault="008B1196" w:rsidP="008B1196">
      <w:pPr>
        <w:tabs>
          <w:tab w:val="num" w:pos="0"/>
        </w:tabs>
        <w:rPr>
          <w:rFonts w:cs="Tahoma"/>
          <w:lang w:val="it-IT"/>
        </w:rPr>
      </w:pPr>
    </w:p>
    <w:p w:rsidR="008B1196" w:rsidRPr="00EB4D74" w:rsidRDefault="008B1196" w:rsidP="008B1196">
      <w:pPr>
        <w:tabs>
          <w:tab w:val="num" w:pos="0"/>
        </w:tabs>
        <w:rPr>
          <w:rFonts w:cs="Tahoma"/>
          <w:lang w:val="it-IT"/>
        </w:rPr>
      </w:pPr>
      <w:r w:rsidRPr="00EB4D74">
        <w:rPr>
          <w:rFonts w:cs="Tahoma"/>
          <w:szCs w:val="20"/>
          <w:lang w:val="pt-BR"/>
        </w:rPr>
        <w:t>O cliente poderá renovar o Software Assurance para qualquer produto sem precisar solicitar uma Licença simultaneamente caso tenha obtido uma licença perpétua e o Software Assurance para esse produto sob um contrato anterior e seu novo contrato entre em vigor até o dia seguinte à data do término do contrato anterior. O pedido de renovação do Software Assurance deverá ser feito antes do término da cobertura do Software Assurance sob o contrato anterior, a menos que essa cobertura esteja sendo renovada de um Contrato de Licença Open. Nesse caso, os clientes terão 90 dias a partir da data de término para fazer o pedido.</w:t>
      </w:r>
    </w:p>
    <w:p w:rsidR="008B1196" w:rsidRPr="00EB4D74" w:rsidRDefault="008B1196" w:rsidP="008B1196">
      <w:pPr>
        <w:tabs>
          <w:tab w:val="num" w:pos="0"/>
        </w:tabs>
        <w:rPr>
          <w:rFonts w:cs="Tahoma"/>
          <w:lang w:val="it-IT"/>
        </w:rPr>
      </w:pPr>
    </w:p>
    <w:p w:rsidR="008B1196" w:rsidRPr="00EB4D74" w:rsidRDefault="008B1196" w:rsidP="008B1196">
      <w:pPr>
        <w:tabs>
          <w:tab w:val="num" w:pos="0"/>
        </w:tabs>
        <w:rPr>
          <w:rFonts w:cs="Tahoma"/>
          <w:lang w:val="it-IT"/>
        </w:rPr>
      </w:pPr>
    </w:p>
    <w:p w:rsidR="008B1196" w:rsidRPr="00EB4D74" w:rsidRDefault="008B1196" w:rsidP="008B1196">
      <w:pPr>
        <w:pStyle w:val="Heading4"/>
        <w:ind w:left="360"/>
        <w:rPr>
          <w:rFonts w:ascii="Tahoma" w:hAnsi="Tahoma" w:cs="Tahoma"/>
          <w:lang w:val="it-IT"/>
        </w:rPr>
      </w:pPr>
      <w:bookmarkStart w:id="817" w:name="_Toc323159746"/>
      <w:bookmarkStart w:id="818" w:name="_Toc336338220"/>
      <w:bookmarkStart w:id="819" w:name="_Toc342914857"/>
      <w:bookmarkEnd w:id="817"/>
      <w:bookmarkEnd w:id="818"/>
      <w:r w:rsidRPr="00EB4D74">
        <w:rPr>
          <w:rFonts w:ascii="Tahoma" w:hAnsi="Tahoma" w:cs="Tahoma"/>
          <w:sz w:val="24"/>
          <w:lang w:val="pt-BR"/>
        </w:rPr>
        <w:t>Select 20xx</w:t>
      </w:r>
      <w:bookmarkEnd w:id="819"/>
    </w:p>
    <w:p w:rsidR="008B1196" w:rsidRPr="00EB4D74" w:rsidRDefault="008B1196" w:rsidP="008B1196">
      <w:pPr>
        <w:tabs>
          <w:tab w:val="num" w:pos="0"/>
        </w:tabs>
        <w:rPr>
          <w:rFonts w:cs="Tahoma"/>
          <w:lang w:val="it-IT"/>
        </w:rPr>
      </w:pPr>
    </w:p>
    <w:p w:rsidR="008B1196" w:rsidRPr="00EB4D74" w:rsidRDefault="008B1196" w:rsidP="008B1196">
      <w:pPr>
        <w:pStyle w:val="Heading4"/>
        <w:ind w:left="360"/>
        <w:rPr>
          <w:rFonts w:ascii="Tahoma" w:hAnsi="Tahoma" w:cs="Tahoma"/>
          <w:lang w:val="it-IT"/>
        </w:rPr>
      </w:pPr>
      <w:bookmarkStart w:id="820" w:name="_Toc323159747"/>
      <w:bookmarkStart w:id="821" w:name="_Toc328145990"/>
      <w:bookmarkStart w:id="822" w:name="_Toc336338221"/>
      <w:bookmarkStart w:id="823" w:name="_Toc342914858"/>
      <w:bookmarkEnd w:id="820"/>
      <w:bookmarkEnd w:id="821"/>
      <w:bookmarkEnd w:id="822"/>
      <w:r w:rsidRPr="00EB4D74">
        <w:rPr>
          <w:rFonts w:ascii="Tahoma" w:hAnsi="Tahoma" w:cs="Tahoma"/>
          <w:lang w:val="pt-BR"/>
        </w:rPr>
        <w:t>Renovação da Cobertura sob o Mesmo Contrato</w:t>
      </w:r>
      <w:bookmarkEnd w:id="823"/>
    </w:p>
    <w:p w:rsidR="008B1196" w:rsidRPr="00EB4D74" w:rsidRDefault="008B1196" w:rsidP="008B1196">
      <w:pPr>
        <w:pStyle w:val="styleheading22left138firstline00"/>
        <w:tabs>
          <w:tab w:val="num" w:pos="0"/>
        </w:tabs>
        <w:snapToGrid w:val="0"/>
        <w:ind w:left="0"/>
        <w:jc w:val="left"/>
        <w:rPr>
          <w:rFonts w:ascii="Tahoma" w:hAnsi="Tahoma" w:cs="Tahoma"/>
          <w:lang w:val="it-IT"/>
        </w:rPr>
      </w:pPr>
    </w:p>
    <w:p w:rsidR="008B1196" w:rsidRPr="00EB4D74" w:rsidRDefault="008B1196" w:rsidP="008B1196">
      <w:pPr>
        <w:pStyle w:val="styleheading22left138firstline00"/>
        <w:tabs>
          <w:tab w:val="num" w:pos="0"/>
        </w:tabs>
        <w:snapToGrid w:val="0"/>
        <w:ind w:left="0"/>
        <w:jc w:val="left"/>
        <w:rPr>
          <w:rFonts w:ascii="Tahoma" w:hAnsi="Tahoma" w:cs="Tahoma"/>
          <w:lang w:val="it-IT"/>
        </w:rPr>
      </w:pPr>
      <w:r w:rsidRPr="00EB4D74">
        <w:rPr>
          <w:rFonts w:ascii="Tahoma" w:hAnsi="Tahoma" w:cs="Tahoma"/>
          <w:sz w:val="18"/>
          <w:lang w:val="pt-BR"/>
        </w:rPr>
        <w:t>A cobertura do Software Assurance solicitada de acordo com os registros sob um contrato Select se encerrará ao término (ou na rescisão) do referido contrato (ou na rescisão do registro aplicável, caso seja anterior). Os clientes receberão uma notificação por escrito 60 dias antes do término de seus contratos, informando-os sobre suas opções de renovação. Os clientes poderão ter a opção de renovar seus contratos por um período de 12 ou 36 meses subsequentes. Para renovar a cobertura do Software Assurance para quaisquer cópias inscritas sob seu registro, um cliente deverá enviar um pedido de renovação à Microsoft por meio de seu revendedor antes do término do prazo anterior. Os pedidos de renovação deverão ser para todo o prazo da renovação. Cada prazo de renovação terá início no dia seguinte ao término do prazo anterior.</w:t>
      </w:r>
    </w:p>
    <w:p w:rsidR="008B1196" w:rsidRPr="00EB4D74" w:rsidRDefault="008B1196" w:rsidP="008B1196">
      <w:pPr>
        <w:rPr>
          <w:rFonts w:cs="Tahoma"/>
          <w:lang w:val="it-IT"/>
        </w:rPr>
      </w:pPr>
      <w:bookmarkStart w:id="824" w:name="_Toc323159748"/>
      <w:bookmarkStart w:id="825" w:name="_Toc336338222"/>
    </w:p>
    <w:p w:rsidR="008B1196" w:rsidRPr="00EB4D74" w:rsidRDefault="008B1196" w:rsidP="008B1196">
      <w:pPr>
        <w:pStyle w:val="Heading4"/>
        <w:ind w:left="360"/>
        <w:rPr>
          <w:rFonts w:ascii="Tahoma" w:hAnsi="Tahoma" w:cs="Tahoma"/>
          <w:lang w:val="it-IT"/>
        </w:rPr>
      </w:pPr>
      <w:bookmarkStart w:id="826" w:name="_Toc342914859"/>
      <w:bookmarkEnd w:id="824"/>
      <w:bookmarkEnd w:id="825"/>
      <w:r w:rsidRPr="00EB4D74">
        <w:rPr>
          <w:rFonts w:ascii="Tahoma" w:hAnsi="Tahoma" w:cs="Tahoma"/>
          <w:lang w:val="pt-BR"/>
        </w:rPr>
        <w:lastRenderedPageBreak/>
        <w:t>Renovação da Cobertura a partir de um Contrato Separado</w:t>
      </w:r>
      <w:bookmarkEnd w:id="826"/>
    </w:p>
    <w:p w:rsidR="008B1196" w:rsidRPr="00EB4D74" w:rsidRDefault="008B1196" w:rsidP="008B1196">
      <w:pPr>
        <w:pStyle w:val="styleheading22left138firstline00"/>
        <w:tabs>
          <w:tab w:val="num" w:pos="0"/>
        </w:tabs>
        <w:snapToGrid w:val="0"/>
        <w:ind w:left="0"/>
        <w:jc w:val="left"/>
        <w:rPr>
          <w:rFonts w:ascii="Tahoma" w:hAnsi="Tahoma" w:cs="Tahoma"/>
          <w:sz w:val="18"/>
          <w:szCs w:val="18"/>
          <w:lang w:val="it-IT"/>
        </w:rPr>
      </w:pPr>
    </w:p>
    <w:p w:rsidR="008B1196" w:rsidRPr="00EB4D74" w:rsidRDefault="008B1196" w:rsidP="008B1196">
      <w:pPr>
        <w:pStyle w:val="styleheading22left138firstline00"/>
        <w:tabs>
          <w:tab w:val="num" w:pos="0"/>
        </w:tabs>
        <w:snapToGrid w:val="0"/>
        <w:ind w:left="0"/>
        <w:jc w:val="left"/>
        <w:rPr>
          <w:rFonts w:ascii="Tahoma" w:hAnsi="Tahoma" w:cs="Tahoma"/>
          <w:lang w:val="it-IT"/>
        </w:rPr>
      </w:pPr>
      <w:r w:rsidRPr="00EB4D74">
        <w:rPr>
          <w:rFonts w:ascii="Tahoma" w:hAnsi="Tahoma" w:cs="Tahoma"/>
          <w:sz w:val="18"/>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(i) o novo registro tenha data de início de vigência até um dia após o término da vigência do Software Assurance e (ii) a afiliada registrada faça o pedido do Software Assurance no momento em que enviar o novo registro à Microsoft por meio de seu revendedor.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rsidR="008B1196" w:rsidRPr="00EB4D74" w:rsidRDefault="008B1196" w:rsidP="008B1196">
      <w:pPr>
        <w:outlineLvl w:val="2"/>
        <w:rPr>
          <w:rFonts w:cs="Tahoma"/>
          <w:lang w:val="it-IT"/>
        </w:rPr>
      </w:pPr>
    </w:p>
    <w:p w:rsidR="008B1196" w:rsidRPr="00EB4D74" w:rsidRDefault="008B1196" w:rsidP="008B1196">
      <w:pPr>
        <w:outlineLvl w:val="2"/>
        <w:rPr>
          <w:rFonts w:cs="Tahoma"/>
          <w:lang w:val="it-IT"/>
        </w:rPr>
      </w:pPr>
    </w:p>
    <w:p w:rsidR="008B1196" w:rsidRPr="00EB4D74" w:rsidRDefault="008B1196" w:rsidP="008B1196">
      <w:pPr>
        <w:pStyle w:val="Heading4"/>
        <w:ind w:left="360"/>
        <w:rPr>
          <w:rFonts w:ascii="Tahoma" w:hAnsi="Tahoma" w:cs="Tahoma"/>
          <w:lang w:val="it-IT"/>
        </w:rPr>
      </w:pPr>
      <w:bookmarkStart w:id="827" w:name="_Toc336338223"/>
      <w:bookmarkStart w:id="828" w:name="_Toc342914860"/>
      <w:bookmarkEnd w:id="827"/>
      <w:r w:rsidRPr="00EB4D74">
        <w:rPr>
          <w:rFonts w:ascii="Tahoma" w:hAnsi="Tahoma" w:cs="Tahoma"/>
          <w:sz w:val="24"/>
          <w:lang w:val="pt-BR"/>
        </w:rPr>
        <w:t>Select Plus 20xx</w:t>
      </w:r>
      <w:bookmarkEnd w:id="828"/>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sz w:val="20"/>
          <w:lang w:val="pt-BR"/>
        </w:rPr>
        <w:t>Renovação da Cobertura sob o Mesmo Contrato</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Vigente a partir de 1º de março de 2011, a cobertura inicial de Software Assurance (nova ou renovação) solicitada sob um registro Select Plus se encerrará 24 meses mais o número de meses a partir da data de início da cobertura de Software Assurance para o próximo “aniversário da afiliada” (esse é o mês definido pelo cliente que serão tomadas as decisões de renovação anual). Os Clientes e os Parceiros receberão uma notificação por escrito sobre suas opções de renovação antes do término da cobertura do Software Assurance. Para renovar a cobertura do Software Assurance para quaisquer cópias solicitadas anteriormente, um cliente deverá enviar um pedido de renovação à Microsoft por meio de seu revendedor antes ou no término do prazo anterior de cobertura de Software Assurance. Os pedidos de renovação deverão ser para todo o prazo da renovação de 36 meses. Cada prazo de renovação terá início no dia seguinte ao término do prazo anterior.</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sz w:val="20"/>
          <w:lang w:val="pt-BR"/>
        </w:rPr>
        <w:t>Renovação da Cobertura a partir de um Contrato Separado</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Os clientes poderão solicitar o Software Assurance sem precisar solicitar simultaneamente uma Licença para as cópias de produtos para os quais já foram obtidas licenças perpétuas por meio do Software Assurance em outros programas de licenciamento por volume, contanto que o novo pedido tenha data de início de vigência até um dia após o término do referido Software Assurance. O pedido de renovação do Software Assurance deverá ser feito antes do término da cobertura sob o contrato anterior, a menos que a cobertura esteja sendo transferida de um Contrato de Licença Open. Nesse caso, os clientes terão 90 dias a partir da data de término para fazer o pedido.</w:t>
      </w:r>
    </w:p>
    <w:p w:rsidR="008B1196" w:rsidRPr="00EB4D74" w:rsidRDefault="008B1196" w:rsidP="008B1196">
      <w:pPr>
        <w:tabs>
          <w:tab w:val="num" w:pos="0"/>
        </w:tabs>
        <w:rPr>
          <w:rFonts w:cs="Tahoma"/>
          <w:lang w:val="it-IT"/>
        </w:rPr>
      </w:pPr>
    </w:p>
    <w:p w:rsidR="008B1196" w:rsidRPr="00EB4D74" w:rsidRDefault="008B1196" w:rsidP="008B1196">
      <w:pPr>
        <w:tabs>
          <w:tab w:val="num" w:pos="0"/>
        </w:tabs>
        <w:rPr>
          <w:rFonts w:cs="Tahoma"/>
          <w:lang w:val="it-IT"/>
        </w:rPr>
      </w:pPr>
    </w:p>
    <w:p w:rsidR="008B1196" w:rsidRPr="00EB4D74" w:rsidRDefault="008B1196" w:rsidP="008B1196">
      <w:pPr>
        <w:pStyle w:val="Heading4"/>
        <w:ind w:hanging="720"/>
        <w:rPr>
          <w:rFonts w:ascii="Tahoma" w:hAnsi="Tahoma" w:cs="Tahoma"/>
          <w:lang w:val="it-IT"/>
        </w:rPr>
      </w:pPr>
      <w:bookmarkStart w:id="829" w:name="_Toc336338224"/>
      <w:bookmarkStart w:id="830" w:name="_Toc342914861"/>
      <w:bookmarkEnd w:id="829"/>
      <w:r w:rsidRPr="00EB4D74">
        <w:rPr>
          <w:rFonts w:ascii="Tahoma" w:hAnsi="Tahoma" w:cs="Tahoma"/>
          <w:sz w:val="24"/>
          <w:lang w:val="pt-BR"/>
        </w:rPr>
        <w:t>Contrato Enterprise 2011 ou versões posteriores</w:t>
      </w:r>
      <w:bookmarkEnd w:id="830"/>
    </w:p>
    <w:p w:rsidR="008B1196" w:rsidRPr="00EB4D74" w:rsidRDefault="008B1196" w:rsidP="008B1196">
      <w:pPr>
        <w:outlineLvl w:val="2"/>
        <w:rPr>
          <w:rFonts w:cs="Tahoma"/>
          <w:lang w:val="it-IT"/>
        </w:rPr>
      </w:pPr>
    </w:p>
    <w:p w:rsidR="008B1196" w:rsidRPr="00EB4D74" w:rsidRDefault="008B1196" w:rsidP="008B1196">
      <w:pPr>
        <w:keepNext/>
        <w:tabs>
          <w:tab w:val="num" w:pos="720"/>
        </w:tabs>
        <w:spacing w:before="60"/>
        <w:ind w:left="360" w:hanging="360"/>
        <w:outlineLvl w:val="3"/>
        <w:rPr>
          <w:rFonts w:cs="Tahoma"/>
          <w:lang w:val="it-IT"/>
        </w:rPr>
      </w:pPr>
      <w:r w:rsidRPr="00EB4D74">
        <w:rPr>
          <w:rFonts w:cs="Tahoma"/>
          <w:b/>
          <w:sz w:val="20"/>
          <w:lang w:val="pt-BR"/>
        </w:rPr>
        <w:t>Renovação da Cobertura sob o Mesmo Contrato</w:t>
      </w:r>
    </w:p>
    <w:p w:rsidR="008B1196" w:rsidRPr="00EB4D74" w:rsidRDefault="008B1196" w:rsidP="008B1196">
      <w:pPr>
        <w:tabs>
          <w:tab w:val="num" w:pos="0"/>
        </w:tabs>
        <w:rPr>
          <w:rFonts w:cs="Tahoma"/>
          <w:szCs w:val="18"/>
          <w:u w:val="single"/>
          <w:lang w:val="it-IT"/>
        </w:rPr>
      </w:pPr>
    </w:p>
    <w:p w:rsidR="008B1196" w:rsidRPr="00EB4D74" w:rsidRDefault="008B1196" w:rsidP="008B1196">
      <w:pPr>
        <w:tabs>
          <w:tab w:val="num" w:pos="0"/>
        </w:tabs>
        <w:rPr>
          <w:rFonts w:cs="Tahoma"/>
          <w:lang w:val="it-IT"/>
        </w:rPr>
      </w:pPr>
      <w:r w:rsidRPr="00EB4D74">
        <w:rPr>
          <w:rFonts w:cs="Tahoma"/>
          <w:lang w:val="pt-BR"/>
        </w:rPr>
        <w:t>Ao término do registro, o cliente estará qualificado para o preço do Contrato Enterprise de renovação, que se baseia unicamente no Software Assurance. Os clientes receberão uma notificação por escrito de suas opções de renovação antes do término do registro. Os clientes poderão ter a opção de renovar o registro por um período de 36 meses subsequentes. Após esse prazo de renovação, para renovar a cobertura do Software Assurance, o cliente deverá assinar um novo Registro. Para renovar a cobertura do Software Assurance sob o mesmo registro, os clientes deverão enviar um pedido de renovação para o Software Assurance (conforme aplicável) para 1) todos os produtos Enterprise, Produtos da Plataforma de Aplicativos, Produtos Core Infrastructure e Produtos Adicionais que desejarem renovar e 2) todos os Serviços Online, responsáveis pelas transações (se aplicável). Esse pedido deverá ser enviado antes do término do prazo anterior. O prazo de renovação terá início no dia seguinte ao término do prazo anterior. Para obter informações sobre como renovar a cobertura do Software Assurance sob um registro subsequente, veja abaixo.</w:t>
      </w:r>
    </w:p>
    <w:p w:rsidR="008B1196" w:rsidRPr="00EB4D74" w:rsidRDefault="008B1196" w:rsidP="008B1196">
      <w:pPr>
        <w:tabs>
          <w:tab w:val="num" w:pos="0"/>
        </w:tabs>
        <w:rPr>
          <w:rFonts w:cs="Tahoma"/>
          <w:b/>
          <w:szCs w:val="18"/>
          <w:lang w:val="it-IT"/>
        </w:rPr>
      </w:pPr>
    </w:p>
    <w:p w:rsidR="008B1196" w:rsidRPr="00EB4D74" w:rsidRDefault="008B1196" w:rsidP="008B1196">
      <w:pPr>
        <w:tabs>
          <w:tab w:val="num" w:pos="0"/>
        </w:tabs>
        <w:rPr>
          <w:rFonts w:cs="Tahoma"/>
          <w:b/>
          <w:szCs w:val="18"/>
          <w:lang w:val="it-IT"/>
        </w:rPr>
      </w:pPr>
    </w:p>
    <w:p w:rsidR="008B1196" w:rsidRPr="00EB4D74" w:rsidRDefault="008B1196" w:rsidP="008B1196">
      <w:pPr>
        <w:tabs>
          <w:tab w:val="num" w:pos="0"/>
        </w:tabs>
        <w:rPr>
          <w:rFonts w:cs="Tahoma"/>
          <w:b/>
          <w:szCs w:val="18"/>
          <w:lang w:val="it-IT"/>
        </w:rPr>
      </w:pPr>
    </w:p>
    <w:p w:rsidR="008B1196" w:rsidRPr="00EB4D74" w:rsidRDefault="008B1196" w:rsidP="008B1196">
      <w:pPr>
        <w:tabs>
          <w:tab w:val="num" w:pos="0"/>
        </w:tabs>
        <w:rPr>
          <w:rFonts w:cs="Tahoma"/>
          <w:b/>
          <w:szCs w:val="18"/>
          <w:lang w:val="it-IT"/>
        </w:rPr>
      </w:pPr>
    </w:p>
    <w:p w:rsidR="008B1196" w:rsidRPr="00EB4D74" w:rsidRDefault="008B1196" w:rsidP="008B1196">
      <w:pPr>
        <w:tabs>
          <w:tab w:val="num" w:pos="0"/>
        </w:tabs>
        <w:rPr>
          <w:rFonts w:cs="Tahoma"/>
          <w:b/>
          <w:szCs w:val="18"/>
          <w:lang w:val="it-IT"/>
        </w:rPr>
      </w:pPr>
    </w:p>
    <w:p w:rsidR="008B1196" w:rsidRPr="00EB4D74" w:rsidRDefault="008B1196" w:rsidP="008B1196">
      <w:pPr>
        <w:keepNext/>
        <w:tabs>
          <w:tab w:val="num" w:pos="720"/>
        </w:tabs>
        <w:spacing w:before="60"/>
        <w:ind w:left="360" w:hanging="360"/>
        <w:outlineLvl w:val="3"/>
        <w:rPr>
          <w:rFonts w:cs="Tahoma"/>
          <w:lang w:val="it-IT"/>
        </w:rPr>
      </w:pPr>
      <w:r w:rsidRPr="00EB4D74">
        <w:rPr>
          <w:rFonts w:cs="Tahoma"/>
          <w:b/>
          <w:sz w:val="20"/>
          <w:lang w:val="pt-BR"/>
        </w:rPr>
        <w:lastRenderedPageBreak/>
        <w:t>Renovação da Cobertura a partir de um Contrato Separado</w:t>
      </w:r>
    </w:p>
    <w:p w:rsidR="008B1196" w:rsidRPr="00EB4D74" w:rsidRDefault="008B1196" w:rsidP="008B1196">
      <w:pPr>
        <w:tabs>
          <w:tab w:val="num" w:pos="0"/>
        </w:tabs>
        <w:rPr>
          <w:rFonts w:cs="Tahoma"/>
          <w:szCs w:val="18"/>
          <w:u w:val="single"/>
          <w:lang w:val="it-IT"/>
        </w:rPr>
      </w:pPr>
    </w:p>
    <w:p w:rsidR="008B1196" w:rsidRDefault="008B1196" w:rsidP="008B1196">
      <w:pPr>
        <w:tabs>
          <w:tab w:val="num" w:pos="0"/>
        </w:tabs>
        <w:rPr>
          <w:rFonts w:cs="Tahoma"/>
          <w:color w:val="000000"/>
          <w:lang w:val="pt-BR"/>
        </w:rPr>
      </w:pPr>
      <w:r w:rsidRPr="00EB4D74">
        <w:rPr>
          <w:rFonts w:cs="Tahoma"/>
          <w:color w:val="000000"/>
          <w:lang w:val="pt-BR"/>
        </w:rPr>
        <w:t>O cliente poderá solicitar o Software Assurance para qualquer produto sem precisar solicitar uma Licença simultaneamente caso os clientes tenham obtido licenças perpétuas para esse produto e a cobertura do Software Assurance esteja ativa no momento da renovação. Para Produtos Adicionais, para a cobertura que estiver sendo transferida de um Contrato Open License, o cliente tem 90 dias a partir do término para fazer o pedido.</w:t>
      </w:r>
    </w:p>
    <w:p w:rsidR="008B1196" w:rsidRPr="00EB4D74" w:rsidRDefault="008B1196" w:rsidP="008B1196">
      <w:pPr>
        <w:tabs>
          <w:tab w:val="num" w:pos="0"/>
        </w:tabs>
        <w:rPr>
          <w:rFonts w:cs="Tahoma"/>
          <w:lang w:val="it-IT"/>
        </w:rPr>
      </w:pPr>
    </w:p>
    <w:p w:rsidR="008B1196" w:rsidRDefault="008B1196" w:rsidP="008B1196">
      <w:pPr>
        <w:keepNext/>
        <w:tabs>
          <w:tab w:val="num" w:pos="720"/>
        </w:tabs>
        <w:spacing w:before="60"/>
        <w:outlineLvl w:val="3"/>
        <w:rPr>
          <w:rFonts w:cs="Tahoma"/>
          <w:b/>
          <w:sz w:val="20"/>
          <w:lang w:val="pt-BR"/>
        </w:rPr>
      </w:pPr>
      <w:r w:rsidRPr="00EB4D74">
        <w:rPr>
          <w:rFonts w:cs="Tahoma"/>
          <w:b/>
          <w:sz w:val="20"/>
          <w:lang w:val="pt-BR"/>
        </w:rPr>
        <w:t>Enrollment for Application Platform</w:t>
      </w:r>
    </w:p>
    <w:p w:rsidR="008B1196" w:rsidRPr="00EB4D74" w:rsidRDefault="008B1196" w:rsidP="008B1196">
      <w:pPr>
        <w:keepNext/>
        <w:tabs>
          <w:tab w:val="num" w:pos="720"/>
        </w:tabs>
        <w:spacing w:before="60"/>
        <w:outlineLvl w:val="3"/>
        <w:rPr>
          <w:rFonts w:cs="Tahoma"/>
          <w:lang w:val="it-IT"/>
        </w:rPr>
      </w:pPr>
    </w:p>
    <w:p w:rsidR="008B1196" w:rsidRPr="00EB4D74" w:rsidRDefault="008B1196" w:rsidP="008B1196">
      <w:pPr>
        <w:tabs>
          <w:tab w:val="num" w:pos="0"/>
        </w:tabs>
        <w:rPr>
          <w:rFonts w:cs="Tahoma"/>
          <w:lang w:val="it-IT"/>
        </w:rPr>
      </w:pPr>
      <w:r w:rsidRPr="00EB4D74">
        <w:rPr>
          <w:rFonts w:cs="Tahoma"/>
          <w:lang w:val="pt-BR"/>
        </w:rPr>
        <w:t>Os clientes poderão solicitar o Software Assurance para os produtos disponíveis sem precisar solicitar uma Licença simultaneamente conforme disposto nos termos e condições do registro.</w:t>
      </w:r>
    </w:p>
    <w:p w:rsidR="008B1196" w:rsidRPr="00EB4D74" w:rsidRDefault="008B1196" w:rsidP="008B1196">
      <w:pPr>
        <w:pStyle w:val="Heading4"/>
        <w:spacing w:before="0"/>
        <w:ind w:left="0" w:firstLine="0"/>
        <w:rPr>
          <w:rFonts w:ascii="Tahoma" w:hAnsi="Tahoma" w:cs="Tahoma"/>
          <w:sz w:val="18"/>
          <w:szCs w:val="18"/>
          <w:lang w:val="it-IT"/>
        </w:rPr>
      </w:pPr>
    </w:p>
    <w:p w:rsidR="008B1196" w:rsidRPr="00EB4D74" w:rsidRDefault="008B1196" w:rsidP="008B1196">
      <w:pPr>
        <w:rPr>
          <w:rFonts w:cs="Tahoma"/>
          <w:lang w:val="it-IT"/>
        </w:rPr>
      </w:pPr>
      <w:bookmarkStart w:id="831" w:name="_Toc336338225"/>
    </w:p>
    <w:p w:rsidR="008B1196" w:rsidRPr="00EB4D74" w:rsidRDefault="008B1196" w:rsidP="008B1196">
      <w:pPr>
        <w:pStyle w:val="Heading4"/>
        <w:ind w:left="360"/>
        <w:rPr>
          <w:rFonts w:ascii="Tahoma" w:hAnsi="Tahoma" w:cs="Tahoma"/>
          <w:lang w:val="it-IT"/>
        </w:rPr>
      </w:pPr>
      <w:bookmarkStart w:id="832" w:name="_Toc342914862"/>
      <w:bookmarkEnd w:id="831"/>
      <w:r w:rsidRPr="00EB4D74">
        <w:rPr>
          <w:rFonts w:ascii="Tahoma" w:hAnsi="Tahoma" w:cs="Tahoma"/>
          <w:sz w:val="24"/>
          <w:lang w:val="pt-BR"/>
        </w:rPr>
        <w:t>Contrato Enterprise Pré-2011</w:t>
      </w:r>
      <w:bookmarkEnd w:id="832"/>
    </w:p>
    <w:p w:rsidR="008B1196" w:rsidRPr="00EB4D74" w:rsidRDefault="008B1196" w:rsidP="008B1196">
      <w:pPr>
        <w:tabs>
          <w:tab w:val="num" w:pos="0"/>
        </w:tabs>
        <w:rPr>
          <w:rFonts w:cs="Tahoma"/>
          <w:lang w:val="it-IT"/>
        </w:rPr>
      </w:pPr>
    </w:p>
    <w:p w:rsidR="008B1196" w:rsidRPr="00EB4D74" w:rsidRDefault="008B1196" w:rsidP="008B1196">
      <w:pPr>
        <w:tabs>
          <w:tab w:val="num" w:pos="0"/>
        </w:tabs>
        <w:rPr>
          <w:rFonts w:cs="Tahoma"/>
          <w:lang w:val="it-IT"/>
        </w:rPr>
      </w:pPr>
      <w:r w:rsidRPr="00EB4D74">
        <w:rPr>
          <w:rFonts w:cs="Tahoma"/>
          <w:lang w:val="pt-BR"/>
        </w:rPr>
        <w:t>Ao término do registro, o cliente estará qualificado para o preço do Contrato Enterprise de renovação, que se baseia unicamente no Software Assurance. Os clientes receberão uma notificação por escrito 60 dias antes do término do registro, informando-os sobre suas opções de renovação. Para renovar, os clientes deverão assinar um novo Registro Enterprise 2011 ou posterior e Contrato. O prazo de renovação terá início no dia seguinte ao término do prazo anterior.</w:t>
      </w:r>
    </w:p>
    <w:p w:rsidR="008B1196" w:rsidRPr="00EB4D74" w:rsidRDefault="008B1196" w:rsidP="008B1196">
      <w:pPr>
        <w:tabs>
          <w:tab w:val="num" w:pos="0"/>
        </w:tabs>
        <w:rPr>
          <w:rFonts w:cs="Tahoma"/>
          <w:lang w:val="it-IT"/>
        </w:rPr>
      </w:pPr>
    </w:p>
    <w:p w:rsidR="008B1196" w:rsidRDefault="008B1196" w:rsidP="008B1196">
      <w:pPr>
        <w:tabs>
          <w:tab w:val="num" w:pos="0"/>
        </w:tabs>
        <w:rPr>
          <w:rFonts w:cs="Tahoma"/>
          <w:b/>
          <w:sz w:val="20"/>
          <w:lang w:val="pt-BR"/>
        </w:rPr>
      </w:pPr>
      <w:r w:rsidRPr="00EB4D74">
        <w:rPr>
          <w:rFonts w:cs="Tahoma"/>
          <w:b/>
          <w:sz w:val="20"/>
          <w:lang w:val="pt-BR"/>
        </w:rPr>
        <w:t>Enrollment for Application Platform</w:t>
      </w:r>
    </w:p>
    <w:p w:rsidR="008B1196" w:rsidRPr="00EB4D74" w:rsidRDefault="008B1196" w:rsidP="008B1196">
      <w:pPr>
        <w:tabs>
          <w:tab w:val="num" w:pos="0"/>
        </w:tabs>
        <w:rPr>
          <w:rFonts w:cs="Tahoma"/>
          <w:lang w:val="it-IT"/>
        </w:rPr>
      </w:pPr>
    </w:p>
    <w:p w:rsidR="008B1196" w:rsidRPr="00EB4D74" w:rsidRDefault="008B1196" w:rsidP="008B1196">
      <w:pPr>
        <w:tabs>
          <w:tab w:val="num" w:pos="0"/>
        </w:tabs>
        <w:rPr>
          <w:rFonts w:cs="Tahoma"/>
          <w:lang w:val="it-IT"/>
        </w:rPr>
      </w:pPr>
      <w:r w:rsidRPr="00EB4D74">
        <w:rPr>
          <w:rFonts w:cs="Tahoma"/>
          <w:lang w:val="pt-BR"/>
        </w:rPr>
        <w:t>Os clientes poderão solicitar o Software Assurance para os produtos disponíveis sem precisar solicitar uma Licença simultaneamente conforme disposto nos termos e condições do registro.</w:t>
      </w:r>
    </w:p>
    <w:p w:rsidR="008B1196" w:rsidRPr="00EB4D74" w:rsidRDefault="008B1196" w:rsidP="008B1196">
      <w:pPr>
        <w:pStyle w:val="Heading3"/>
        <w:rPr>
          <w:rFonts w:ascii="Tahoma" w:hAnsi="Tahoma" w:cs="Tahoma"/>
          <w:sz w:val="18"/>
          <w:szCs w:val="18"/>
          <w:lang w:val="it-IT"/>
        </w:rPr>
      </w:pPr>
    </w:p>
    <w:p w:rsidR="008B1196" w:rsidRPr="00EB4D74" w:rsidRDefault="008B1196" w:rsidP="008B1196">
      <w:pPr>
        <w:rPr>
          <w:rFonts w:cs="Tahoma"/>
          <w:lang w:val="it-IT"/>
        </w:rPr>
      </w:pPr>
    </w:p>
    <w:p w:rsidR="008B1196" w:rsidRPr="00EB4D74" w:rsidRDefault="008B1196" w:rsidP="008B1196">
      <w:pPr>
        <w:pStyle w:val="Heading4"/>
        <w:ind w:left="360"/>
        <w:rPr>
          <w:rFonts w:ascii="Tahoma" w:hAnsi="Tahoma" w:cs="Tahoma"/>
          <w:lang w:val="it-IT"/>
        </w:rPr>
      </w:pPr>
      <w:bookmarkStart w:id="833" w:name="_Toc323159750"/>
      <w:bookmarkStart w:id="834" w:name="_Toc336338226"/>
      <w:bookmarkStart w:id="835" w:name="_Toc342914863"/>
      <w:bookmarkEnd w:id="833"/>
      <w:bookmarkEnd w:id="834"/>
      <w:r w:rsidRPr="00EB4D74">
        <w:rPr>
          <w:rFonts w:ascii="Tahoma" w:hAnsi="Tahoma" w:cs="Tahoma"/>
          <w:sz w:val="24"/>
          <w:lang w:val="pt-BR"/>
        </w:rPr>
        <w:t>Renovação entre programas</w:t>
      </w:r>
      <w:bookmarkEnd w:id="835"/>
    </w:p>
    <w:p w:rsidR="008B1196" w:rsidRPr="00EB4D74" w:rsidRDefault="008B1196" w:rsidP="008B1196">
      <w:pPr>
        <w:tabs>
          <w:tab w:val="num" w:pos="0"/>
        </w:tabs>
        <w:rPr>
          <w:rFonts w:cs="Tahoma"/>
          <w:lang w:val="it-IT"/>
        </w:rPr>
      </w:pPr>
    </w:p>
    <w:p w:rsidR="008B1196" w:rsidRPr="00EB4D74" w:rsidRDefault="008B1196" w:rsidP="008B1196">
      <w:pPr>
        <w:pStyle w:val="AppendIndentSub"/>
        <w:tabs>
          <w:tab w:val="num" w:pos="0"/>
        </w:tabs>
        <w:ind w:left="0"/>
        <w:rPr>
          <w:rFonts w:ascii="Tahoma" w:hAnsi="Tahoma" w:cs="Tahoma"/>
          <w:sz w:val="18"/>
          <w:szCs w:val="18"/>
          <w:lang w:val="it-IT"/>
        </w:rPr>
      </w:pPr>
      <w:r w:rsidRPr="00EB4D74">
        <w:rPr>
          <w:rFonts w:ascii="Tahoma" w:hAnsi="Tahoma" w:cs="Tahoma"/>
          <w:sz w:val="18"/>
          <w:lang w:val="pt-BR"/>
        </w:rPr>
        <w:t>Como uma exceção às regras estabelecidas acima, os clientes poderão renovar a cobertura do Software Assurance adquirindo o Software Assurance sob um contrato Open Value, uma Select, um registro Select Plus ou Enterprise. Para os clientes que estiverem renovando o Software Assurance sob um registro Enterprise existente, essa exceção se aplicará apenas a produtos adicionais e produtos fora de um compromisso para toda a empresa. Os clientes deverão fazer o pedido do Software Assurance sob seus contratos ou registros existentes antes da data do término da cobertura anterior.</w:t>
      </w:r>
    </w:p>
    <w:p w:rsidR="008B1196" w:rsidRPr="00EB4D74" w:rsidRDefault="008B1196" w:rsidP="008B1196">
      <w:pPr>
        <w:pStyle w:val="AppendIndentSub"/>
        <w:tabs>
          <w:tab w:val="num" w:pos="0"/>
        </w:tabs>
        <w:ind w:left="0"/>
        <w:rPr>
          <w:rFonts w:ascii="Tahoma" w:hAnsi="Tahoma" w:cs="Tahoma"/>
          <w:sz w:val="18"/>
          <w:szCs w:val="18"/>
          <w:lang w:val="it-IT"/>
        </w:rPr>
      </w:pPr>
    </w:p>
    <w:p w:rsidR="008B1196" w:rsidRPr="00EB4D74" w:rsidRDefault="008B1196" w:rsidP="008B1196">
      <w:pPr>
        <w:pStyle w:val="AppendIndentSub"/>
        <w:tabs>
          <w:tab w:val="num" w:pos="0"/>
        </w:tabs>
        <w:ind w:left="0"/>
        <w:rPr>
          <w:rFonts w:ascii="Tahoma" w:hAnsi="Tahoma" w:cs="Tahoma"/>
          <w:sz w:val="18"/>
          <w:szCs w:val="18"/>
          <w:lang w:val="it-IT"/>
        </w:rPr>
      </w:pPr>
      <w:r w:rsidRPr="00EB4D74">
        <w:rPr>
          <w:rFonts w:ascii="Tahoma" w:hAnsi="Tahoma" w:cs="Tahoma"/>
          <w:sz w:val="18"/>
          <w:lang w:val="pt-BR"/>
        </w:rPr>
        <w:t>Os clientes que estiverem renovando a partir do Programa de Licença Open terão 90 dias a partir da data de término da cobertura anterior para fazer esse pedido. Para os Contratos de versões de 2008 e anteriores, esse pedido deverá ser feito dentro de 30 dias da data de término da cobertura anterior (90 dias se a renovação for a partir do Programa de Licença Open).</w:t>
      </w:r>
    </w:p>
    <w:p w:rsidR="008B1196" w:rsidRPr="00EB4D74" w:rsidRDefault="008B1196" w:rsidP="008B1196">
      <w:pPr>
        <w:pStyle w:val="AppendIndentSub"/>
        <w:tabs>
          <w:tab w:val="num" w:pos="0"/>
        </w:tabs>
        <w:ind w:left="0"/>
        <w:rPr>
          <w:rFonts w:ascii="Tahoma" w:hAnsi="Tahoma" w:cs="Tahoma"/>
          <w:sz w:val="18"/>
          <w:szCs w:val="18"/>
          <w:lang w:val="it-IT"/>
        </w:rPr>
      </w:pPr>
    </w:p>
    <w:p w:rsidR="008B1196" w:rsidRPr="00EB4D74" w:rsidRDefault="008B1196" w:rsidP="008B1196">
      <w:pPr>
        <w:pStyle w:val="AppendIndentSub"/>
        <w:tabs>
          <w:tab w:val="num" w:pos="0"/>
        </w:tabs>
        <w:ind w:left="0"/>
        <w:rPr>
          <w:rFonts w:ascii="Tahoma" w:hAnsi="Tahoma" w:cs="Tahoma"/>
          <w:sz w:val="18"/>
          <w:szCs w:val="18"/>
          <w:lang w:val="it-IT"/>
        </w:rPr>
      </w:pPr>
      <w:r w:rsidRPr="00EB4D74">
        <w:rPr>
          <w:rFonts w:ascii="Tahoma" w:hAnsi="Tahoma" w:cs="Tahoma"/>
          <w:sz w:val="18"/>
          <w:lang w:val="pt-BR"/>
        </w:rPr>
        <w:t>Para todos os programas, como exceção do Select Plus, o pedido deverá ser feito para o prazo restante do contrato ou registro existente (ou seja, SA x o número de anos restantes no prazo do registro a partir da data do pedido, incluindo todos os meses). No Select Plus, o pedido será para 36 meses. Como os preços do Software Assurance não serão proporcionais a nenhum período anual parcial de cobertura, os clientes deverão determinar o momento dos pedidos a fim de aproveitar qualquer aniversário da data de início de vigência de seus contratos existentes. Para os Contratos de versões de 2008 e anteriores, contanto que a cobertura seja renovada dentro de 30 dias (90 dias se a renovação for feita a partir do Programa de Licença Open), será considerado que os clientes terão a cobertura do Software Assurance durante qualquer período entre o término da cobertura do Software Assurance e início da nova cobertura. Os clientes estarão qualificados para as atualizações disponibilizadas durante esse período, contanto que a cobertura seja renovada.</w:t>
      </w:r>
    </w:p>
    <w:p w:rsidR="008B1196" w:rsidRPr="00EB4D74" w:rsidRDefault="008B1196" w:rsidP="008B1196">
      <w:pPr>
        <w:pStyle w:val="AppendixIndent"/>
        <w:tabs>
          <w:tab w:val="num" w:pos="0"/>
        </w:tabs>
        <w:ind w:left="0"/>
        <w:rPr>
          <w:rFonts w:ascii="Tahoma" w:hAnsi="Tahoma" w:cs="Tahoma"/>
          <w:sz w:val="18"/>
          <w:szCs w:val="18"/>
          <w:lang w:val="it-IT"/>
        </w:rPr>
      </w:pPr>
    </w:p>
    <w:p w:rsidR="008B1196" w:rsidRPr="00EB4D74" w:rsidRDefault="008B1196" w:rsidP="008B1196">
      <w:pPr>
        <w:rPr>
          <w:rFonts w:cs="Tahoma"/>
          <w:lang w:val="it-IT"/>
        </w:rPr>
      </w:pPr>
      <w:r w:rsidRPr="00EB4D74">
        <w:rPr>
          <w:rFonts w:cs="Tahoma"/>
          <w:lang w:val="it-IT"/>
        </w:rPr>
        <w:br w:type="page"/>
      </w:r>
    </w:p>
    <w:p w:rsidR="008B1196" w:rsidRPr="00EB4D74" w:rsidRDefault="008B1196" w:rsidP="008B1196">
      <w:pPr>
        <w:pStyle w:val="Heading1"/>
        <w:spacing w:after="120"/>
      </w:pPr>
      <w:bookmarkStart w:id="836" w:name="_Toc336338227"/>
      <w:bookmarkStart w:id="837" w:name="_Toc342914864"/>
      <w:bookmarkEnd w:id="836"/>
      <w:r w:rsidRPr="00EB4D74">
        <w:lastRenderedPageBreak/>
        <w:t>SEÇÃO 7 – benefícios DO Software Assurance (SA) e BENEFÍCIOS dos serviços online (ols)</w:t>
      </w:r>
      <w:bookmarkEnd w:id="837"/>
    </w:p>
    <w:p w:rsidR="008B1196" w:rsidRPr="00EB4D74" w:rsidRDefault="008B1196" w:rsidP="008B1196">
      <w:pPr>
        <w:rPr>
          <w:rFonts w:cs="Tahoma"/>
          <w:lang w:val="it-IT"/>
        </w:rPr>
      </w:pPr>
    </w:p>
    <w:p w:rsidR="008B1196" w:rsidRPr="00EB4D74" w:rsidRDefault="008B1196" w:rsidP="008B1196">
      <w:pPr>
        <w:spacing w:after="60"/>
        <w:rPr>
          <w:rFonts w:cs="Tahoma"/>
          <w:lang w:val="it-IT"/>
        </w:rPr>
      </w:pPr>
      <w:r w:rsidRPr="00EB4D74">
        <w:rPr>
          <w:rFonts w:cs="Tahoma"/>
          <w:lang w:val="pt-BR"/>
        </w:rPr>
        <w:t>Os benefícios do Software Assurance e os benefícios dos Serviços Online são descritos nesta seção.</w:t>
      </w:r>
    </w:p>
    <w:p w:rsidR="008B1196" w:rsidRPr="00EB4D74" w:rsidRDefault="008B1196" w:rsidP="008B1196">
      <w:pPr>
        <w:rPr>
          <w:rFonts w:cs="Tahoma"/>
          <w:lang w:val="it-IT"/>
        </w:rPr>
      </w:pPr>
    </w:p>
    <w:p w:rsidR="008B1196" w:rsidRPr="00EB4D74" w:rsidRDefault="008B1196" w:rsidP="008B1196">
      <w:pPr>
        <w:spacing w:after="60"/>
        <w:rPr>
          <w:rFonts w:cs="Tahoma"/>
          <w:lang w:val="pt-BR"/>
        </w:rPr>
      </w:pPr>
      <w:r w:rsidRPr="00EB4D74">
        <w:rPr>
          <w:rFonts w:cs="Tahoma"/>
          <w:b/>
          <w:lang w:val="pt-BR"/>
        </w:rPr>
        <w:t xml:space="preserve">Benefícios do Software Assurance: </w:t>
      </w:r>
      <w:r w:rsidRPr="00EB4D74">
        <w:rPr>
          <w:rFonts w:cs="Tahoma"/>
          <w:szCs w:val="20"/>
          <w:lang w:val="pt-BR" w:eastAsia="ja-JP"/>
        </w:rPr>
        <w:t xml:space="preserve">Esses benefícios variam de acordo com o produto e o pool de produtos. O acesso e os direitos do cliente de usar os benefícios do Software Assurance geralmente expiram com o término da cobertura do Software Assurance. A maioria dos benefícios do Software Assurance é concedida no início do período da cobertura. </w:t>
      </w:r>
      <w:r w:rsidRPr="00EB4D74">
        <w:rPr>
          <w:rFonts w:cs="Tahoma"/>
          <w:lang w:val="pt-BR"/>
        </w:rPr>
        <w:t>Quaisquer alterações que ocorrerem durante o período de cobertura (por exemplo, compras adicionais, devoluções ou transições de serviços online) poderão resultar em uma alteração na qualificação ao benefício.</w:t>
      </w:r>
    </w:p>
    <w:p w:rsidR="008B1196" w:rsidRPr="00EB4D74" w:rsidRDefault="008B1196" w:rsidP="008B1196">
      <w:pPr>
        <w:rPr>
          <w:rFonts w:cs="Tahoma"/>
          <w:lang w:val="pt-BR"/>
        </w:rPr>
      </w:pPr>
    </w:p>
    <w:p w:rsidR="008B1196" w:rsidRPr="00EB4D74" w:rsidRDefault="008B1196" w:rsidP="008B1196">
      <w:pPr>
        <w:spacing w:after="60"/>
        <w:rPr>
          <w:rFonts w:cs="Tahoma"/>
          <w:lang w:val="it-IT"/>
        </w:rPr>
      </w:pPr>
      <w:r w:rsidRPr="00EB4D74">
        <w:rPr>
          <w:rFonts w:cs="Tahoma"/>
          <w:b/>
          <w:lang w:val="pt-BR"/>
        </w:rPr>
        <w:t xml:space="preserve">Benefícios dos Serviços Online: </w:t>
      </w:r>
      <w:r w:rsidRPr="00EB4D74">
        <w:rPr>
          <w:rFonts w:cs="Tahoma"/>
          <w:szCs w:val="20"/>
          <w:lang w:val="pt-BR" w:eastAsia="ja-JP"/>
        </w:rPr>
        <w:t xml:space="preserve">Esses benefícios variam de acordo com o produto. </w:t>
      </w:r>
      <w:r w:rsidRPr="00EB4D74">
        <w:rPr>
          <w:rFonts w:cs="Tahoma"/>
          <w:lang w:val="pt-BR"/>
        </w:rPr>
        <w:t>O acesso e os direitos de uso dos benefícios dos Serviços Online do Cliente cessarão no término das licenças de assinatura dos serviços online correspondentes.</w:t>
      </w:r>
    </w:p>
    <w:p w:rsidR="008B1196" w:rsidRPr="00EB4D74" w:rsidRDefault="008B1196" w:rsidP="008B1196">
      <w:pPr>
        <w:rPr>
          <w:rFonts w:cs="Tahoma"/>
          <w:lang w:val="it-IT"/>
        </w:rPr>
      </w:pPr>
    </w:p>
    <w:p w:rsidR="008B1196" w:rsidRPr="00EB4D74" w:rsidRDefault="008B1196" w:rsidP="008B1196">
      <w:pPr>
        <w:spacing w:after="60"/>
        <w:rPr>
          <w:rFonts w:cs="Tahoma"/>
          <w:lang w:val="it-IT"/>
        </w:rPr>
      </w:pPr>
      <w:r w:rsidRPr="00EB4D74">
        <w:rPr>
          <w:rFonts w:cs="Tahoma"/>
          <w:szCs w:val="20"/>
          <w:lang w:val="pt-BR"/>
        </w:rPr>
        <w:t>Quaisquer exceções às regras acima serão indicadas nas seções sobre benefícios individuais a seguir. Os benefícios estão sujeitos a alterações e podem ser descontinuados a qualquer momento sem notificação prévia. </w:t>
      </w:r>
      <w:r w:rsidRPr="00EB4D74">
        <w:rPr>
          <w:rFonts w:cs="Tahoma"/>
          <w:lang w:val="pt-BR"/>
        </w:rPr>
        <w:t>A disponibilidade dos benefícios variam por programa, região, opções de fornecimento e idioma.</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Os benefícios do Software Assurance e os benefícios dos Serviços Online estão alocados em diferentes programas, conforme mostrado na tabela a seguir:</w:t>
      </w:r>
    </w:p>
    <w:p w:rsidR="008B1196" w:rsidRPr="00EB4D74" w:rsidRDefault="008B1196" w:rsidP="008B1196">
      <w:pPr>
        <w:rPr>
          <w:rFonts w:cs="Tahoma"/>
          <w:lang w:val="it-IT"/>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350"/>
        <w:gridCol w:w="1710"/>
        <w:gridCol w:w="2520"/>
        <w:gridCol w:w="1260"/>
      </w:tblGrid>
      <w:tr w:rsidR="008B1196" w:rsidRPr="00EB4D74" w:rsidTr="00EA30FC">
        <w:trPr>
          <w:trHeight w:val="178"/>
        </w:trPr>
        <w:tc>
          <w:tcPr>
            <w:tcW w:w="1447" w:type="dxa"/>
            <w:shd w:val="clear" w:color="auto" w:fill="FFCC99"/>
            <w:vAlign w:val="center"/>
          </w:tcPr>
          <w:p w:rsidR="008B1196" w:rsidRPr="00EB4D74" w:rsidRDefault="008B1196" w:rsidP="00EA30FC">
            <w:pPr>
              <w:pStyle w:val="AppendixTableHeadings"/>
              <w:jc w:val="left"/>
              <w:rPr>
                <w:rFonts w:ascii="Tahoma" w:hAnsi="Tahoma" w:cs="Tahoma"/>
                <w:sz w:val="20"/>
                <w:szCs w:val="20"/>
              </w:rPr>
            </w:pPr>
            <w:r w:rsidRPr="00EB4D74">
              <w:rPr>
                <w:rFonts w:ascii="Tahoma" w:hAnsi="Tahoma" w:cs="Tahoma"/>
                <w:sz w:val="20"/>
                <w:szCs w:val="20"/>
                <w:lang w:val="pt-BR"/>
              </w:rPr>
              <w:t>Programas</w:t>
            </w:r>
          </w:p>
        </w:tc>
        <w:tc>
          <w:tcPr>
            <w:tcW w:w="1350" w:type="dxa"/>
            <w:shd w:val="clear" w:color="auto" w:fill="FFCC99"/>
            <w:vAlign w:val="center"/>
          </w:tcPr>
          <w:p w:rsidR="008B1196" w:rsidRPr="00EB4D74" w:rsidRDefault="008B1196" w:rsidP="00EA30FC">
            <w:pPr>
              <w:pStyle w:val="AppendixTableHeadings"/>
              <w:jc w:val="left"/>
              <w:rPr>
                <w:rFonts w:ascii="Tahoma" w:hAnsi="Tahoma" w:cs="Tahoma"/>
                <w:sz w:val="20"/>
                <w:szCs w:val="20"/>
              </w:rPr>
            </w:pPr>
            <w:r w:rsidRPr="00EB4D74">
              <w:rPr>
                <w:rFonts w:ascii="Tahoma" w:hAnsi="Tahoma" w:cs="Tahoma"/>
                <w:sz w:val="20"/>
                <w:szCs w:val="20"/>
                <w:lang w:val="pt-BR"/>
              </w:rPr>
              <w:t>Licença Open</w:t>
            </w:r>
          </w:p>
        </w:tc>
        <w:tc>
          <w:tcPr>
            <w:tcW w:w="1350" w:type="dxa"/>
            <w:shd w:val="clear" w:color="auto" w:fill="FFCC99"/>
            <w:vAlign w:val="center"/>
          </w:tcPr>
          <w:p w:rsidR="008B1196" w:rsidRPr="00EB4D74" w:rsidRDefault="008B1196" w:rsidP="00EA30FC">
            <w:pPr>
              <w:pStyle w:val="AppendixTableHeadings"/>
              <w:jc w:val="left"/>
              <w:rPr>
                <w:rFonts w:ascii="Tahoma" w:hAnsi="Tahoma" w:cs="Tahoma"/>
                <w:sz w:val="20"/>
                <w:szCs w:val="20"/>
              </w:rPr>
            </w:pPr>
            <w:r w:rsidRPr="00EB4D74">
              <w:rPr>
                <w:rFonts w:ascii="Tahoma" w:hAnsi="Tahoma" w:cs="Tahoma"/>
                <w:sz w:val="20"/>
                <w:szCs w:val="20"/>
                <w:lang w:val="pt-BR"/>
              </w:rPr>
              <w:t>Open Value</w:t>
            </w:r>
          </w:p>
        </w:tc>
        <w:tc>
          <w:tcPr>
            <w:tcW w:w="1710" w:type="dxa"/>
            <w:shd w:val="clear" w:color="auto" w:fill="FFCC99"/>
            <w:vAlign w:val="center"/>
          </w:tcPr>
          <w:p w:rsidR="008B1196" w:rsidRPr="00EB4D74" w:rsidRDefault="008B1196" w:rsidP="00EA30FC">
            <w:pPr>
              <w:pStyle w:val="AppendixTableHeadings"/>
              <w:jc w:val="left"/>
              <w:rPr>
                <w:rFonts w:ascii="Tahoma" w:hAnsi="Tahoma" w:cs="Tahoma"/>
                <w:sz w:val="20"/>
                <w:szCs w:val="20"/>
              </w:rPr>
            </w:pPr>
            <w:r w:rsidRPr="00EB4D74">
              <w:rPr>
                <w:rFonts w:ascii="Tahoma" w:hAnsi="Tahoma" w:cs="Tahoma"/>
                <w:sz w:val="20"/>
                <w:szCs w:val="20"/>
                <w:lang w:val="pt-BR"/>
              </w:rPr>
              <w:t>Open Value Subscription – Soluções Educacionais</w:t>
            </w:r>
          </w:p>
        </w:tc>
        <w:tc>
          <w:tcPr>
            <w:tcW w:w="2520" w:type="dxa"/>
            <w:shd w:val="clear" w:color="auto" w:fill="FFCC99"/>
            <w:vAlign w:val="center"/>
          </w:tcPr>
          <w:p w:rsidR="008B1196" w:rsidRPr="00EB4D74" w:rsidRDefault="008B1196" w:rsidP="00EA30FC">
            <w:pPr>
              <w:pStyle w:val="AppendixTableHeadings"/>
              <w:jc w:val="left"/>
              <w:rPr>
                <w:rFonts w:ascii="Tahoma" w:hAnsi="Tahoma" w:cs="Tahoma"/>
                <w:lang w:val="it-IT"/>
              </w:rPr>
            </w:pPr>
            <w:r w:rsidRPr="00EB4D74">
              <w:rPr>
                <w:rFonts w:ascii="Tahoma" w:hAnsi="Tahoma" w:cs="Tahoma"/>
                <w:sz w:val="20"/>
                <w:lang w:val="pt-BR"/>
              </w:rPr>
              <w:t>Select*</w:t>
            </w:r>
          </w:p>
          <w:p w:rsidR="008B1196" w:rsidRPr="00EB4D74" w:rsidRDefault="008B1196" w:rsidP="00EA30FC">
            <w:pPr>
              <w:pStyle w:val="AppendixTableHeadings"/>
              <w:jc w:val="left"/>
              <w:rPr>
                <w:rFonts w:ascii="Tahoma" w:hAnsi="Tahoma" w:cs="Tahoma"/>
                <w:lang w:val="it-IT"/>
              </w:rPr>
            </w:pPr>
            <w:r w:rsidRPr="00EB4D74">
              <w:rPr>
                <w:rFonts w:ascii="Tahoma" w:hAnsi="Tahoma" w:cs="Tahoma"/>
                <w:sz w:val="20"/>
                <w:lang w:val="pt-BR"/>
              </w:rPr>
              <w:t>Contrato Enterprise</w:t>
            </w:r>
          </w:p>
          <w:p w:rsidR="008B1196" w:rsidRPr="00EB4D74" w:rsidRDefault="008B1196" w:rsidP="00EA30FC">
            <w:pPr>
              <w:pStyle w:val="AppendixTableHeadings"/>
              <w:jc w:val="left"/>
              <w:rPr>
                <w:rFonts w:ascii="Tahoma" w:hAnsi="Tahoma" w:cs="Tahoma"/>
                <w:lang w:val="it-IT"/>
              </w:rPr>
            </w:pPr>
            <w:r w:rsidRPr="00EB4D74">
              <w:rPr>
                <w:rFonts w:ascii="Tahoma" w:hAnsi="Tahoma" w:cs="Tahoma"/>
                <w:sz w:val="20"/>
                <w:lang w:val="pt-BR"/>
              </w:rPr>
              <w:t>Soluções Educacionais do Registro sob o Contrato para Campus</w:t>
            </w:r>
            <w:r>
              <w:rPr>
                <w:rFonts w:ascii="Tahoma" w:hAnsi="Tahoma" w:cs="Tahoma"/>
                <w:sz w:val="20"/>
                <w:lang w:val="pt-BR"/>
              </w:rPr>
              <w:t> </w:t>
            </w:r>
            <w:r w:rsidRPr="00EB4D74">
              <w:rPr>
                <w:rFonts w:ascii="Tahoma" w:hAnsi="Tahoma" w:cs="Tahoma"/>
                <w:sz w:val="20"/>
                <w:lang w:val="pt-BR"/>
              </w:rPr>
              <w:t>e o</w:t>
            </w:r>
          </w:p>
          <w:p w:rsidR="008B1196" w:rsidRPr="00EB4D74" w:rsidRDefault="008B1196" w:rsidP="00EA30FC">
            <w:pPr>
              <w:pStyle w:val="AppendixTableHeadings"/>
              <w:jc w:val="left"/>
              <w:rPr>
                <w:rFonts w:ascii="Tahoma" w:hAnsi="Tahoma" w:cs="Tahoma"/>
                <w:sz w:val="20"/>
                <w:szCs w:val="20"/>
              </w:rPr>
            </w:pPr>
            <w:r w:rsidRPr="00EB4D74">
              <w:rPr>
                <w:rFonts w:ascii="Tahoma" w:hAnsi="Tahoma" w:cs="Tahoma"/>
                <w:sz w:val="20"/>
                <w:szCs w:val="20"/>
                <w:lang w:val="pt-BR"/>
              </w:rPr>
              <w:t>Contrato School</w:t>
            </w:r>
          </w:p>
        </w:tc>
        <w:tc>
          <w:tcPr>
            <w:tcW w:w="1260" w:type="dxa"/>
            <w:shd w:val="clear" w:color="auto" w:fill="FFCC99"/>
            <w:vAlign w:val="center"/>
          </w:tcPr>
          <w:p w:rsidR="008B1196" w:rsidRPr="00EB4D74" w:rsidRDefault="008B1196" w:rsidP="00EA30FC">
            <w:pPr>
              <w:pStyle w:val="AppendixTableHeadings"/>
              <w:jc w:val="left"/>
              <w:rPr>
                <w:rFonts w:ascii="Tahoma" w:hAnsi="Tahoma" w:cs="Tahoma"/>
                <w:sz w:val="20"/>
                <w:szCs w:val="20"/>
              </w:rPr>
            </w:pPr>
            <w:r w:rsidRPr="00EB4D74">
              <w:rPr>
                <w:rFonts w:ascii="Tahoma" w:hAnsi="Tahoma" w:cs="Tahoma"/>
                <w:sz w:val="20"/>
                <w:szCs w:val="20"/>
                <w:lang w:val="pt-BR"/>
              </w:rPr>
              <w:t>Select Plus</w:t>
            </w:r>
          </w:p>
        </w:tc>
      </w:tr>
      <w:tr w:rsidR="008B1196" w:rsidRPr="00EB4D74" w:rsidTr="00EA30FC">
        <w:trPr>
          <w:trHeight w:val="369"/>
        </w:trPr>
        <w:tc>
          <w:tcPr>
            <w:tcW w:w="1447" w:type="dxa"/>
            <w:vAlign w:val="center"/>
          </w:tcPr>
          <w:p w:rsidR="008B1196" w:rsidRPr="00EB4D74" w:rsidRDefault="008B1196" w:rsidP="00EA30FC">
            <w:pPr>
              <w:pStyle w:val="AppendixTableText"/>
              <w:rPr>
                <w:rFonts w:ascii="Tahoma" w:hAnsi="Tahoma" w:cs="Tahoma"/>
                <w:szCs w:val="20"/>
              </w:rPr>
            </w:pPr>
            <w:r w:rsidRPr="00EB4D74">
              <w:rPr>
                <w:rFonts w:ascii="Tahoma" w:hAnsi="Tahoma" w:cs="Tahoma"/>
                <w:szCs w:val="20"/>
                <w:lang w:val="pt-BR"/>
              </w:rPr>
              <w:t>Os benefícios estão disponíveis por:</w:t>
            </w:r>
          </w:p>
        </w:tc>
        <w:tc>
          <w:tcPr>
            <w:tcW w:w="1350" w:type="dxa"/>
            <w:vAlign w:val="center"/>
          </w:tcPr>
          <w:p w:rsidR="008B1196" w:rsidRPr="00EB4D74" w:rsidRDefault="008B1196" w:rsidP="00EA30FC">
            <w:pPr>
              <w:pStyle w:val="AppendixTableText"/>
              <w:rPr>
                <w:rFonts w:ascii="Tahoma" w:hAnsi="Tahoma" w:cs="Tahoma"/>
                <w:szCs w:val="20"/>
              </w:rPr>
            </w:pPr>
            <w:r w:rsidRPr="00EB4D74">
              <w:rPr>
                <w:rFonts w:ascii="Tahoma" w:hAnsi="Tahoma" w:cs="Tahoma"/>
                <w:szCs w:val="20"/>
                <w:lang w:val="pt-BR"/>
              </w:rPr>
              <w:t>Número de Licença</w:t>
            </w:r>
          </w:p>
        </w:tc>
        <w:tc>
          <w:tcPr>
            <w:tcW w:w="1350" w:type="dxa"/>
            <w:vAlign w:val="center"/>
          </w:tcPr>
          <w:p w:rsidR="008B1196" w:rsidRPr="00EB4D74" w:rsidRDefault="008B1196" w:rsidP="00EA30FC">
            <w:pPr>
              <w:pStyle w:val="AppendixTableText"/>
              <w:rPr>
                <w:rFonts w:ascii="Tahoma" w:hAnsi="Tahoma" w:cs="Tahoma"/>
                <w:szCs w:val="20"/>
              </w:rPr>
            </w:pPr>
            <w:r w:rsidRPr="00EB4D74">
              <w:rPr>
                <w:rFonts w:ascii="Tahoma" w:hAnsi="Tahoma" w:cs="Tahoma"/>
                <w:szCs w:val="20"/>
                <w:lang w:val="pt-BR"/>
              </w:rPr>
              <w:t>Contrato</w:t>
            </w:r>
          </w:p>
        </w:tc>
        <w:tc>
          <w:tcPr>
            <w:tcW w:w="1710" w:type="dxa"/>
            <w:vAlign w:val="center"/>
          </w:tcPr>
          <w:p w:rsidR="008B1196" w:rsidRPr="00EB4D74" w:rsidRDefault="008B1196" w:rsidP="00EA30FC">
            <w:pPr>
              <w:pStyle w:val="AppendixTableText"/>
              <w:rPr>
                <w:rFonts w:ascii="Tahoma" w:hAnsi="Tahoma" w:cs="Tahoma"/>
                <w:szCs w:val="20"/>
              </w:rPr>
            </w:pPr>
            <w:r w:rsidRPr="00EB4D74">
              <w:rPr>
                <w:rFonts w:ascii="Tahoma" w:hAnsi="Tahoma" w:cs="Tahoma"/>
                <w:szCs w:val="20"/>
                <w:lang w:val="pt-BR"/>
              </w:rPr>
              <w:t>Contrato</w:t>
            </w:r>
          </w:p>
        </w:tc>
        <w:tc>
          <w:tcPr>
            <w:tcW w:w="2520" w:type="dxa"/>
            <w:vAlign w:val="center"/>
          </w:tcPr>
          <w:p w:rsidR="008B1196" w:rsidRPr="00EB4D74" w:rsidRDefault="008B1196" w:rsidP="00EA30FC">
            <w:pPr>
              <w:pStyle w:val="AppendixTableText"/>
              <w:rPr>
                <w:rFonts w:ascii="Tahoma" w:hAnsi="Tahoma" w:cs="Tahoma"/>
                <w:szCs w:val="20"/>
              </w:rPr>
            </w:pPr>
            <w:r w:rsidRPr="00EB4D74">
              <w:rPr>
                <w:rFonts w:ascii="Tahoma" w:hAnsi="Tahoma" w:cs="Tahoma"/>
                <w:szCs w:val="20"/>
                <w:lang w:val="pt-BR"/>
              </w:rPr>
              <w:t>Qualificado</w:t>
            </w:r>
          </w:p>
        </w:tc>
        <w:tc>
          <w:tcPr>
            <w:tcW w:w="1260" w:type="dxa"/>
            <w:vAlign w:val="center"/>
          </w:tcPr>
          <w:p w:rsidR="008B1196" w:rsidRPr="00EB4D74" w:rsidRDefault="008B1196" w:rsidP="00EA30FC">
            <w:pPr>
              <w:pStyle w:val="AppendixTableText"/>
              <w:rPr>
                <w:rFonts w:ascii="Tahoma" w:hAnsi="Tahoma" w:cs="Tahoma"/>
                <w:szCs w:val="20"/>
              </w:rPr>
            </w:pPr>
            <w:r w:rsidRPr="00EB4D74">
              <w:rPr>
                <w:rFonts w:ascii="Tahoma" w:hAnsi="Tahoma" w:cs="Tahoma"/>
                <w:szCs w:val="20"/>
                <w:lang w:val="pt-BR"/>
              </w:rPr>
              <w:t>Afiliada Registrada</w:t>
            </w:r>
          </w:p>
        </w:tc>
      </w:tr>
    </w:tbl>
    <w:p w:rsidR="008B1196" w:rsidRPr="00EB4D74" w:rsidRDefault="008B1196" w:rsidP="008B1196">
      <w:pPr>
        <w:rPr>
          <w:rFonts w:cs="Tahoma"/>
        </w:rPr>
      </w:pPr>
      <w:r w:rsidRPr="00EB4D74">
        <w:rPr>
          <w:rFonts w:cs="Tahoma"/>
          <w:b/>
          <w:i/>
          <w:sz w:val="16"/>
          <w:u w:val="single"/>
          <w:lang w:val="pt-BR"/>
        </w:rPr>
        <w:t>Observação</w:t>
      </w:r>
      <w:r w:rsidRPr="00EB4D74">
        <w:rPr>
          <w:rFonts w:cs="Tahoma"/>
          <w:b/>
          <w:i/>
          <w:sz w:val="16"/>
          <w:lang w:val="pt-BR"/>
        </w:rPr>
        <w:t>:</w:t>
      </w:r>
      <w:r w:rsidRPr="00EB4D74">
        <w:rPr>
          <w:rFonts w:cs="Tahoma"/>
          <w:i/>
          <w:sz w:val="16"/>
          <w:lang w:val="pt-BR"/>
        </w:rPr>
        <w:t xml:space="preserve"> *os clientes que celebrarem Contratos Enterprise de Licença por Volume para Saúde do Canadá receberão benefícios do SA consistentes com os benefícios do SA disponíveis para os clientes que adquirirem produtos por meio do Microsoft Open Value.</w:t>
      </w:r>
    </w:p>
    <w:p w:rsidR="008B1196" w:rsidRPr="00EB4D74" w:rsidRDefault="008B1196" w:rsidP="008B1196">
      <w:pPr>
        <w:rPr>
          <w:rFonts w:cs="Tahoma"/>
        </w:rPr>
      </w:pPr>
    </w:p>
    <w:p w:rsidR="008B1196" w:rsidRPr="00EB4D74" w:rsidRDefault="008B1196" w:rsidP="008B1196">
      <w:pPr>
        <w:pStyle w:val="AppendixBodyText"/>
        <w:rPr>
          <w:rFonts w:ascii="Tahoma" w:hAnsi="Tahoma" w:cs="Tahoma"/>
          <w:sz w:val="18"/>
          <w:szCs w:val="18"/>
          <w:lang w:val="pt-BR"/>
        </w:rPr>
      </w:pPr>
      <w:r w:rsidRPr="00EB4D74">
        <w:rPr>
          <w:rFonts w:ascii="Tahoma" w:hAnsi="Tahoma" w:cs="Tahoma"/>
          <w:sz w:val="18"/>
          <w:lang w:val="pt-BR"/>
        </w:rPr>
        <w:t>Os Benefícios do Software Assurance e os benefícios dos Serviços Online são exibidos na tabela a seguir. Determinados benefícios correspondem a licenças individuais para as quais o Software Assurance foi adquirido. O</w:t>
      </w:r>
      <w:r w:rsidRPr="00EB4D74">
        <w:rPr>
          <w:rFonts w:ascii="Tahoma" w:hAnsi="Tahoma" w:cs="Tahoma"/>
          <w:sz w:val="18"/>
          <w:szCs w:val="22"/>
          <w:lang w:val="it-IT"/>
        </w:rPr>
        <w:t> </w:t>
      </w:r>
      <w:r w:rsidRPr="00EB4D74">
        <w:rPr>
          <w:rFonts w:ascii="Tahoma" w:hAnsi="Tahoma" w:cs="Tahoma"/>
          <w:sz w:val="18"/>
          <w:lang w:val="pt-BR"/>
        </w:rPr>
        <w:t>Software Assurance (ou outra proteção de atualização) ativo de qualquer produto qualificado, independentemente da versão do produto que um cliente esteja usando, qualifica o cliente para esses benefícios. Os produtos qualificados estão identificados na seção de cada produto. Alguns benefícios são concedidos com base nos gastos de SA do Cliente com um determinado conjunto de produtos qualificados de um pool. Para esses fins, “gastos de SA” não são literalmente os gastos reais em dólares do cliente. Em vez disso, eles são uma aproximação da quantia gasta por um cliente em cobertura de Software Assurance para esses produtos sob o Registro Select ou Enterprise, o registro Select Plus ou o contrato Open (por exemplo, aquisições apenas de SA e aquisições do componente SA de L&amp;SA (Licença e Software Assurance). Para os clientes sob programas de assinatura, esses gastos são uma aproximação do valor total em dólares que o cliente gastou com o licenciamento desses produtos sob seu registro ou contrato. Outros benefícios correspondem ao Programa de Membros do Software Assurance. O Programa de Membros do Software Assurance para o pool de produtos aplicável qualifica o cliente a esses benefícios.</w:t>
      </w:r>
    </w:p>
    <w:p w:rsidR="008B1196" w:rsidRPr="00EB4D74" w:rsidRDefault="008B1196" w:rsidP="008B1196">
      <w:pPr>
        <w:pStyle w:val="AppendixBodyText"/>
        <w:spacing w:after="0"/>
        <w:rPr>
          <w:rFonts w:ascii="Tahoma" w:hAnsi="Tahoma" w:cs="Tahoma"/>
          <w:lang w:val="pt-BR"/>
        </w:rPr>
      </w:pPr>
    </w:p>
    <w:p w:rsidR="008B1196" w:rsidRPr="00EB4D74" w:rsidRDefault="008B1196" w:rsidP="008B1196">
      <w:pPr>
        <w:pStyle w:val="AppendixBodyText"/>
        <w:spacing w:after="0"/>
        <w:rPr>
          <w:rFonts w:ascii="Tahoma" w:hAnsi="Tahoma" w:cs="Tahoma"/>
          <w:lang w:val="pt-BR"/>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8B1196" w:rsidRPr="00EB4D74" w:rsidTr="00EA30F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lastRenderedPageBreak/>
              <w:t>Benefícios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Pool de Aplicativos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Pool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Pool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lang w:val="pt-BR"/>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Office 365</w:t>
            </w:r>
          </w:p>
        </w:tc>
      </w:tr>
      <w:tr w:rsidR="008B1196" w:rsidRPr="00EB4D74" w:rsidTr="00EA30F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Direitos à Nova Versão</w:t>
            </w:r>
          </w:p>
        </w:tc>
        <w:tc>
          <w:tcPr>
            <w:tcW w:w="1530" w:type="dxa"/>
            <w:tcBorders>
              <w:top w:val="single" w:sz="8" w:space="0" w:color="auto"/>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8" w:space="0" w:color="auto"/>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single" w:sz="8" w:space="0" w:color="auto"/>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Pacote Multilíngue do Office</w:t>
            </w:r>
          </w:p>
        </w:tc>
        <w:tc>
          <w:tcPr>
            <w:tcW w:w="1530" w:type="dxa"/>
            <w:tcBorders>
              <w:top w:val="single" w:sz="6" w:space="0" w:color="auto"/>
              <w:left w:val="single" w:sz="6" w:space="0" w:color="auto"/>
              <w:bottom w:val="single" w:sz="6" w:space="0" w:color="auto"/>
              <w:right w:val="single" w:sz="6" w:space="0" w:color="auto"/>
            </w:tcBorders>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Style w:val="CommentReference"/>
                <w:rFonts w:ascii="Tahoma" w:hAnsi="Tahoma" w:cs="Tahoma"/>
                <w:sz w:val="18"/>
              </w:rPr>
            </w:pP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Style w:val="CommentReference"/>
                <w:rFonts w:ascii="Tahoma" w:hAnsi="Tahoma" w:cs="Tahoma"/>
                <w:sz w:val="18"/>
              </w:rPr>
            </w:pPr>
            <w:r w:rsidRPr="00EB4D74">
              <w:rPr>
                <w:rFonts w:ascii="Tahoma" w:hAnsi="Tahoma" w:cs="Tahoma"/>
                <w:lang w:val="pt-BR"/>
              </w:rPr>
              <w:t>Sim</w:t>
            </w: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Serviços de Planejamento</w:t>
            </w:r>
          </w:p>
        </w:tc>
        <w:tc>
          <w:tcPr>
            <w:tcW w:w="1530" w:type="dxa"/>
            <w:tcBorders>
              <w:top w:val="single" w:sz="6" w:space="0" w:color="auto"/>
              <w:left w:val="single" w:sz="6" w:space="0" w:color="auto"/>
              <w:bottom w:val="single" w:sz="6" w:space="0" w:color="auto"/>
              <w:right w:val="single" w:sz="6" w:space="0" w:color="auto"/>
            </w:tcBorders>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Style w:val="CommentReference"/>
                <w:rFonts w:ascii="Tahoma" w:hAnsi="Tahoma" w:cs="Tahoma"/>
                <w:sz w:val="18"/>
              </w:rPr>
            </w:pPr>
            <w:r w:rsidRPr="00EB4D74">
              <w:rPr>
                <w:rStyle w:val="CommentReference"/>
                <w:rFonts w:ascii="Tahoma" w:hAnsi="Tahoma" w:cs="Tahoma"/>
                <w:sz w:val="18"/>
                <w:lang w:val="pt-BR"/>
              </w:rPr>
              <w:t>Sim</w:t>
            </w: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Style w:val="CommentReference"/>
                <w:rFonts w:ascii="Tahoma" w:hAnsi="Tahoma" w:cs="Tahoma"/>
                <w:sz w:val="18"/>
              </w:rPr>
            </w:pP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Style w:val="CommentReference"/>
                <w:rFonts w:ascii="Tahoma" w:hAnsi="Tahoma" w:cs="Tahoma"/>
                <w:sz w:val="18"/>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Windows 8 Enterprise</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Cupons de Treinamento</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E-Learning</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Home Use Program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Enterprise Source Licensing Program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lang w:val="it-IT"/>
              </w:rPr>
            </w:pPr>
            <w:r w:rsidRPr="00EB4D74">
              <w:rPr>
                <w:rFonts w:ascii="Tahoma" w:hAnsi="Tahoma" w:cs="Tahoma"/>
                <w:lang w:val="pt-BR"/>
              </w:rPr>
              <w:t>Suporte para Resolução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center"/>
          </w:tcPr>
          <w:p w:rsidR="008B1196" w:rsidRPr="00EB4D74" w:rsidRDefault="008B1196" w:rsidP="00EA30FC">
            <w:pPr>
              <w:pStyle w:val="AppendixTableText"/>
              <w:rPr>
                <w:rStyle w:val="CommentReference"/>
                <w:rFonts w:ascii="Tahoma" w:hAnsi="Tahoma" w:cs="Tahoma"/>
                <w:sz w:val="18"/>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System Center Advisor</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lang w:val="it-IT"/>
              </w:rPr>
            </w:pPr>
            <w:r w:rsidRPr="00EB4D74">
              <w:rPr>
                <w:rFonts w:ascii="Tahoma" w:hAnsi="Tahoma" w:cs="Tahoma"/>
                <w:lang w:val="pt-BR"/>
              </w:rPr>
              <w:t>Backup Passivo para Recuperação de Desastres</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lang w:val="it-IT"/>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Serviços de Assinatura do TechNet SA</w:t>
            </w:r>
          </w:p>
        </w:tc>
        <w:tc>
          <w:tcPr>
            <w:tcW w:w="1530" w:type="dxa"/>
            <w:tcBorders>
              <w:top w:val="single" w:sz="4" w:space="0" w:color="auto"/>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4" w:space="0" w:color="auto"/>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nil"/>
              <w:left w:val="single" w:sz="4" w:space="0" w:color="auto"/>
              <w:bottom w:val="single" w:sz="4" w:space="0" w:color="auto"/>
              <w:right w:val="single" w:sz="4"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TechNet Plus Direct</w:t>
            </w: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nil"/>
              <w:left w:val="nil"/>
              <w:bottom w:val="single" w:sz="4"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nil"/>
              <w:left w:val="nil"/>
              <w:bottom w:val="single" w:sz="4"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Windows Thin PC</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Suporte Estendido a Hotfix</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Style w:val="CommentReference"/>
                <w:rFonts w:ascii="Tahoma" w:hAnsi="Tahoma" w:cs="Tahoma"/>
                <w:sz w:val="18"/>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color w:val="000000"/>
              </w:rPr>
            </w:pPr>
            <w:r w:rsidRPr="00EB4D74">
              <w:rPr>
                <w:rFonts w:ascii="Tahoma" w:hAnsi="Tahoma" w:cs="Tahoma"/>
                <w:color w:val="000000"/>
                <w:lang w:val="pt-BR"/>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spacing w:after="120"/>
              <w:rPr>
                <w:rFonts w:ascii="Tahoma" w:hAnsi="Tahoma" w:cs="Tahoma"/>
                <w:color w:val="000000"/>
              </w:rPr>
            </w:pPr>
            <w:r w:rsidRPr="00EB4D74">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spacing w:before="120"/>
              <w:rPr>
                <w:rFonts w:ascii="Tahoma" w:hAnsi="Tahoma" w:cs="Tahoma"/>
                <w:color w:val="000000"/>
              </w:rPr>
            </w:pPr>
            <w:r w:rsidRPr="00EB4D74">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spacing w:before="120"/>
              <w:rPr>
                <w:rFonts w:ascii="Tahoma" w:hAnsi="Tahoma" w:cs="Tahoma"/>
                <w:color w:val="000000"/>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color w:val="000000"/>
              </w:rPr>
            </w:pPr>
            <w:r w:rsidRPr="00EB4D74">
              <w:rPr>
                <w:rFonts w:ascii="Tahoma" w:hAnsi="Tahoma" w:cs="Tahoma"/>
                <w:color w:val="000000"/>
                <w:lang w:val="pt-BR"/>
              </w:rPr>
              <w:t>Direitos de Virtualização para Desktops Windows</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spacing w:after="120"/>
              <w:rPr>
                <w:rFonts w:ascii="Tahoma" w:hAnsi="Tahoma" w:cs="Tahoma"/>
                <w:color w:val="000000"/>
              </w:rPr>
            </w:pPr>
            <w:r w:rsidRPr="00EB4D74">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spacing w:before="120"/>
              <w:rPr>
                <w:rFonts w:ascii="Tahoma" w:hAnsi="Tahoma" w:cs="Tahoma"/>
                <w:color w:val="000000"/>
              </w:rPr>
            </w:pPr>
            <w:r w:rsidRPr="00EB4D74">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spacing w:before="120"/>
              <w:rPr>
                <w:rFonts w:ascii="Tahoma" w:hAnsi="Tahoma" w:cs="Tahoma"/>
                <w:color w:val="000000"/>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color w:val="000000"/>
              </w:rPr>
            </w:pPr>
            <w:r w:rsidRPr="00EB4D74">
              <w:rPr>
                <w:rFonts w:ascii="Tahoma" w:hAnsi="Tahoma" w:cs="Tahoma"/>
                <w:color w:val="000000"/>
                <w:lang w:val="pt-BR"/>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spacing w:after="120"/>
              <w:rPr>
                <w:rFonts w:ascii="Tahoma" w:hAnsi="Tahoma" w:cs="Tahoma"/>
                <w:color w:val="000000"/>
              </w:rPr>
            </w:pPr>
            <w:r w:rsidRPr="00EB4D74">
              <w:rPr>
                <w:rFonts w:ascii="Tahoma" w:hAnsi="Tahoma" w:cs="Tahoma"/>
                <w:color w:val="000000"/>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spacing w:before="120"/>
              <w:rPr>
                <w:rFonts w:ascii="Tahoma" w:hAnsi="Tahoma" w:cs="Tahoma"/>
                <w:color w:val="000000"/>
              </w:rPr>
            </w:pPr>
            <w:r w:rsidRPr="00EB4D74">
              <w:rPr>
                <w:rFonts w:ascii="Tahoma" w:hAnsi="Tahoma" w:cs="Tahoma"/>
                <w:color w:val="000000"/>
                <w:lang w:val="pt-BR"/>
              </w:rPr>
              <w:t>Sim</w:t>
            </w: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spacing w:before="120"/>
              <w:rPr>
                <w:rFonts w:ascii="Tahoma" w:hAnsi="Tahoma" w:cs="Tahoma"/>
                <w:color w:val="000000"/>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Licença Step-up</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Não</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r>
      <w:tr w:rsidR="008B1196" w:rsidRPr="00EB4D74" w:rsidTr="00EA30F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B1196" w:rsidRPr="00EB4D74" w:rsidRDefault="008B1196" w:rsidP="00EA30FC">
            <w:pPr>
              <w:pStyle w:val="AppendixTableText"/>
              <w:jc w:val="left"/>
              <w:rPr>
                <w:rFonts w:ascii="Tahoma" w:hAnsi="Tahoma" w:cs="Tahoma"/>
              </w:rPr>
            </w:pPr>
            <w:r w:rsidRPr="00EB4D74">
              <w:rPr>
                <w:rFonts w:ascii="Tahoma" w:hAnsi="Tahoma" w:cs="Tahoma"/>
                <w:lang w:val="pt-BR"/>
              </w:rPr>
              <w:t>Licença de Assinatura do Windows Companion</w:t>
            </w: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bottom"/>
          </w:tcPr>
          <w:p w:rsidR="008B1196" w:rsidRPr="00EB4D74" w:rsidRDefault="008B1196" w:rsidP="00EA30FC">
            <w:pPr>
              <w:pStyle w:val="AppendixTableText"/>
              <w:rPr>
                <w:rFonts w:ascii="Tahoma" w:hAnsi="Tahoma" w:cs="Tahoma"/>
              </w:rPr>
            </w:pPr>
            <w:r w:rsidRPr="00EB4D74">
              <w:rPr>
                <w:rFonts w:ascii="Tahoma" w:hAnsi="Tahoma" w:cs="Tahoma"/>
                <w:lang w:val="pt-BR"/>
              </w:rPr>
              <w:t>Sim</w:t>
            </w:r>
          </w:p>
        </w:tc>
        <w:tc>
          <w:tcPr>
            <w:tcW w:w="1440" w:type="dxa"/>
            <w:tcBorders>
              <w:top w:val="single" w:sz="6" w:space="0" w:color="auto"/>
              <w:left w:val="single" w:sz="6" w:space="0" w:color="auto"/>
              <w:bottom w:val="single" w:sz="6" w:space="0" w:color="auto"/>
              <w:right w:val="single" w:sz="4" w:space="0" w:color="auto"/>
            </w:tcBorders>
          </w:tcPr>
          <w:p w:rsidR="008B1196" w:rsidRPr="00EB4D74" w:rsidRDefault="008B1196" w:rsidP="00EA30FC">
            <w:pPr>
              <w:pStyle w:val="AppendixTableText"/>
              <w:rPr>
                <w:rFonts w:ascii="Tahoma" w:hAnsi="Tahoma" w:cs="Tahoma"/>
              </w:rPr>
            </w:pPr>
          </w:p>
        </w:tc>
      </w:tr>
    </w:tbl>
    <w:p w:rsidR="008B1196" w:rsidRPr="00EB4D74" w:rsidRDefault="008B1196" w:rsidP="008B1196">
      <w:pPr>
        <w:pStyle w:val="AppendixBodyText"/>
        <w:ind w:right="180"/>
        <w:rPr>
          <w:rFonts w:ascii="Tahoma" w:hAnsi="Tahoma" w:cs="Tahoma"/>
          <w:sz w:val="18"/>
          <w:szCs w:val="18"/>
          <w:lang w:val="it-IT"/>
        </w:rPr>
      </w:pPr>
      <w:r w:rsidRPr="00EB4D74">
        <w:rPr>
          <w:rFonts w:ascii="Tahoma" w:hAnsi="Tahoma" w:cs="Tahoma"/>
          <w:i/>
          <w:sz w:val="16"/>
          <w:lang w:val="pt-BR"/>
        </w:rPr>
        <w:t>*Sim, na tabela, significa que o Programa de Membros do Software Assurance, a aquisição do Software Assurance para produtos qualificados ou os gastos de SA com produtos qualificados do pool ou a aquisição do Windows Intune (Por Dispositivo)/pacote qualificado do Office 365 qualificam o cliente a esse benefício.</w:t>
      </w:r>
    </w:p>
    <w:p w:rsidR="008B1196" w:rsidRPr="00EB4D74" w:rsidRDefault="008B1196" w:rsidP="008B1196">
      <w:pPr>
        <w:pStyle w:val="AppendixBodyText"/>
        <w:ind w:right="180"/>
        <w:rPr>
          <w:rFonts w:ascii="Tahoma" w:hAnsi="Tahoma" w:cs="Tahoma"/>
          <w:sz w:val="18"/>
          <w:szCs w:val="18"/>
          <w:lang w:val="it-IT"/>
        </w:rPr>
      </w:pPr>
      <w:r w:rsidRPr="00EB4D74">
        <w:rPr>
          <w:rFonts w:ascii="Tahoma" w:hAnsi="Tahoma" w:cs="Tahoma"/>
          <w:i/>
          <w:sz w:val="16"/>
          <w:lang w:val="pt-BR"/>
        </w:rPr>
        <w:t>*A Microsoft poderá reter na fonte ou descontinuar, a qualquer momento, qualquer benefício relacionado ao Programa de Membros do Software Assurance disponível sob o quarto registro, e subsequentes, que esteja sob o mesmo contrato Select se possuir um motivo comercial para tal.</w:t>
      </w:r>
    </w:p>
    <w:p w:rsidR="008B1196" w:rsidRPr="00EB4D74" w:rsidRDefault="008B1196" w:rsidP="008B1196">
      <w:pPr>
        <w:pStyle w:val="AppendixBodyText"/>
        <w:rPr>
          <w:rFonts w:ascii="Tahoma" w:hAnsi="Tahoma" w:cs="Tahoma"/>
          <w:sz w:val="18"/>
          <w:szCs w:val="18"/>
          <w:lang w:val="it-IT"/>
        </w:rPr>
      </w:pPr>
      <w:r w:rsidRPr="00EB4D74">
        <w:rPr>
          <w:rFonts w:ascii="Tahoma" w:hAnsi="Tahoma" w:cs="Tahoma"/>
          <w:i/>
          <w:sz w:val="16"/>
          <w:lang w:val="pt-BR"/>
        </w:rPr>
        <w:t>***Geralmente, as ofertas de assinatura que abrangem componentes de software compostos de software adaptado incluirão direitos da nova versão para esses componentes.</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tbl>
      <w:tblPr>
        <w:tblW w:w="0" w:type="auto"/>
        <w:tblInd w:w="118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8B1196" w:rsidRPr="00EB4D74" w:rsidTr="00EA30FC">
        <w:trPr>
          <w:trHeight w:val="60"/>
        </w:trPr>
        <w:tc>
          <w:tcPr>
            <w:tcW w:w="8280" w:type="dxa"/>
            <w:shd w:val="clear" w:color="auto" w:fill="FFCC99"/>
            <w:vAlign w:val="center"/>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lastRenderedPageBreak/>
              <w:t>Produtos do Pool de Aplicativos do Office System</w:t>
            </w:r>
          </w:p>
        </w:tc>
      </w:tr>
      <w:tr w:rsidR="008B1196" w:rsidRPr="00EB4D74" w:rsidTr="00EA30FC">
        <w:trPr>
          <w:trHeight w:val="438"/>
        </w:trPr>
        <w:tc>
          <w:tcPr>
            <w:tcW w:w="8280" w:type="dxa"/>
            <w:vAlign w:val="center"/>
          </w:tcPr>
          <w:p w:rsidR="008B1196" w:rsidRPr="00EB4D74" w:rsidRDefault="008B1196" w:rsidP="00EA30FC">
            <w:pPr>
              <w:spacing w:line="240" w:lineRule="atLeast"/>
              <w:rPr>
                <w:rFonts w:cs="Tahoma"/>
              </w:rPr>
            </w:pPr>
            <w:r w:rsidRPr="00EB4D74">
              <w:rPr>
                <w:rFonts w:cs="Tahoma"/>
                <w:color w:val="000000"/>
                <w:lang w:val="pt-BR"/>
              </w:rPr>
              <w:t>Office Standard 2013</w:t>
            </w:r>
          </w:p>
          <w:p w:rsidR="008B1196" w:rsidRPr="00EB4D74" w:rsidRDefault="008B1196" w:rsidP="00EA30FC">
            <w:pPr>
              <w:spacing w:line="240" w:lineRule="atLeast"/>
              <w:rPr>
                <w:rFonts w:cs="Tahoma"/>
              </w:rPr>
            </w:pPr>
            <w:r w:rsidRPr="00EB4D74">
              <w:rPr>
                <w:rFonts w:cs="Tahoma"/>
                <w:color w:val="000000"/>
                <w:lang w:val="pt-BR"/>
              </w:rPr>
              <w:t>Office Professional Plus 2013</w:t>
            </w:r>
          </w:p>
          <w:p w:rsidR="008B1196" w:rsidRPr="00EB4D74" w:rsidRDefault="008B1196" w:rsidP="00EA30FC">
            <w:pPr>
              <w:spacing w:line="240" w:lineRule="atLeast"/>
              <w:rPr>
                <w:rFonts w:cs="Tahoma"/>
              </w:rPr>
            </w:pPr>
            <w:r w:rsidRPr="00EB4D74">
              <w:rPr>
                <w:rFonts w:cs="Tahoma"/>
                <w:color w:val="000000"/>
                <w:lang w:val="pt-BR"/>
              </w:rPr>
              <w:t>Project Standard 2013</w:t>
            </w:r>
          </w:p>
          <w:p w:rsidR="008B1196" w:rsidRPr="00EB4D74" w:rsidRDefault="008B1196" w:rsidP="00EA30FC">
            <w:pPr>
              <w:spacing w:line="240" w:lineRule="atLeast"/>
              <w:rPr>
                <w:rFonts w:cs="Tahoma"/>
              </w:rPr>
            </w:pPr>
            <w:r w:rsidRPr="00EB4D74">
              <w:rPr>
                <w:rFonts w:cs="Tahoma"/>
                <w:color w:val="000000"/>
                <w:lang w:val="pt-BR"/>
              </w:rPr>
              <w:t>Project Professional 2013</w:t>
            </w:r>
          </w:p>
          <w:p w:rsidR="008B1196" w:rsidRPr="00EB4D74" w:rsidRDefault="008B1196" w:rsidP="00EA30FC">
            <w:pPr>
              <w:spacing w:line="240" w:lineRule="atLeast"/>
              <w:rPr>
                <w:rFonts w:cs="Tahoma"/>
              </w:rPr>
            </w:pPr>
            <w:r w:rsidRPr="00EB4D74">
              <w:rPr>
                <w:rFonts w:cs="Tahoma"/>
                <w:color w:val="000000"/>
                <w:lang w:val="pt-BR"/>
              </w:rPr>
              <w:t>Visio</w:t>
            </w:r>
            <w:r w:rsidRPr="00EB4D74">
              <w:rPr>
                <w:rFonts w:cs="Tahoma"/>
                <w:color w:val="000000"/>
                <w:vertAlign w:val="superscript"/>
                <w:lang w:val="pt-BR"/>
              </w:rPr>
              <w:t>®</w:t>
            </w:r>
            <w:r w:rsidRPr="00EB4D74">
              <w:rPr>
                <w:rFonts w:cs="Tahoma"/>
                <w:color w:val="000000"/>
                <w:lang w:val="pt-BR"/>
              </w:rPr>
              <w:t xml:space="preserve"> Standard 2013</w:t>
            </w:r>
          </w:p>
          <w:p w:rsidR="008B1196" w:rsidRPr="00EB4D74" w:rsidRDefault="008B1196" w:rsidP="00EA30FC">
            <w:pPr>
              <w:spacing w:line="240" w:lineRule="atLeast"/>
              <w:rPr>
                <w:rFonts w:cs="Tahoma"/>
              </w:rPr>
            </w:pPr>
            <w:r w:rsidRPr="00EB4D74">
              <w:rPr>
                <w:rFonts w:cs="Tahoma"/>
                <w:color w:val="000000"/>
                <w:lang w:val="pt-BR"/>
              </w:rPr>
              <w:t>Visio</w:t>
            </w:r>
            <w:r w:rsidRPr="00EB4D74">
              <w:rPr>
                <w:rFonts w:cs="Tahoma"/>
                <w:color w:val="000000"/>
                <w:vertAlign w:val="superscript"/>
                <w:lang w:val="pt-BR"/>
              </w:rPr>
              <w:t>®</w:t>
            </w:r>
            <w:r w:rsidRPr="00EB4D74">
              <w:rPr>
                <w:rFonts w:cs="Tahoma"/>
                <w:color w:val="000000"/>
                <w:lang w:val="pt-BR"/>
              </w:rPr>
              <w:t xml:space="preserve"> Professional 2013</w:t>
            </w:r>
          </w:p>
          <w:p w:rsidR="008B1196" w:rsidRPr="00EB4D74" w:rsidRDefault="008B1196" w:rsidP="00EA30FC">
            <w:pPr>
              <w:spacing w:line="240" w:lineRule="atLeast"/>
              <w:rPr>
                <w:rFonts w:cs="Tahoma"/>
              </w:rPr>
            </w:pPr>
            <w:r w:rsidRPr="00EB4D74">
              <w:rPr>
                <w:rFonts w:cs="Tahoma"/>
                <w:color w:val="000000"/>
                <w:lang w:val="pt-BR"/>
              </w:rPr>
              <w:t>Access 2013</w:t>
            </w:r>
          </w:p>
          <w:p w:rsidR="008B1196" w:rsidRPr="00EB4D74" w:rsidRDefault="008B1196" w:rsidP="00EA30FC">
            <w:pPr>
              <w:spacing w:line="240" w:lineRule="atLeast"/>
              <w:rPr>
                <w:rFonts w:cs="Tahoma"/>
              </w:rPr>
            </w:pPr>
            <w:r w:rsidRPr="00EB4D74">
              <w:rPr>
                <w:rFonts w:cs="Tahoma"/>
                <w:color w:val="000000"/>
                <w:lang w:val="pt-BR"/>
              </w:rPr>
              <w:t>Excel 2013</w:t>
            </w:r>
          </w:p>
          <w:p w:rsidR="008B1196" w:rsidRPr="00EB4D74" w:rsidRDefault="008B1196" w:rsidP="00EA30FC">
            <w:pPr>
              <w:spacing w:line="240" w:lineRule="atLeast"/>
              <w:rPr>
                <w:rFonts w:cs="Tahoma"/>
              </w:rPr>
            </w:pPr>
            <w:r w:rsidRPr="00EB4D74">
              <w:rPr>
                <w:rFonts w:cs="Tahoma"/>
                <w:color w:val="000000"/>
                <w:lang w:val="pt-BR"/>
              </w:rPr>
              <w:t>InfoPath</w:t>
            </w:r>
            <w:r w:rsidRPr="00EB4D74">
              <w:rPr>
                <w:rFonts w:cs="Tahoma"/>
                <w:color w:val="000000"/>
                <w:vertAlign w:val="superscript"/>
                <w:lang w:val="pt-BR"/>
              </w:rPr>
              <w:t>®</w:t>
            </w:r>
            <w:r w:rsidRPr="00EB4D74">
              <w:rPr>
                <w:rFonts w:cs="Tahoma"/>
                <w:color w:val="000000"/>
                <w:lang w:val="pt-BR"/>
              </w:rPr>
              <w:t xml:space="preserve"> 2013</w:t>
            </w:r>
          </w:p>
          <w:p w:rsidR="008B1196" w:rsidRPr="00EB4D74" w:rsidRDefault="008B1196" w:rsidP="00EA30FC">
            <w:pPr>
              <w:spacing w:line="240" w:lineRule="atLeast"/>
              <w:rPr>
                <w:rFonts w:cs="Tahoma"/>
              </w:rPr>
            </w:pPr>
            <w:r w:rsidRPr="00EB4D74">
              <w:rPr>
                <w:rFonts w:cs="Tahoma"/>
                <w:color w:val="000000"/>
                <w:lang w:val="pt-BR"/>
              </w:rPr>
              <w:t>Lync 2013</w:t>
            </w:r>
          </w:p>
          <w:p w:rsidR="008B1196" w:rsidRPr="00EB4D74" w:rsidRDefault="008B1196" w:rsidP="00EA30FC">
            <w:pPr>
              <w:spacing w:line="240" w:lineRule="atLeast"/>
              <w:rPr>
                <w:rFonts w:cs="Tahoma"/>
              </w:rPr>
            </w:pPr>
            <w:r w:rsidRPr="00EB4D74">
              <w:rPr>
                <w:rFonts w:cs="Tahoma"/>
                <w:color w:val="000000"/>
                <w:lang w:val="pt-BR"/>
              </w:rPr>
              <w:t>OneNote™ 2013</w:t>
            </w:r>
          </w:p>
          <w:p w:rsidR="008B1196" w:rsidRPr="00EB4D74" w:rsidRDefault="008B1196" w:rsidP="00EA30FC">
            <w:pPr>
              <w:spacing w:line="240" w:lineRule="atLeast"/>
              <w:rPr>
                <w:rFonts w:cs="Tahoma"/>
              </w:rPr>
            </w:pPr>
            <w:r w:rsidRPr="00EB4D74">
              <w:rPr>
                <w:rFonts w:cs="Tahoma"/>
                <w:color w:val="000000"/>
                <w:lang w:val="pt-BR"/>
              </w:rPr>
              <w:t>Outlook</w:t>
            </w:r>
            <w:r w:rsidRPr="00EB4D74">
              <w:rPr>
                <w:rFonts w:cs="Tahoma"/>
                <w:color w:val="000000"/>
                <w:vertAlign w:val="superscript"/>
                <w:lang w:val="pt-BR"/>
              </w:rPr>
              <w:t>®</w:t>
            </w:r>
            <w:r w:rsidRPr="00EB4D74">
              <w:rPr>
                <w:rFonts w:cs="Tahoma"/>
                <w:color w:val="000000"/>
                <w:lang w:val="pt-BR"/>
              </w:rPr>
              <w:t xml:space="preserve"> 2013</w:t>
            </w:r>
          </w:p>
          <w:p w:rsidR="008B1196" w:rsidRPr="00EB4D74" w:rsidRDefault="008B1196" w:rsidP="00EA30FC">
            <w:pPr>
              <w:spacing w:line="240" w:lineRule="atLeast"/>
              <w:rPr>
                <w:rFonts w:cs="Tahoma"/>
              </w:rPr>
            </w:pPr>
            <w:r w:rsidRPr="00EB4D74">
              <w:rPr>
                <w:rFonts w:cs="Tahoma"/>
                <w:color w:val="000000"/>
                <w:lang w:val="pt-BR"/>
              </w:rPr>
              <w:t>PowerPoint</w:t>
            </w:r>
            <w:r w:rsidRPr="00EB4D74">
              <w:rPr>
                <w:rFonts w:cs="Tahoma"/>
                <w:color w:val="000000"/>
                <w:vertAlign w:val="superscript"/>
                <w:lang w:val="pt-BR"/>
              </w:rPr>
              <w:t>®</w:t>
            </w:r>
            <w:r w:rsidRPr="00EB4D74">
              <w:rPr>
                <w:rFonts w:cs="Tahoma"/>
                <w:color w:val="000000"/>
                <w:lang w:val="pt-BR"/>
              </w:rPr>
              <w:t xml:space="preserve"> 2013</w:t>
            </w:r>
          </w:p>
          <w:p w:rsidR="008B1196" w:rsidRPr="00EB4D74" w:rsidRDefault="008B1196" w:rsidP="00EA30FC">
            <w:pPr>
              <w:spacing w:line="240" w:lineRule="atLeast"/>
              <w:rPr>
                <w:rFonts w:cs="Tahoma"/>
              </w:rPr>
            </w:pPr>
            <w:r w:rsidRPr="00EB4D74">
              <w:rPr>
                <w:rFonts w:cs="Tahoma"/>
                <w:color w:val="000000"/>
                <w:lang w:val="pt-BR"/>
              </w:rPr>
              <w:t>Publisher 2013</w:t>
            </w:r>
          </w:p>
          <w:p w:rsidR="008B1196" w:rsidRPr="00EB4D74" w:rsidRDefault="008B1196" w:rsidP="00EA30FC">
            <w:pPr>
              <w:spacing w:line="240" w:lineRule="atLeast"/>
              <w:rPr>
                <w:rFonts w:cs="Tahoma"/>
              </w:rPr>
            </w:pPr>
            <w:r w:rsidRPr="00EB4D74">
              <w:rPr>
                <w:rFonts w:cs="Tahoma"/>
                <w:color w:val="000000"/>
                <w:lang w:val="pt-BR"/>
              </w:rPr>
              <w:t>Word 2013</w:t>
            </w:r>
          </w:p>
          <w:p w:rsidR="008B1196" w:rsidRPr="00EB4D74" w:rsidRDefault="008B1196" w:rsidP="00EA30FC">
            <w:pPr>
              <w:spacing w:line="240" w:lineRule="atLeast"/>
              <w:rPr>
                <w:rFonts w:cs="Tahoma"/>
              </w:rPr>
            </w:pPr>
            <w:r w:rsidRPr="00EB4D74">
              <w:rPr>
                <w:rFonts w:cs="Tahoma"/>
                <w:color w:val="000000"/>
                <w:lang w:val="pt-BR"/>
              </w:rPr>
              <w:t>Office para Mac Standard 2011</w:t>
            </w:r>
          </w:p>
          <w:p w:rsidR="008B1196" w:rsidRPr="00EB4D74" w:rsidRDefault="008B1196" w:rsidP="00EA30FC">
            <w:pPr>
              <w:spacing w:line="240" w:lineRule="atLeast"/>
              <w:rPr>
                <w:rFonts w:cs="Tahoma"/>
              </w:rPr>
            </w:pPr>
            <w:r w:rsidRPr="00EB4D74">
              <w:rPr>
                <w:rFonts w:cs="Tahoma"/>
                <w:color w:val="000000"/>
                <w:lang w:val="pt-BR"/>
              </w:rPr>
              <w:t>Lync para Mac 2011</w:t>
            </w:r>
          </w:p>
          <w:p w:rsidR="008B1196" w:rsidRPr="00EB4D74" w:rsidRDefault="008B1196" w:rsidP="00EA30FC">
            <w:pPr>
              <w:spacing w:line="240" w:lineRule="atLeast"/>
              <w:rPr>
                <w:rFonts w:cs="Tahoma"/>
              </w:rPr>
            </w:pPr>
            <w:r w:rsidRPr="00EB4D74">
              <w:rPr>
                <w:rFonts w:cs="Tahoma"/>
                <w:color w:val="000000"/>
                <w:lang w:val="pt-BR"/>
              </w:rPr>
              <w:t>Outlook para Mac 2011 PowerPoint para Mac 2011</w:t>
            </w:r>
          </w:p>
          <w:p w:rsidR="008B1196" w:rsidRPr="00EB4D74" w:rsidRDefault="008B1196" w:rsidP="00EA30FC">
            <w:pPr>
              <w:spacing w:line="240" w:lineRule="atLeast"/>
              <w:rPr>
                <w:rFonts w:cs="Tahoma"/>
              </w:rPr>
            </w:pPr>
            <w:r w:rsidRPr="00EB4D74">
              <w:rPr>
                <w:rFonts w:cs="Tahoma"/>
                <w:color w:val="000000"/>
                <w:lang w:val="pt-BR"/>
              </w:rPr>
              <w:t>Excel para Mac 2011</w:t>
            </w:r>
          </w:p>
          <w:p w:rsidR="008B1196" w:rsidRPr="00EB4D74" w:rsidRDefault="008B1196" w:rsidP="00EA30FC">
            <w:pPr>
              <w:spacing w:line="240" w:lineRule="atLeast"/>
              <w:rPr>
                <w:rFonts w:cs="Tahoma"/>
                <w:color w:val="000000"/>
                <w:szCs w:val="18"/>
              </w:rPr>
            </w:pPr>
            <w:r w:rsidRPr="00EB4D74">
              <w:rPr>
                <w:rFonts w:cs="Tahoma"/>
                <w:color w:val="000000"/>
                <w:szCs w:val="18"/>
                <w:lang w:val="pt-BR"/>
              </w:rPr>
              <w:t>Word para Mac 2011</w:t>
            </w:r>
          </w:p>
        </w:tc>
      </w:tr>
    </w:tbl>
    <w:p w:rsidR="008B1196" w:rsidRPr="00EB4D74" w:rsidRDefault="008B1196" w:rsidP="008B1196">
      <w:pPr>
        <w:pStyle w:val="AppendixBodyText"/>
        <w:ind w:firstLine="1080"/>
        <w:rPr>
          <w:rFonts w:ascii="Tahoma" w:hAnsi="Tahoma" w:cs="Tahoma"/>
        </w:rPr>
      </w:pPr>
      <w:r w:rsidRPr="00EB4D74">
        <w:rPr>
          <w:rFonts w:ascii="Tahoma" w:hAnsi="Tahoma" w:cs="Tahoma"/>
          <w:b/>
          <w:i/>
          <w:sz w:val="16"/>
          <w:u w:val="single"/>
          <w:lang w:val="pt-BR"/>
        </w:rPr>
        <w:t>Observação</w:t>
      </w:r>
      <w:r w:rsidRPr="00EB4D74">
        <w:rPr>
          <w:rFonts w:ascii="Tahoma" w:hAnsi="Tahoma" w:cs="Tahoma"/>
          <w:b/>
          <w:i/>
          <w:sz w:val="16"/>
          <w:lang w:val="pt-BR"/>
        </w:rPr>
        <w:t xml:space="preserve">: </w:t>
      </w:r>
      <w:r w:rsidRPr="00EB4D74">
        <w:rPr>
          <w:rFonts w:ascii="Tahoma" w:hAnsi="Tahoma" w:cs="Tahoma"/>
          <w:i/>
          <w:sz w:val="16"/>
          <w:lang w:val="pt-BR"/>
        </w:rPr>
        <w:t>a lista de produtos do Pool de Aplicativos do Office System está sujeita a alterações.</w:t>
      </w: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Heading2"/>
        <w:ind w:left="0"/>
        <w:rPr>
          <w:rFonts w:ascii="Tahoma" w:hAnsi="Tahoma" w:cs="Tahoma"/>
        </w:rPr>
      </w:pPr>
      <w:bookmarkStart w:id="838" w:name="_Toc336338228"/>
      <w:bookmarkStart w:id="839" w:name="_Toc342914865"/>
      <w:bookmarkEnd w:id="838"/>
      <w:r w:rsidRPr="00EB4D74">
        <w:rPr>
          <w:rFonts w:ascii="Tahoma" w:hAnsi="Tahoma" w:cs="Tahoma"/>
          <w:lang w:val="pt-BR"/>
        </w:rPr>
        <w:t>Direitos à Nova Versão</w:t>
      </w:r>
      <w:bookmarkEnd w:id="839"/>
    </w:p>
    <w:p w:rsidR="008B1196" w:rsidRPr="00EB4D74" w:rsidRDefault="008B1196" w:rsidP="008B1196">
      <w:pPr>
        <w:rPr>
          <w:rFonts w:cs="Tahoma"/>
        </w:rPr>
      </w:pPr>
    </w:p>
    <w:p w:rsidR="008B1196" w:rsidRPr="00EB4D74" w:rsidRDefault="008B1196" w:rsidP="008B1196">
      <w:pPr>
        <w:pStyle w:val="AppendixBodyText"/>
        <w:rPr>
          <w:rFonts w:ascii="Tahoma" w:hAnsi="Tahoma" w:cs="Tahoma"/>
        </w:rPr>
      </w:pPr>
      <w:r w:rsidRPr="00EB4D74">
        <w:rPr>
          <w:rFonts w:ascii="Tahoma" w:hAnsi="Tahoma" w:cs="Tahoma"/>
          <w:color w:val="000000"/>
          <w:sz w:val="18"/>
          <w:lang w:val="pt-BR"/>
        </w:rPr>
        <w:t>Com o Software Assurance, os clientes estão qualificados a atualizar para novas versões de softwares licenciados disponibilizados durante o prazo da cobertura do Software Assurance. “Direitos à Nova Versão” significa, para qualquer produto subjacente licenciado para o qual a cobertura do Software Assurance é solicitada, o direito de atualizar para, e executar em lugar do produto subjacente licenciado, a versão mais recente desse produto disponibilizado durante o período da cobertura. Por exemplo, se uma nova versão do Microsoft Office for disponibilizada durante o prazo de sua cobertura, suas licenças serão automaticamente atualizadas para a nova versão. Os clientes que adquirirem licenças perpétuas por meio do Software Assurance poderão implantar as atualizações após o término de suas coberturas.</w:t>
      </w: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Heading2"/>
        <w:ind w:left="0"/>
        <w:rPr>
          <w:rFonts w:ascii="Tahoma" w:hAnsi="Tahoma" w:cs="Tahoma"/>
        </w:rPr>
      </w:pPr>
      <w:bookmarkStart w:id="840" w:name="_Toc336338229"/>
      <w:bookmarkStart w:id="841" w:name="_Toc342914866"/>
      <w:bookmarkEnd w:id="840"/>
      <w:r w:rsidRPr="00EB4D74">
        <w:rPr>
          <w:rFonts w:ascii="Tahoma" w:hAnsi="Tahoma" w:cs="Tahoma"/>
          <w:lang w:val="pt-BR"/>
        </w:rPr>
        <w:t>Pacote Multilíngue do Office</w:t>
      </w:r>
      <w:bookmarkEnd w:id="841"/>
    </w:p>
    <w:p w:rsidR="008B1196" w:rsidRPr="00EB4D74" w:rsidRDefault="008B1196" w:rsidP="008B1196">
      <w:pPr>
        <w:rPr>
          <w:rFonts w:cs="Tahoma"/>
        </w:rPr>
      </w:pPr>
    </w:p>
    <w:p w:rsidR="008B1196" w:rsidRPr="00EB4D74" w:rsidRDefault="008B1196" w:rsidP="008B1196">
      <w:pPr>
        <w:jc w:val="both"/>
        <w:rPr>
          <w:rFonts w:cs="Tahoma"/>
        </w:rPr>
      </w:pPr>
      <w:r w:rsidRPr="00EB4D74">
        <w:rPr>
          <w:rFonts w:cs="Tahoma"/>
          <w:b/>
          <w:lang w:val="pt-BR"/>
        </w:rPr>
        <w:t xml:space="preserve">Clientes do Software Assurance: </w:t>
      </w:r>
      <w:r w:rsidRPr="00EB4D74">
        <w:rPr>
          <w:rFonts w:cs="Tahoma"/>
          <w:lang w:val="pt-BR"/>
        </w:rPr>
        <w:t>Os clientes com cobertura ativa do Software Assurance em produtos e pacotes do Office System estão qualificados para esse benefício durante o prazo da cobertura do Software Assurance. Os clientes têm a opção de usar a versão mais recente do Pacote Multilíngue do Office com as cópias do software Office System para as quais têm permissão de uso sob as licenças de qualificação.</w:t>
      </w:r>
    </w:p>
    <w:p w:rsidR="008B1196" w:rsidRPr="00EB4D74" w:rsidRDefault="008B1196" w:rsidP="008B1196">
      <w:pPr>
        <w:jc w:val="both"/>
        <w:rPr>
          <w:rFonts w:cs="Tahoma"/>
          <w:lang w:val="it-IT"/>
        </w:rPr>
      </w:pPr>
      <w:r w:rsidRPr="00EB4D74">
        <w:rPr>
          <w:rFonts w:cs="Tahoma"/>
          <w:b/>
          <w:lang w:val="pt-BR"/>
        </w:rPr>
        <w:t xml:space="preserve">Clientes qualificados para os Benefícios de Serviços Online: </w:t>
      </w:r>
      <w:r w:rsidRPr="00EB4D74">
        <w:rPr>
          <w:rFonts w:cs="Tahoma"/>
          <w:szCs w:val="18"/>
          <w:lang w:val="pt-BR"/>
        </w:rPr>
        <w:t>Clientes com o Office Pro Plus para Office 365 e Office 365 pacotes E3 e E4 estão qualificados para usar esse benefício durante o prazo de seu respectivo registro.</w:t>
      </w: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r w:rsidRPr="00EB4D74">
        <w:rPr>
          <w:rFonts w:cs="Tahoma"/>
          <w:lang w:val="pt-BR"/>
        </w:rPr>
        <w:t>Se o contrato de um cliente fornecer direitos perpétuos de uso do software sob suas licenças de qualificação, ele terá o direito perpétuo de usar o Pacote Multilíngue do Office com esse software (um cliente pode continuar a usar o Pacote Multilíngue do Office com o software Office System de acordo com suas licenças de qualificação, mesmo após o término da cobertura do SA para essas licenças). Caso contrário, o direito de uso do Pacote Multilíngue do Office se encerrará no término dos direitos concedidos sob a licença de qualificação do Office System.</w:t>
      </w: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outlineLvl w:val="1"/>
        <w:rPr>
          <w:rFonts w:cs="Tahoma"/>
          <w:lang w:val="it-IT"/>
        </w:rPr>
      </w:pPr>
      <w:bookmarkStart w:id="842" w:name="_Toc291204555"/>
      <w:bookmarkEnd w:id="842"/>
      <w:r w:rsidRPr="00EB4D74">
        <w:rPr>
          <w:rFonts w:cs="Tahoma"/>
          <w:b/>
          <w:sz w:val="24"/>
          <w:lang w:val="pt-BR"/>
        </w:rPr>
        <w:lastRenderedPageBreak/>
        <w:t>Serviços de Planejamento</w:t>
      </w:r>
    </w:p>
    <w:p w:rsidR="008B1196" w:rsidRPr="00EB4D74" w:rsidRDefault="008B1196" w:rsidP="008B1196">
      <w:pPr>
        <w:rPr>
          <w:rFonts w:cs="Tahoma"/>
          <w:lang w:val="it-IT"/>
        </w:rPr>
      </w:pPr>
    </w:p>
    <w:p w:rsidR="008B1196" w:rsidRPr="00EB4D74" w:rsidRDefault="008B1196" w:rsidP="008B1196">
      <w:pPr>
        <w:spacing w:after="60"/>
        <w:rPr>
          <w:rFonts w:cs="Tahoma"/>
        </w:rPr>
      </w:pPr>
      <w:r w:rsidRPr="00EB4D74">
        <w:rPr>
          <w:rFonts w:cs="Tahoma"/>
          <w:color w:val="000000"/>
          <w:szCs w:val="18"/>
          <w:lang w:val="pt-BR"/>
        </w:rPr>
        <w:t xml:space="preserve">Os clientes (que não forem de Licença Academic Select, Select Plus para Academic, Contrato para Campus e Contrato School e Open Value Subscription - Soluções Educacionais) com o Programa de Membros do Software Assurance nos Pools de Aplicativos e Servidores estão qualificados para esse benefício. O benefício Serviços de Planejamento fornece aos clientes qualificados ofertas de serviços personalizados predefinidas. </w:t>
      </w:r>
      <w:r w:rsidRPr="00EB4D74">
        <w:rPr>
          <w:rFonts w:cs="Tahoma"/>
          <w:color w:val="000000"/>
          <w:lang w:val="pt-BR"/>
        </w:rPr>
        <w:t>As ofertas disponíveis incluem:</w:t>
      </w:r>
    </w:p>
    <w:p w:rsidR="008B1196" w:rsidRPr="00EB4D74" w:rsidRDefault="008B1196" w:rsidP="008B1196">
      <w:pPr>
        <w:spacing w:after="60"/>
        <w:rPr>
          <w:rFonts w:cs="Tahoma"/>
        </w:rPr>
      </w:pPr>
    </w:p>
    <w:p w:rsidR="008B1196" w:rsidRPr="00EB4D74" w:rsidRDefault="008B1196" w:rsidP="008B1196">
      <w:pPr>
        <w:numPr>
          <w:ilvl w:val="0"/>
          <w:numId w:val="17"/>
        </w:numPr>
        <w:spacing w:after="60" w:line="276" w:lineRule="auto"/>
        <w:rPr>
          <w:rFonts w:cs="Tahoma"/>
        </w:rPr>
      </w:pPr>
      <w:r w:rsidRPr="00EB4D74">
        <w:rPr>
          <w:rFonts w:cs="Tahoma"/>
          <w:color w:val="000000"/>
          <w:lang w:val="pt-BR"/>
        </w:rPr>
        <w:t>Desktop Deployment Planning Services (DDPS)</w:t>
      </w:r>
    </w:p>
    <w:p w:rsidR="008B1196" w:rsidRPr="00EB4D74" w:rsidRDefault="008B1196" w:rsidP="008B1196">
      <w:pPr>
        <w:numPr>
          <w:ilvl w:val="1"/>
          <w:numId w:val="55"/>
        </w:numPr>
        <w:spacing w:after="60" w:line="276" w:lineRule="auto"/>
        <w:ind w:left="1980"/>
        <w:rPr>
          <w:rFonts w:cs="Tahoma"/>
          <w:lang w:val="it-IT"/>
        </w:rPr>
      </w:pPr>
      <w:r w:rsidRPr="00EB4D74">
        <w:rPr>
          <w:rFonts w:cs="Tahoma"/>
          <w:color w:val="000000"/>
          <w:szCs w:val="18"/>
          <w:lang w:val="pt-BR"/>
        </w:rPr>
        <w:t xml:space="preserve">Descrição: </w:t>
      </w:r>
      <w:r w:rsidRPr="00EB4D74">
        <w:rPr>
          <w:rFonts w:cs="Tahoma"/>
          <w:color w:val="000000"/>
          <w:lang w:val="pt-BR"/>
        </w:rPr>
        <w:t>O DDPS fornece aos clientes a análise fundamental, os procedimentos técnicos e de planejamento necessários para iniciar a implantação do desktop com o Office 2010 e o Windows 8. Essa oferta é baseada nas práticas recomendadas da Microsoft para implantação de desktop e ajuda os clientes e reduzir o custo, o risco e a complexidade das implantações por meio de altos níveis de processo e automação. O DDPS também pode auxiliar as organizações a avaliar o Office 365 abordando a consideração e os requisitos para adoção de um ambiente de desktop preparado para nuvem.</w:t>
      </w:r>
    </w:p>
    <w:p w:rsidR="008B1196" w:rsidRPr="00EB4D74" w:rsidRDefault="008B1196" w:rsidP="008B1196">
      <w:pPr>
        <w:numPr>
          <w:ilvl w:val="1"/>
          <w:numId w:val="55"/>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1, 3, 5, 10 ou 15 dias</w:t>
      </w:r>
    </w:p>
    <w:p w:rsidR="008B1196" w:rsidRPr="00EB4D74" w:rsidRDefault="008B1196" w:rsidP="008B1196">
      <w:pPr>
        <w:numPr>
          <w:ilvl w:val="0"/>
          <w:numId w:val="18"/>
        </w:numPr>
        <w:spacing w:after="60" w:line="276" w:lineRule="auto"/>
        <w:ind w:left="1440"/>
        <w:rPr>
          <w:rFonts w:cs="Tahoma"/>
        </w:rPr>
      </w:pPr>
      <w:r w:rsidRPr="00EB4D74">
        <w:rPr>
          <w:rFonts w:cs="Tahoma"/>
          <w:color w:val="000000"/>
          <w:lang w:val="pt-BR"/>
        </w:rPr>
        <w:t>SharePoint Deployment Planning Services (SDPS)</w:t>
      </w:r>
    </w:p>
    <w:p w:rsidR="008B1196" w:rsidRPr="00EB4D74" w:rsidRDefault="008B1196" w:rsidP="008B1196">
      <w:pPr>
        <w:numPr>
          <w:ilvl w:val="1"/>
          <w:numId w:val="56"/>
        </w:numPr>
        <w:spacing w:after="60" w:line="276" w:lineRule="auto"/>
        <w:ind w:left="1980"/>
        <w:rPr>
          <w:rFonts w:cs="Tahoma"/>
          <w:lang w:val="pt-BR"/>
        </w:rPr>
      </w:pPr>
      <w:r w:rsidRPr="00EB4D74">
        <w:rPr>
          <w:rFonts w:cs="Tahoma"/>
          <w:color w:val="000000"/>
          <w:szCs w:val="18"/>
          <w:lang w:val="pt-BR"/>
        </w:rPr>
        <w:t>Descrição: o SDPS permite que parceiros qualificados e consultores da Microsoft ajudem os clientes a desenvolver um plano de implantação do SharePoint Portal Server personalizado para o ambiente específico e avaliar os custos gerais da implantação da tecnologia. O SDPS também pode ajudar os clientes com o planejamento do desenvolvimento com o objetivo de auxiliar na transição para o Office 365, concentrando-se no SharePoint Online.</w:t>
      </w:r>
    </w:p>
    <w:p w:rsidR="008B1196" w:rsidRPr="00EB4D74" w:rsidRDefault="008B1196" w:rsidP="008B1196">
      <w:pPr>
        <w:numPr>
          <w:ilvl w:val="1"/>
          <w:numId w:val="56"/>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1, 3, 5, 10 ou 15 dias</w:t>
      </w:r>
    </w:p>
    <w:p w:rsidR="008B1196" w:rsidRPr="00EB4D74" w:rsidRDefault="008B1196" w:rsidP="008B1196">
      <w:pPr>
        <w:numPr>
          <w:ilvl w:val="0"/>
          <w:numId w:val="17"/>
        </w:numPr>
        <w:spacing w:after="60" w:line="276" w:lineRule="auto"/>
        <w:rPr>
          <w:rFonts w:cs="Tahoma"/>
        </w:rPr>
      </w:pPr>
      <w:r w:rsidRPr="00EB4D74">
        <w:rPr>
          <w:rFonts w:cs="Tahoma"/>
          <w:color w:val="000000"/>
          <w:lang w:val="pt-BR"/>
        </w:rPr>
        <w:t>Lync e Exchange Deployment Planning Services (L&amp;EDPS)</w:t>
      </w:r>
    </w:p>
    <w:p w:rsidR="008B1196" w:rsidRPr="00EB4D74" w:rsidRDefault="008B1196" w:rsidP="008B1196">
      <w:pPr>
        <w:numPr>
          <w:ilvl w:val="1"/>
          <w:numId w:val="57"/>
        </w:numPr>
        <w:spacing w:after="60" w:line="276" w:lineRule="auto"/>
        <w:ind w:left="1980"/>
        <w:rPr>
          <w:rFonts w:cs="Tahoma"/>
          <w:lang w:val="it-IT"/>
        </w:rPr>
      </w:pPr>
      <w:r w:rsidRPr="00EB4D74">
        <w:rPr>
          <w:rFonts w:cs="Tahoma"/>
          <w:color w:val="000000"/>
          <w:szCs w:val="18"/>
          <w:lang w:val="pt-BR"/>
        </w:rPr>
        <w:t xml:space="preserve">Descrição: O L&amp;EDPS permite que parceiros qualificados e os consultores da Microsoft orientem os clientes pelas fases de planejamento da implantação e valor das implementações do Lync e do Exchange 2010, inclusive a análise do ambiente da organização do cliente e o compartilhamento de práticas recomendadas para soluções locais e em nuvem. </w:t>
      </w:r>
      <w:r w:rsidRPr="00EB4D74">
        <w:rPr>
          <w:rFonts w:cs="Tahoma"/>
          <w:color w:val="000000"/>
          <w:lang w:val="pt-BR"/>
        </w:rPr>
        <w:t>O L&amp;EDPS também pode ajudar os clientes com o planejamento do desenvolvimento com o objetivo de auxiliar na transição para o Office 365, concentrando-se no Lync e no Exchange Online.</w:t>
      </w:r>
    </w:p>
    <w:p w:rsidR="008B1196" w:rsidRPr="00EB4D74" w:rsidRDefault="008B1196" w:rsidP="008B1196">
      <w:pPr>
        <w:numPr>
          <w:ilvl w:val="1"/>
          <w:numId w:val="57"/>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1, 3, 5, 10 ou 15 dias</w:t>
      </w:r>
    </w:p>
    <w:p w:rsidR="008B1196" w:rsidRPr="00EB4D74" w:rsidRDefault="008B1196" w:rsidP="008B1196">
      <w:pPr>
        <w:numPr>
          <w:ilvl w:val="0"/>
          <w:numId w:val="17"/>
        </w:numPr>
        <w:spacing w:after="60" w:line="276" w:lineRule="auto"/>
        <w:rPr>
          <w:rFonts w:cs="Tahoma"/>
        </w:rPr>
      </w:pPr>
      <w:r w:rsidRPr="00EB4D74">
        <w:rPr>
          <w:rFonts w:cs="Tahoma"/>
          <w:color w:val="000000"/>
          <w:lang w:val="pt-BR"/>
        </w:rPr>
        <w:t>Private Cloud, Management, and Virtualization Deployment Planning Services (PVDPS)</w:t>
      </w:r>
    </w:p>
    <w:p w:rsidR="008B1196" w:rsidRPr="00EB4D74" w:rsidRDefault="008B1196" w:rsidP="008B1196">
      <w:pPr>
        <w:numPr>
          <w:ilvl w:val="1"/>
          <w:numId w:val="58"/>
        </w:numPr>
        <w:spacing w:after="60" w:line="276" w:lineRule="auto"/>
        <w:ind w:left="1980"/>
        <w:rPr>
          <w:rFonts w:cs="Tahoma"/>
          <w:lang w:val="it-IT"/>
        </w:rPr>
      </w:pPr>
      <w:r w:rsidRPr="00EB4D74">
        <w:rPr>
          <w:rFonts w:cs="Tahoma"/>
          <w:color w:val="000000"/>
          <w:szCs w:val="18"/>
          <w:lang w:val="pt-BR"/>
        </w:rPr>
        <w:t xml:space="preserve">Descrição: </w:t>
      </w:r>
      <w:r w:rsidRPr="00EB4D74">
        <w:rPr>
          <w:rFonts w:cs="Tahoma"/>
          <w:szCs w:val="18"/>
          <w:lang w:val="pt-BR"/>
        </w:rPr>
        <w:t xml:space="preserve">O PVDPS fornece compromissos de consultoria estruturados que ajudam os clientes a aproveitar as soluções de infraestrutura baseadas em Windows Server, Systems Center e Hyper-V. </w:t>
      </w:r>
      <w:r w:rsidRPr="00EB4D74">
        <w:rPr>
          <w:rFonts w:cs="Tahoma"/>
          <w:lang w:val="pt-BR"/>
        </w:rPr>
        <w:t>Esse serviço ajudará a reduzir custos de data center, aumentar a agilidade dos negócios e fornecer um controle aperfeiçoado da infraestrutura física, virtual e híbrida do cliente</w:t>
      </w:r>
      <w:r w:rsidRPr="00EB4D74">
        <w:rPr>
          <w:rFonts w:cs="Tahoma"/>
          <w:color w:val="000000"/>
          <w:lang w:val="pt-BR"/>
        </w:rPr>
        <w:t>.</w:t>
      </w:r>
    </w:p>
    <w:p w:rsidR="008B1196" w:rsidRPr="00EB4D74" w:rsidRDefault="008B1196" w:rsidP="008B1196">
      <w:pPr>
        <w:numPr>
          <w:ilvl w:val="1"/>
          <w:numId w:val="58"/>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3, 5, 10 ou 15 dias</w:t>
      </w:r>
    </w:p>
    <w:p w:rsidR="008B1196" w:rsidRPr="00EB4D74" w:rsidRDefault="008B1196" w:rsidP="008B1196">
      <w:pPr>
        <w:numPr>
          <w:ilvl w:val="0"/>
          <w:numId w:val="17"/>
        </w:numPr>
        <w:spacing w:after="60" w:line="276" w:lineRule="auto"/>
        <w:rPr>
          <w:rFonts w:cs="Tahoma"/>
        </w:rPr>
      </w:pPr>
      <w:r w:rsidRPr="00EB4D74">
        <w:rPr>
          <w:rFonts w:cs="Tahoma"/>
          <w:color w:val="000000"/>
          <w:lang w:val="pt-BR"/>
        </w:rPr>
        <w:t>SQL Server Deployment Planning Services (SSDPS)</w:t>
      </w:r>
    </w:p>
    <w:p w:rsidR="008B1196" w:rsidRPr="00EB4D74" w:rsidRDefault="008B1196" w:rsidP="008B1196">
      <w:pPr>
        <w:numPr>
          <w:ilvl w:val="1"/>
          <w:numId w:val="59"/>
        </w:numPr>
        <w:spacing w:after="60" w:line="276" w:lineRule="auto"/>
        <w:ind w:left="1980"/>
        <w:rPr>
          <w:rFonts w:cs="Tahoma"/>
          <w:lang w:val="it-IT"/>
        </w:rPr>
      </w:pPr>
      <w:r w:rsidRPr="00EB4D74">
        <w:rPr>
          <w:rFonts w:cs="Tahoma"/>
          <w:color w:val="000000"/>
          <w:szCs w:val="18"/>
          <w:lang w:val="pt-BR"/>
        </w:rPr>
        <w:t xml:space="preserve">Descrição: </w:t>
      </w:r>
      <w:r w:rsidRPr="00EB4D74">
        <w:rPr>
          <w:rFonts w:cs="Tahoma"/>
          <w:lang w:val="pt-BR"/>
        </w:rPr>
        <w:t>O SSDPS fornece uma avaliação aprofundada e o planejamento da implantação para migração para o SQL Server, atualização para a nova versão da solução SQL Server e SQL Server Business Intelligence.</w:t>
      </w:r>
    </w:p>
    <w:p w:rsidR="008B1196" w:rsidRPr="00EB4D74" w:rsidRDefault="008B1196" w:rsidP="008B1196">
      <w:pPr>
        <w:numPr>
          <w:ilvl w:val="1"/>
          <w:numId w:val="59"/>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3, 5, 10 ou 15 dias</w:t>
      </w:r>
    </w:p>
    <w:p w:rsidR="008B1196" w:rsidRPr="00EB4D74" w:rsidRDefault="008B1196" w:rsidP="008B1196">
      <w:pPr>
        <w:spacing w:after="60" w:line="276" w:lineRule="auto"/>
        <w:rPr>
          <w:rFonts w:cs="Tahoma"/>
          <w:color w:val="000000"/>
          <w:lang w:val="pt-BR"/>
        </w:rPr>
      </w:pPr>
    </w:p>
    <w:p w:rsidR="008B1196" w:rsidRPr="00EB4D74" w:rsidRDefault="008B1196" w:rsidP="008B1196">
      <w:pPr>
        <w:spacing w:after="60" w:line="276" w:lineRule="auto"/>
        <w:rPr>
          <w:rFonts w:cs="Tahoma"/>
          <w:color w:val="000000"/>
          <w:lang w:val="pt-BR"/>
        </w:rPr>
      </w:pPr>
    </w:p>
    <w:p w:rsidR="008B1196" w:rsidRPr="00EB4D74" w:rsidRDefault="008B1196" w:rsidP="008B1196">
      <w:pPr>
        <w:spacing w:after="60" w:line="276" w:lineRule="auto"/>
        <w:rPr>
          <w:rFonts w:cs="Tahoma"/>
        </w:rPr>
      </w:pPr>
    </w:p>
    <w:p w:rsidR="008B1196" w:rsidRPr="00EB4D74" w:rsidRDefault="008B1196" w:rsidP="008B1196">
      <w:pPr>
        <w:numPr>
          <w:ilvl w:val="0"/>
          <w:numId w:val="17"/>
        </w:numPr>
        <w:spacing w:after="60" w:line="276" w:lineRule="auto"/>
        <w:rPr>
          <w:rFonts w:cs="Tahoma"/>
        </w:rPr>
      </w:pPr>
      <w:r w:rsidRPr="00EB4D74">
        <w:rPr>
          <w:rFonts w:cs="Tahoma"/>
          <w:color w:val="000000"/>
          <w:lang w:val="pt-BR"/>
        </w:rPr>
        <w:lastRenderedPageBreak/>
        <w:t>Developer Tools Deployment Planning Services (DTDPS)</w:t>
      </w:r>
    </w:p>
    <w:p w:rsidR="008B1196" w:rsidRPr="00EB4D74" w:rsidRDefault="008B1196" w:rsidP="008B1196">
      <w:pPr>
        <w:numPr>
          <w:ilvl w:val="1"/>
          <w:numId w:val="60"/>
        </w:numPr>
        <w:spacing w:after="60" w:line="276" w:lineRule="auto"/>
        <w:ind w:left="1980"/>
        <w:rPr>
          <w:rFonts w:cs="Tahoma"/>
          <w:lang w:val="it-IT"/>
        </w:rPr>
      </w:pPr>
      <w:r w:rsidRPr="00EB4D74">
        <w:rPr>
          <w:rFonts w:cs="Tahoma"/>
          <w:color w:val="000000"/>
          <w:szCs w:val="18"/>
          <w:lang w:val="pt-BR"/>
        </w:rPr>
        <w:t xml:space="preserve">Descrição: </w:t>
      </w:r>
      <w:r w:rsidRPr="00EB4D74">
        <w:rPr>
          <w:rFonts w:cs="Tahoma"/>
          <w:lang w:val="pt-BR"/>
        </w:rPr>
        <w:t>O DTDPS fornece uma análise rigorosa e uma abordagem concentrada em processo a fim de desenvolver um plano de implantação do Visual Studio Team Foundation Server ou do Visual Studio Test Tools. Seguindo as práticas recomendadas da Microsoft, um parceiro certificado criará um plano de implantação exclusivo, personalizado de acordo com as necessidades da empresa</w:t>
      </w:r>
      <w:r w:rsidRPr="00EB4D74">
        <w:rPr>
          <w:rFonts w:cs="Tahoma"/>
          <w:color w:val="000000"/>
          <w:lang w:val="pt-BR"/>
        </w:rPr>
        <w:t>.</w:t>
      </w:r>
    </w:p>
    <w:p w:rsidR="008B1196" w:rsidRPr="00EB4D74" w:rsidRDefault="008B1196" w:rsidP="008B1196">
      <w:pPr>
        <w:numPr>
          <w:ilvl w:val="1"/>
          <w:numId w:val="60"/>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3 ou 5 dias</w:t>
      </w:r>
    </w:p>
    <w:p w:rsidR="008B1196" w:rsidRPr="00EB4D74" w:rsidRDefault="008B1196" w:rsidP="008B1196">
      <w:pPr>
        <w:numPr>
          <w:ilvl w:val="0"/>
          <w:numId w:val="17"/>
        </w:numPr>
        <w:spacing w:after="60" w:line="276" w:lineRule="auto"/>
        <w:rPr>
          <w:rFonts w:cs="Tahoma"/>
        </w:rPr>
      </w:pPr>
      <w:r w:rsidRPr="00EB4D74">
        <w:rPr>
          <w:rFonts w:cs="Tahoma"/>
          <w:color w:val="000000"/>
          <w:lang w:val="pt-BR"/>
        </w:rPr>
        <w:t>Public Cloud, Azure Deployment Planning Services (AZDPS)</w:t>
      </w:r>
    </w:p>
    <w:p w:rsidR="008B1196" w:rsidRPr="00EB4D74" w:rsidRDefault="008B1196" w:rsidP="008B1196">
      <w:pPr>
        <w:numPr>
          <w:ilvl w:val="1"/>
          <w:numId w:val="61"/>
        </w:numPr>
        <w:spacing w:after="60" w:line="276" w:lineRule="auto"/>
        <w:ind w:left="1980"/>
        <w:rPr>
          <w:rFonts w:cs="Tahoma"/>
          <w:lang w:val="pt-BR"/>
        </w:rPr>
      </w:pPr>
      <w:r w:rsidRPr="00EB4D74">
        <w:rPr>
          <w:rFonts w:cs="Tahoma"/>
          <w:color w:val="000000"/>
          <w:szCs w:val="18"/>
          <w:lang w:val="pt-BR"/>
        </w:rPr>
        <w:t xml:space="preserve">Descrição: </w:t>
      </w:r>
      <w:r w:rsidRPr="00EB4D74">
        <w:rPr>
          <w:rFonts w:cs="Tahoma"/>
          <w:lang w:val="pt-BR"/>
        </w:rPr>
        <w:t xml:space="preserve">O </w:t>
      </w:r>
      <w:r w:rsidRPr="00EB4D74">
        <w:rPr>
          <w:rFonts w:cs="Tahoma"/>
          <w:color w:val="1D1B11"/>
          <w:lang w:val="pt-BR"/>
        </w:rPr>
        <w:t>Public</w:t>
      </w:r>
      <w:r w:rsidRPr="00EB4D74">
        <w:rPr>
          <w:rFonts w:cs="Tahoma"/>
          <w:lang w:val="pt-BR"/>
        </w:rPr>
        <w:t xml:space="preserve"> Cloud, AZDPS fornece o treinamento e o serviço de migração da Plataforma Windows Azure. Esse serviço oferece um tutorial da Plataforma Windows Azure com treinamento prático, fornece orientação sobre como migrar aplicativos e dados e como arquitetar aplicativos para nuvem, além de ajudar os clientes a migrar ou desenvolver seus primeiros aplicativos na Plataforma Windows Azure.</w:t>
      </w:r>
    </w:p>
    <w:p w:rsidR="008B1196" w:rsidRPr="00EB4D74" w:rsidRDefault="008B1196" w:rsidP="008B1196">
      <w:pPr>
        <w:numPr>
          <w:ilvl w:val="1"/>
          <w:numId w:val="61"/>
        </w:numPr>
        <w:spacing w:after="60" w:line="276" w:lineRule="auto"/>
        <w:ind w:left="1980"/>
        <w:rPr>
          <w:rFonts w:cs="Tahoma"/>
        </w:rPr>
      </w:pPr>
      <w:r w:rsidRPr="00EB4D74">
        <w:rPr>
          <w:rFonts w:cs="Tahoma"/>
          <w:color w:val="000000"/>
          <w:szCs w:val="18"/>
          <w:lang w:val="pt-BR"/>
        </w:rPr>
        <w:t xml:space="preserve">Níveis de Serviço: </w:t>
      </w:r>
      <w:r w:rsidRPr="00EB4D74">
        <w:rPr>
          <w:rFonts w:cs="Tahoma"/>
          <w:color w:val="000000"/>
          <w:lang w:val="pt-BR"/>
        </w:rPr>
        <w:t>3, 5 ou 10 dias</w:t>
      </w:r>
    </w:p>
    <w:p w:rsidR="008B1196" w:rsidRPr="00EB4D74" w:rsidRDefault="008B1196" w:rsidP="008B1196">
      <w:pPr>
        <w:tabs>
          <w:tab w:val="left" w:pos="8040"/>
        </w:tabs>
        <w:spacing w:after="60"/>
        <w:rPr>
          <w:rFonts w:cs="Tahoma"/>
        </w:rPr>
      </w:pPr>
    </w:p>
    <w:p w:rsidR="008B1196" w:rsidRPr="00EB4D74" w:rsidRDefault="008B1196" w:rsidP="008B1196">
      <w:pPr>
        <w:spacing w:after="60"/>
        <w:rPr>
          <w:rFonts w:cs="Tahoma"/>
          <w:lang w:val="it-IT"/>
        </w:rPr>
      </w:pPr>
      <w:r w:rsidRPr="00EB4D74">
        <w:rPr>
          <w:rFonts w:cs="Tahoma"/>
          <w:color w:val="000000"/>
          <w:szCs w:val="18"/>
          <w:lang w:val="pt-BR"/>
        </w:rPr>
        <w:t xml:space="preserve">A lista de serviços disponíveis e níveis de serviços associados pode ser alterada a qualquer momento. </w:t>
      </w:r>
      <w:r w:rsidRPr="00EB4D74">
        <w:rPr>
          <w:rFonts w:cs="Tahoma"/>
          <w:color w:val="000000"/>
          <w:lang w:val="pt-BR"/>
        </w:rPr>
        <w:t>Os Provedores Qualificados fornecerão aos clientes uma descrição do Escopo do Trabalho disponível para cada uma das ofertas de serviço acima mediante solicitação.</w:t>
      </w:r>
    </w:p>
    <w:p w:rsidR="008B1196" w:rsidRPr="00EB4D74" w:rsidRDefault="008B1196" w:rsidP="008B1196">
      <w:pPr>
        <w:rPr>
          <w:rFonts w:cs="Tahoma"/>
          <w:lang w:val="it-IT"/>
        </w:rPr>
      </w:pPr>
    </w:p>
    <w:p w:rsidR="008B1196" w:rsidRPr="00EB4D74" w:rsidRDefault="008B1196" w:rsidP="008B1196">
      <w:pPr>
        <w:spacing w:after="60"/>
        <w:rPr>
          <w:rFonts w:cs="Tahoma"/>
          <w:lang w:val="pt-BR"/>
        </w:rPr>
      </w:pPr>
      <w:r w:rsidRPr="00EB4D74">
        <w:rPr>
          <w:rFonts w:cs="Tahoma"/>
          <w:color w:val="000000"/>
          <w:szCs w:val="18"/>
          <w:lang w:val="pt-BR"/>
        </w:rPr>
        <w:t xml:space="preserve">Os clientes qualificados receberão uma quantidade de dias de Serviços de Planejamento com base no número de licenças do Aplicativo do Office qualificado, nas licenças do Servidor qualificado e no número de pacotes de CAL Principal, CAL do SQL e CAL Empresarial para os quais o Software Assurance tiver sido adquirido (consulte as tabelas a seguir para obter detalhes). A quantidade de dias que um cliente recebe é colocada em um pool de Dias de Serviços de Planejamento a partir do qual o cliente pode criar cupons para as ofertas de serviços acima. </w:t>
      </w:r>
      <w:r w:rsidRPr="00EB4D74">
        <w:rPr>
          <w:rFonts w:cs="Tahoma"/>
          <w:color w:val="000000"/>
          <w:lang w:val="pt-BR"/>
        </w:rPr>
        <w:t>Os clientes podem escolher um ou mais dos serviços acima e podem selecionar nos níveis de serviços disponíveis até o número de dias de Serviços de Planejamento que eles têm disponível.</w:t>
      </w:r>
    </w:p>
    <w:p w:rsidR="008B1196" w:rsidRPr="00EB4D74" w:rsidRDefault="008B1196" w:rsidP="008B1196">
      <w:pPr>
        <w:rPr>
          <w:rFonts w:cs="Tahoma"/>
          <w:lang w:val="pt-BR"/>
        </w:rPr>
      </w:pPr>
    </w:p>
    <w:p w:rsidR="008B1196" w:rsidRDefault="008B1196" w:rsidP="008B1196">
      <w:pPr>
        <w:spacing w:after="60"/>
        <w:rPr>
          <w:rFonts w:cs="Tahoma"/>
          <w:color w:val="000000"/>
          <w:lang w:val="pt-BR"/>
        </w:rPr>
      </w:pPr>
      <w:r w:rsidRPr="00EB4D74">
        <w:rPr>
          <w:rFonts w:cs="Tahoma"/>
          <w:color w:val="000000"/>
          <w:lang w:val="pt-BR"/>
        </w:rPr>
        <w:t>A tabela a seguir lista as licenças de Aplicativos e Servidores qualificados e os pontos associados a cada uma delas:</w:t>
      </w:r>
    </w:p>
    <w:p w:rsidR="008B1196" w:rsidRPr="00EB4D74" w:rsidRDefault="008B1196" w:rsidP="008B1196">
      <w:pPr>
        <w:spacing w:after="60"/>
        <w:rPr>
          <w:rFonts w:cs="Tahoma"/>
          <w:lang w:val="it-IT"/>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8B1196" w:rsidRPr="00EB4D74" w:rsidTr="00EA30FC">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b/>
                <w:lang w:val="pt-BR"/>
              </w:rPr>
              <w:t>Licenças de Aplicativos e Servidores Office*</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b/>
                <w:lang w:val="pt-BR"/>
              </w:rPr>
              <w:t>Pontos</w:t>
            </w:r>
          </w:p>
        </w:tc>
      </w:tr>
      <w:tr w:rsidR="008B1196" w:rsidRPr="00EB4D74" w:rsidTr="00EA30FC">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lang w:val="pt-BR"/>
              </w:rPr>
              <w:t>Produtos do Pool de Aplicativos do Office (incluindo pacotes do Office, Project Standard e Professional, Visio Standard e Professional)</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w:t>
            </w:r>
          </w:p>
        </w:tc>
      </w:tr>
      <w:tr w:rsidR="008B1196" w:rsidRPr="00EB4D74"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lang w:val="pt-BR"/>
              </w:rPr>
              <w:t>Edições do SQL Server Standard, Windows Server Standard, Licença de Gerenciamento do System Center 2012 Standard Server (2 processadores), Visual Studio Professional com MSDN e o Visual Studio Test Professional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25</w:t>
            </w:r>
          </w:p>
        </w:tc>
      </w:tr>
      <w:tr w:rsidR="008B1196" w:rsidRPr="00EB4D74"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lang w:val="pt-BR"/>
              </w:rPr>
              <w:t>Edições do SQL Server Enterprise, SQL Server Business Intelligence, Windows Server Enterprise e Visual Studio Premium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50</w:t>
            </w:r>
          </w:p>
        </w:tc>
      </w:tr>
      <w:tr w:rsidR="008B1196" w:rsidRPr="00EB4D74" w:rsidTr="00EA30FC">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lang w:val="pt-BR"/>
              </w:rPr>
              <w:t>Edições do SQL Server Data Center, Windows Server Data Server, Licença de Gerenciamento do System Center 2012 Datacenter Server (2 processadores) e Visual Studio Ultimate com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75</w:t>
            </w:r>
          </w:p>
        </w:tc>
      </w:tr>
    </w:tbl>
    <w:p w:rsidR="008B1196" w:rsidRPr="00EB4D74" w:rsidRDefault="008B1196" w:rsidP="008B1196">
      <w:pPr>
        <w:spacing w:after="60"/>
        <w:ind w:firstLine="720"/>
        <w:rPr>
          <w:rFonts w:cs="Tahoma"/>
          <w:lang w:val="it-IT"/>
        </w:rPr>
      </w:pPr>
      <w:r w:rsidRPr="00EB4D74">
        <w:rPr>
          <w:rFonts w:cs="Tahoma"/>
          <w:b/>
          <w:i/>
          <w:sz w:val="16"/>
          <w:lang w:val="pt-BR"/>
        </w:rPr>
        <w:t xml:space="preserve">Observação: </w:t>
      </w:r>
      <w:r w:rsidRPr="00EB4D74">
        <w:rPr>
          <w:rFonts w:cs="Tahoma"/>
          <w:i/>
          <w:sz w:val="16"/>
          <w:lang w:val="pt-BR"/>
        </w:rPr>
        <w:t>Para CALs, consulte a tabela Pacotes de CALs nesta seção</w:t>
      </w:r>
    </w:p>
    <w:p w:rsidR="008B1196" w:rsidRPr="00EB4D74" w:rsidRDefault="008B1196" w:rsidP="008B1196">
      <w:pPr>
        <w:rPr>
          <w:rFonts w:cs="Tahoma"/>
          <w:lang w:val="it-IT"/>
        </w:rPr>
      </w:pPr>
    </w:p>
    <w:p w:rsidR="008B1196" w:rsidRPr="00EB4D74" w:rsidRDefault="008B1196" w:rsidP="008B1196">
      <w:pPr>
        <w:spacing w:after="60"/>
        <w:rPr>
          <w:rFonts w:cs="Tahoma"/>
          <w:lang w:val="it-IT"/>
        </w:rPr>
      </w:pPr>
      <w:r w:rsidRPr="00EB4D74">
        <w:rPr>
          <w:rFonts w:cs="Tahoma"/>
          <w:szCs w:val="18"/>
          <w:lang w:val="pt-BR" w:eastAsia="ja-JP"/>
        </w:rPr>
        <w:t>Quando esses produtos qualificados são comprados por meio do Enrollment for Application Platform (EAP) ou Enrollment for Core Infrastructure (ECI), cada ponto concedido, coberto pelo EAP e pelo ECI, é multiplicado por 2 (dois).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spacing w:after="60"/>
        <w:rPr>
          <w:rFonts w:cs="Tahoma"/>
          <w:lang w:val="it-IT"/>
        </w:rPr>
      </w:pPr>
      <w:r w:rsidRPr="00EB4D74">
        <w:rPr>
          <w:rFonts w:cs="Tahoma"/>
          <w:lang w:val="pt-BR"/>
        </w:rPr>
        <w:lastRenderedPageBreak/>
        <w:t>O total de pontos para o qual o cliente é qualificado define as qualificações de Dias de Serviços de Planejamento, conforme mostrado abaixo:</w:t>
      </w:r>
    </w:p>
    <w:p w:rsidR="008B1196" w:rsidRPr="00EB4D74" w:rsidRDefault="008B1196" w:rsidP="008B1196">
      <w:pPr>
        <w:spacing w:after="60"/>
        <w:rPr>
          <w:rFonts w:cs="Tahoma"/>
          <w:lang w:val="it-IT"/>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8B1196" w:rsidRPr="00EB4D74" w:rsidTr="00EA30FC">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b/>
                <w:lang w:val="pt-BR"/>
              </w:rPr>
              <w:t>Pontos de Licenças de Aplicativos e/ou Servidores Office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b/>
                <w:lang w:val="pt-BR"/>
              </w:rPr>
              <w:t>Dias de Serviços de Planejamento</w:t>
            </w:r>
          </w:p>
        </w:tc>
      </w:tr>
      <w:tr w:rsidR="008B1196" w:rsidRPr="00EB4D74" w:rsidTr="00EA30FC">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200 – 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500 – 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3</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2.000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5</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10</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15</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20</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30</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40</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50</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75</w:t>
            </w:r>
          </w:p>
        </w:tc>
      </w:tr>
    </w:tbl>
    <w:p w:rsidR="008B1196" w:rsidRPr="00EB4D74" w:rsidRDefault="008B1196" w:rsidP="008B1196">
      <w:pPr>
        <w:spacing w:after="60"/>
        <w:rPr>
          <w:rFonts w:cs="Tahoma"/>
        </w:rPr>
      </w:pPr>
    </w:p>
    <w:p w:rsidR="008B1196" w:rsidRPr="00EB4D74" w:rsidRDefault="008B1196" w:rsidP="008B1196">
      <w:pPr>
        <w:spacing w:after="60"/>
        <w:rPr>
          <w:rFonts w:cs="Tahoma"/>
          <w:lang w:val="it-IT"/>
        </w:rPr>
      </w:pPr>
      <w:r w:rsidRPr="00EB4D74">
        <w:rPr>
          <w:rFonts w:cs="Tahoma"/>
          <w:lang w:val="pt-BR"/>
        </w:rPr>
        <w:t xml:space="preserve">A cobertura do Pacote de CALs Principais e de SA de Pacote de CALs do SQL conta como </w:t>
      </w:r>
      <w:r w:rsidRPr="00EB4D74">
        <w:rPr>
          <w:rFonts w:cs="Tahoma"/>
          <w:u w:val="single"/>
          <w:lang w:val="pt-BR"/>
        </w:rPr>
        <w:t>1 (um) ponto</w:t>
      </w:r>
      <w:r w:rsidRPr="00EB4D74">
        <w:rPr>
          <w:rFonts w:cs="Tahoma"/>
          <w:lang w:val="pt-BR"/>
        </w:rPr>
        <w:t xml:space="preserve"> em relação aos valores limite na primeira coluna a seguir, e a cobertura de SA de Pacote de CALs Empresariais conta como </w:t>
      </w:r>
      <w:r w:rsidRPr="00EB4D74">
        <w:rPr>
          <w:rFonts w:cs="Tahoma"/>
          <w:u w:val="single"/>
          <w:lang w:val="pt-BR"/>
        </w:rPr>
        <w:t>2 (dois) pontos</w:t>
      </w:r>
      <w:r w:rsidRPr="00EB4D74">
        <w:rPr>
          <w:rFonts w:cs="Tahoma"/>
          <w:lang w:val="pt-BR"/>
        </w:rPr>
        <w:t xml:space="preserve"> em relação aos valores limite na primeira coluna a seguir:</w:t>
      </w:r>
    </w:p>
    <w:p w:rsidR="008B1196" w:rsidRPr="00EB4D74" w:rsidRDefault="008B1196" w:rsidP="008B1196">
      <w:pPr>
        <w:spacing w:after="60"/>
        <w:rPr>
          <w:rFonts w:cs="Tahoma"/>
          <w:lang w:val="it-IT"/>
        </w:rPr>
      </w:pPr>
    </w:p>
    <w:tbl>
      <w:tblPr>
        <w:tblW w:w="6120" w:type="dxa"/>
        <w:tblInd w:w="1458" w:type="dxa"/>
        <w:tblCellMar>
          <w:left w:w="0" w:type="dxa"/>
          <w:right w:w="0" w:type="dxa"/>
        </w:tblCellMar>
        <w:tblLook w:val="04A0" w:firstRow="1" w:lastRow="0" w:firstColumn="1" w:lastColumn="0" w:noHBand="0" w:noVBand="1"/>
      </w:tblPr>
      <w:tblGrid>
        <w:gridCol w:w="3330"/>
        <w:gridCol w:w="2790"/>
      </w:tblGrid>
      <w:tr w:rsidR="008B1196" w:rsidRPr="00EB4D74" w:rsidTr="00EA30FC">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b/>
                <w:lang w:val="pt-BR"/>
              </w:rPr>
              <w:t>Pacotes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vAlign w:val="center"/>
          </w:tcPr>
          <w:p w:rsidR="008B1196" w:rsidRPr="00EB4D74" w:rsidRDefault="008B1196" w:rsidP="00EA30FC">
            <w:pPr>
              <w:spacing w:after="60"/>
              <w:jc w:val="center"/>
              <w:rPr>
                <w:rFonts w:cs="Tahoma"/>
                <w:szCs w:val="18"/>
              </w:rPr>
            </w:pPr>
            <w:r w:rsidRPr="00EB4D74">
              <w:rPr>
                <w:rFonts w:cs="Tahoma"/>
                <w:b/>
                <w:lang w:val="pt-BR"/>
              </w:rPr>
              <w:t>Dias de Serviços de Planejamento</w:t>
            </w:r>
          </w:p>
        </w:tc>
      </w:tr>
      <w:tr w:rsidR="008B1196" w:rsidRPr="00EB4D74" w:rsidTr="00EA30FC">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200 – 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w:t>
            </w:r>
          </w:p>
        </w:tc>
      </w:tr>
      <w:tr w:rsidR="008B1196" w:rsidRPr="00EB4D74" w:rsidTr="00EA30FC">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3</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5</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7</w:t>
            </w:r>
          </w:p>
        </w:tc>
      </w:tr>
      <w:tr w:rsidR="008B1196" w:rsidRPr="00EB4D74" w:rsidTr="00EA30FC">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10</w:t>
            </w:r>
          </w:p>
        </w:tc>
      </w:tr>
      <w:tr w:rsidR="008B1196" w:rsidRPr="00EB4D74" w:rsidTr="00EA30FC">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8B1196" w:rsidRPr="00EB4D74" w:rsidRDefault="008B1196" w:rsidP="00EA30FC">
            <w:pPr>
              <w:spacing w:after="60"/>
              <w:jc w:val="center"/>
              <w:rPr>
                <w:rFonts w:cs="Tahoma"/>
                <w:szCs w:val="18"/>
              </w:rPr>
            </w:pPr>
            <w:r w:rsidRPr="00EB4D74">
              <w:rPr>
                <w:rFonts w:cs="Tahoma"/>
                <w:szCs w:val="18"/>
              </w:rPr>
              <w:t>12</w:t>
            </w:r>
          </w:p>
        </w:tc>
      </w:tr>
    </w:tbl>
    <w:p w:rsidR="008B1196" w:rsidRPr="00EB4D74" w:rsidRDefault="008B1196" w:rsidP="008B1196">
      <w:pPr>
        <w:rPr>
          <w:rFonts w:cs="Tahoma"/>
        </w:rPr>
      </w:pPr>
    </w:p>
    <w:p w:rsidR="008B1196" w:rsidRPr="00EB4D74" w:rsidRDefault="008B1196" w:rsidP="008B1196">
      <w:pPr>
        <w:spacing w:after="60"/>
        <w:rPr>
          <w:rFonts w:cs="Tahoma"/>
        </w:rPr>
      </w:pPr>
      <w:r w:rsidRPr="00EB4D74">
        <w:rPr>
          <w:rFonts w:cs="Tahoma"/>
          <w:lang w:val="pt-BR"/>
        </w:rPr>
        <w:t>Exemplos</w:t>
      </w:r>
    </w:p>
    <w:p w:rsidR="008B1196" w:rsidRPr="00EB4D74" w:rsidRDefault="008B1196" w:rsidP="008B1196">
      <w:pPr>
        <w:spacing w:after="60"/>
        <w:rPr>
          <w:rFonts w:cs="Tahoma"/>
        </w:rPr>
      </w:pPr>
      <w:r w:rsidRPr="00EB4D74">
        <w:rPr>
          <w:rFonts w:cs="Tahoma"/>
          <w:lang w:val="pt-BR"/>
        </w:rPr>
        <w:t>Contrato Open Value com:</w:t>
      </w:r>
    </w:p>
    <w:p w:rsidR="008B1196" w:rsidRPr="00EB4D74" w:rsidRDefault="008B1196" w:rsidP="008B1196">
      <w:pPr>
        <w:spacing w:after="60"/>
        <w:rPr>
          <w:rFonts w:cs="Tahoma"/>
        </w:rPr>
      </w:pPr>
      <w:r w:rsidRPr="00EB4D74">
        <w:rPr>
          <w:rFonts w:cs="Tahoma"/>
          <w:lang w:val="pt-BR"/>
        </w:rPr>
        <w:t>150 L&amp;SA do Office Professional Plus</w:t>
      </w:r>
    </w:p>
    <w:p w:rsidR="008B1196" w:rsidRPr="00EB4D74" w:rsidRDefault="008B1196" w:rsidP="008B1196">
      <w:pPr>
        <w:spacing w:after="60"/>
        <w:rPr>
          <w:rFonts w:cs="Tahoma"/>
        </w:rPr>
      </w:pPr>
      <w:r w:rsidRPr="00EB4D74">
        <w:rPr>
          <w:rFonts w:cs="Tahoma"/>
          <w:szCs w:val="20"/>
          <w:u w:val="single"/>
          <w:lang w:val="pt-BR"/>
        </w:rPr>
        <w:t>+ 50 SA do Visio Standard</w:t>
      </w:r>
      <w:r w:rsidRPr="00EB4D74">
        <w:rPr>
          <w:rFonts w:cs="Tahoma"/>
          <w:szCs w:val="20"/>
          <w:u w:val="single"/>
        </w:rPr>
        <w:tab/>
      </w:r>
      <w:r w:rsidRPr="00EB4D74">
        <w:rPr>
          <w:rFonts w:cs="Tahoma"/>
          <w:szCs w:val="20"/>
          <w:u w:val="single"/>
        </w:rPr>
        <w:tab/>
      </w:r>
      <w:r w:rsidRPr="00EB4D74">
        <w:rPr>
          <w:rFonts w:cs="Tahoma"/>
          <w:szCs w:val="20"/>
          <w:u w:val="single"/>
        </w:rPr>
        <w:tab/>
      </w:r>
    </w:p>
    <w:p w:rsidR="008B1196" w:rsidRPr="00EB4D74" w:rsidRDefault="008B1196" w:rsidP="008B1196">
      <w:pPr>
        <w:spacing w:after="60"/>
        <w:rPr>
          <w:rFonts w:cs="Tahoma"/>
        </w:rPr>
      </w:pPr>
      <w:r w:rsidRPr="00EB4D74">
        <w:rPr>
          <w:rFonts w:cs="Tahoma"/>
          <w:lang w:val="pt-BR"/>
        </w:rPr>
        <w:t>200 Pontos Cobertos de Licenças de Aplicativos e/ou Servidores Office = 1 dia</w:t>
      </w:r>
    </w:p>
    <w:p w:rsidR="008B1196" w:rsidRPr="00EB4D74" w:rsidRDefault="008B1196" w:rsidP="008B1196">
      <w:pPr>
        <w:rPr>
          <w:rFonts w:cs="Tahoma"/>
        </w:rPr>
      </w:pPr>
    </w:p>
    <w:p w:rsidR="008B1196" w:rsidRPr="00EB4D74" w:rsidRDefault="008B1196" w:rsidP="008B1196">
      <w:pPr>
        <w:spacing w:after="60"/>
        <w:rPr>
          <w:rFonts w:cs="Tahoma"/>
        </w:rPr>
      </w:pPr>
      <w:r w:rsidRPr="00EB4D74">
        <w:rPr>
          <w:rFonts w:cs="Tahoma"/>
          <w:lang w:val="pt-BR"/>
        </w:rPr>
        <w:t>Registro Select ou Select Plus do SAM com:</w:t>
      </w:r>
    </w:p>
    <w:p w:rsidR="008B1196" w:rsidRPr="00EB4D74" w:rsidRDefault="008B1196" w:rsidP="008B1196">
      <w:pPr>
        <w:spacing w:after="60"/>
        <w:rPr>
          <w:rFonts w:cs="Tahoma"/>
          <w:lang w:val="it-IT"/>
        </w:rPr>
      </w:pPr>
      <w:r w:rsidRPr="00EB4D74">
        <w:rPr>
          <w:rFonts w:cs="Tahoma"/>
          <w:lang w:val="pt-BR"/>
        </w:rPr>
        <w:t>3.500 SA de Pacote CAL Empresarial</w:t>
      </w:r>
    </w:p>
    <w:p w:rsidR="008B1196" w:rsidRPr="00EB4D74" w:rsidRDefault="008B1196" w:rsidP="008B1196">
      <w:pPr>
        <w:spacing w:after="60"/>
        <w:rPr>
          <w:rFonts w:cs="Tahoma"/>
          <w:lang w:val="it-IT"/>
        </w:rPr>
      </w:pPr>
      <w:r w:rsidRPr="00EB4D74">
        <w:rPr>
          <w:rFonts w:cs="Tahoma"/>
          <w:szCs w:val="20"/>
          <w:u w:val="single"/>
          <w:lang w:val="pt-BR"/>
        </w:rPr>
        <w:t>x 2 pontos cada</w:t>
      </w:r>
      <w:r w:rsidRPr="00EB4D74">
        <w:rPr>
          <w:rFonts w:cs="Tahoma"/>
          <w:szCs w:val="20"/>
          <w:u w:val="single"/>
          <w:lang w:val="it-IT"/>
        </w:rPr>
        <w:tab/>
      </w:r>
      <w:r w:rsidRPr="00EB4D74">
        <w:rPr>
          <w:rFonts w:cs="Tahoma"/>
          <w:szCs w:val="20"/>
          <w:u w:val="single"/>
          <w:lang w:val="it-IT"/>
        </w:rPr>
        <w:tab/>
      </w:r>
      <w:r w:rsidRPr="00EB4D74">
        <w:rPr>
          <w:rFonts w:cs="Tahoma"/>
          <w:szCs w:val="20"/>
          <w:u w:val="single"/>
          <w:lang w:val="it-IT"/>
        </w:rPr>
        <w:tab/>
      </w:r>
      <w:r w:rsidRPr="00EB4D74">
        <w:rPr>
          <w:rFonts w:cs="Tahoma"/>
          <w:szCs w:val="20"/>
          <w:u w:val="single"/>
          <w:lang w:val="it-IT"/>
        </w:rPr>
        <w:tab/>
      </w:r>
    </w:p>
    <w:p w:rsidR="008B1196" w:rsidRPr="00EB4D74" w:rsidRDefault="008B1196" w:rsidP="008B1196">
      <w:pPr>
        <w:spacing w:after="60"/>
        <w:rPr>
          <w:rFonts w:cs="Tahoma"/>
        </w:rPr>
      </w:pPr>
      <w:r w:rsidRPr="00EB4D74">
        <w:rPr>
          <w:rFonts w:cs="Tahoma"/>
          <w:lang w:val="pt-BR"/>
        </w:rPr>
        <w:t>7.000 pontos de CAL = 3 dias</w:t>
      </w:r>
    </w:p>
    <w:p w:rsidR="008B1196" w:rsidRPr="00EB4D74" w:rsidRDefault="008B1196" w:rsidP="008B1196">
      <w:pPr>
        <w:rPr>
          <w:rFonts w:cs="Tahoma"/>
        </w:rPr>
      </w:pPr>
    </w:p>
    <w:p w:rsidR="008B1196" w:rsidRPr="00EB4D74" w:rsidRDefault="008B1196" w:rsidP="008B1196">
      <w:pPr>
        <w:spacing w:after="60"/>
        <w:rPr>
          <w:rFonts w:cs="Tahoma"/>
        </w:rPr>
      </w:pPr>
      <w:r w:rsidRPr="00EB4D74">
        <w:rPr>
          <w:rFonts w:cs="Tahoma"/>
          <w:lang w:val="pt-BR"/>
        </w:rPr>
        <w:t>Registro EA com:</w:t>
      </w:r>
    </w:p>
    <w:p w:rsidR="008B1196" w:rsidRPr="00EB4D74" w:rsidRDefault="008B1196" w:rsidP="008B1196">
      <w:pPr>
        <w:spacing w:after="60"/>
        <w:rPr>
          <w:rFonts w:cs="Tahoma"/>
        </w:rPr>
      </w:pPr>
      <w:r w:rsidRPr="00EB4D74">
        <w:rPr>
          <w:rFonts w:cs="Tahoma"/>
          <w:lang w:val="pt-BR"/>
        </w:rPr>
        <w:t>3.500 Desktops Empresariais</w:t>
      </w:r>
    </w:p>
    <w:p w:rsidR="008B1196" w:rsidRPr="00EB4D74" w:rsidRDefault="008B1196" w:rsidP="008B1196">
      <w:pPr>
        <w:numPr>
          <w:ilvl w:val="0"/>
          <w:numId w:val="42"/>
        </w:numPr>
        <w:tabs>
          <w:tab w:val="left" w:pos="720"/>
        </w:tabs>
        <w:spacing w:after="60" w:line="276" w:lineRule="auto"/>
        <w:rPr>
          <w:rFonts w:cs="Tahoma"/>
        </w:rPr>
      </w:pPr>
      <w:r w:rsidRPr="00EB4D74">
        <w:rPr>
          <w:rFonts w:cs="Tahoma"/>
          <w:lang w:val="pt-BR"/>
        </w:rPr>
        <w:t>3.500 Office Professional Plus</w:t>
      </w:r>
    </w:p>
    <w:p w:rsidR="008B1196" w:rsidRPr="00EB4D74" w:rsidRDefault="008B1196" w:rsidP="008B1196">
      <w:pPr>
        <w:numPr>
          <w:ilvl w:val="0"/>
          <w:numId w:val="42"/>
        </w:numPr>
        <w:spacing w:after="60" w:line="276" w:lineRule="auto"/>
        <w:rPr>
          <w:rFonts w:cs="Tahoma"/>
        </w:rPr>
      </w:pPr>
      <w:r w:rsidRPr="00EB4D74">
        <w:rPr>
          <w:rFonts w:cs="Tahoma"/>
          <w:color w:val="000000"/>
          <w:lang w:val="pt-BR"/>
        </w:rPr>
        <w:t>3.500 Pacotes CAL Empresarial</w:t>
      </w:r>
    </w:p>
    <w:p w:rsidR="008B1196" w:rsidRPr="00EB4D74" w:rsidRDefault="008B1196" w:rsidP="008B1196">
      <w:pPr>
        <w:spacing w:after="60" w:line="276" w:lineRule="auto"/>
        <w:rPr>
          <w:rFonts w:cs="Tahoma"/>
        </w:rPr>
      </w:pPr>
    </w:p>
    <w:p w:rsidR="008B1196" w:rsidRPr="00EB4D74" w:rsidRDefault="008B1196" w:rsidP="008B1196">
      <w:pPr>
        <w:spacing w:after="60"/>
        <w:rPr>
          <w:rFonts w:cs="Tahoma"/>
        </w:rPr>
      </w:pPr>
      <w:r w:rsidRPr="00EB4D74">
        <w:rPr>
          <w:rFonts w:cs="Tahoma"/>
          <w:lang w:val="pt-BR"/>
        </w:rPr>
        <w:lastRenderedPageBreak/>
        <w:t>+50 Windows Server Enterprise Edition (x 50 pontos cada = 2.500 pontos)</w:t>
      </w:r>
    </w:p>
    <w:p w:rsidR="008B1196" w:rsidRPr="00EB4D74" w:rsidRDefault="008B1196" w:rsidP="008B1196">
      <w:pPr>
        <w:spacing w:after="60"/>
        <w:rPr>
          <w:rFonts w:cs="Tahoma"/>
        </w:rPr>
      </w:pPr>
      <w:r w:rsidRPr="00EB4D74">
        <w:rPr>
          <w:rFonts w:cs="Tahoma"/>
          <w:szCs w:val="20"/>
          <w:u w:val="single"/>
          <w:lang w:val="pt-BR"/>
        </w:rPr>
        <w:t>+ 600 SA do Visio Standard</w:t>
      </w:r>
      <w:r w:rsidRPr="00EB4D74">
        <w:rPr>
          <w:rFonts w:cs="Tahoma"/>
          <w:szCs w:val="20"/>
          <w:u w:val="single"/>
        </w:rPr>
        <w:tab/>
      </w:r>
      <w:r w:rsidRPr="00EB4D74">
        <w:rPr>
          <w:rFonts w:cs="Tahoma"/>
          <w:szCs w:val="20"/>
          <w:u w:val="single"/>
        </w:rPr>
        <w:tab/>
      </w:r>
      <w:r w:rsidRPr="00EB4D74">
        <w:rPr>
          <w:rFonts w:cs="Tahoma"/>
          <w:szCs w:val="20"/>
          <w:u w:val="single"/>
        </w:rPr>
        <w:tab/>
      </w:r>
    </w:p>
    <w:p w:rsidR="008B1196" w:rsidRPr="00EB4D74" w:rsidRDefault="008B1196" w:rsidP="008B1196">
      <w:pPr>
        <w:spacing w:after="60"/>
        <w:rPr>
          <w:rFonts w:cs="Tahoma"/>
        </w:rPr>
      </w:pPr>
      <w:r w:rsidRPr="00EB4D74">
        <w:rPr>
          <w:rFonts w:cs="Tahoma"/>
          <w:lang w:val="pt-BR"/>
        </w:rPr>
        <w:t>6.600 Pontos Cobertos de Licenças de Aplicativos e/ou Servidores Office = 10 dias</w:t>
      </w:r>
    </w:p>
    <w:p w:rsidR="008B1196" w:rsidRPr="00EB4D74" w:rsidRDefault="008B1196" w:rsidP="008B1196">
      <w:pPr>
        <w:spacing w:after="60"/>
        <w:rPr>
          <w:rFonts w:cs="Tahoma"/>
        </w:rPr>
      </w:pPr>
      <w:r w:rsidRPr="00EB4D74">
        <w:rPr>
          <w:rFonts w:cs="Tahoma"/>
          <w:lang w:val="pt-BR"/>
        </w:rPr>
        <w:t>7.000 pontos de Pacote CAL com Cobertura = 3 dias</w:t>
      </w:r>
    </w:p>
    <w:p w:rsidR="008B1196" w:rsidRPr="00EB4D74" w:rsidRDefault="008B1196" w:rsidP="008B1196">
      <w:pPr>
        <w:numPr>
          <w:ilvl w:val="0"/>
          <w:numId w:val="43"/>
        </w:numPr>
        <w:spacing w:after="60"/>
        <w:ind w:left="720"/>
        <w:rPr>
          <w:rFonts w:cs="Tahoma"/>
        </w:rPr>
      </w:pPr>
      <w:r w:rsidRPr="00EB4D74">
        <w:rPr>
          <w:rFonts w:cs="Tahoma"/>
          <w:lang w:val="pt-BR"/>
        </w:rPr>
        <w:t>Total de 13 Dias de Serviços de Planejamento</w:t>
      </w:r>
    </w:p>
    <w:p w:rsidR="008B1196" w:rsidRPr="00EB4D74" w:rsidRDefault="008B1196" w:rsidP="008B1196">
      <w:pPr>
        <w:spacing w:after="60"/>
        <w:rPr>
          <w:rFonts w:cs="Tahoma"/>
        </w:rPr>
      </w:pPr>
      <w:r w:rsidRPr="00EB4D74">
        <w:rPr>
          <w:rFonts w:cs="Tahoma"/>
          <w:lang w:val="pt-BR"/>
        </w:rPr>
        <w:t>Registro ECI com:</w:t>
      </w:r>
    </w:p>
    <w:p w:rsidR="008B1196" w:rsidRPr="00EB4D74" w:rsidRDefault="008B1196" w:rsidP="008B1196">
      <w:pPr>
        <w:spacing w:after="60"/>
        <w:rPr>
          <w:rFonts w:cs="Tahoma"/>
        </w:rPr>
      </w:pPr>
      <w:r w:rsidRPr="00EB4D74">
        <w:rPr>
          <w:rFonts w:cs="Tahoma"/>
          <w:lang w:val="pt-BR"/>
        </w:rPr>
        <w:t>100 ECI Datacenter</w:t>
      </w:r>
    </w:p>
    <w:p w:rsidR="008B1196" w:rsidRPr="00EB4D74" w:rsidRDefault="008B1196" w:rsidP="008B1196">
      <w:pPr>
        <w:numPr>
          <w:ilvl w:val="0"/>
          <w:numId w:val="43"/>
        </w:numPr>
        <w:spacing w:after="60"/>
        <w:ind w:left="720"/>
        <w:rPr>
          <w:rFonts w:cs="Tahoma"/>
        </w:rPr>
      </w:pPr>
      <w:r w:rsidRPr="00EB4D74">
        <w:rPr>
          <w:rFonts w:cs="Tahoma"/>
          <w:lang w:val="pt-BR"/>
        </w:rPr>
        <w:t>100 Windows Server Datacenter Edition (x 75 pontos cada x 2 pontos = 15.000 pontos)</w:t>
      </w:r>
    </w:p>
    <w:p w:rsidR="008B1196" w:rsidRPr="00EB4D74" w:rsidRDefault="008B1196" w:rsidP="008B1196">
      <w:pPr>
        <w:numPr>
          <w:ilvl w:val="0"/>
          <w:numId w:val="43"/>
        </w:numPr>
        <w:spacing w:after="60"/>
        <w:ind w:left="720"/>
        <w:rPr>
          <w:rFonts w:cs="Tahoma"/>
        </w:rPr>
      </w:pPr>
      <w:r w:rsidRPr="00EB4D74">
        <w:rPr>
          <w:rFonts w:cs="Tahoma"/>
          <w:u w:val="single"/>
          <w:lang w:val="pt-BR"/>
        </w:rPr>
        <w:t>100 System Center 2012 Datacenter Edition (x 75 pontos cada x 2 pontos = 15.000 pontos)</w:t>
      </w:r>
    </w:p>
    <w:p w:rsidR="008B1196" w:rsidRPr="00EB4D74" w:rsidRDefault="008B1196" w:rsidP="008B1196">
      <w:pPr>
        <w:spacing w:after="60"/>
        <w:ind w:firstLine="360"/>
        <w:rPr>
          <w:rFonts w:cs="Tahoma"/>
        </w:rPr>
      </w:pPr>
      <w:r w:rsidRPr="00EB4D74">
        <w:rPr>
          <w:rFonts w:cs="Tahoma"/>
          <w:lang w:val="pt-BR"/>
        </w:rPr>
        <w:t>30.000 Pontos Cobertos de Licenças de Aplicativos e/ou Servidores Office = 15 dias</w:t>
      </w:r>
    </w:p>
    <w:p w:rsidR="008B1196" w:rsidRPr="00EB4D74" w:rsidRDefault="008B1196" w:rsidP="008B1196">
      <w:pPr>
        <w:ind w:firstLine="360"/>
        <w:rPr>
          <w:rFonts w:cs="Tahoma"/>
        </w:rPr>
      </w:pPr>
    </w:p>
    <w:p w:rsidR="008B1196" w:rsidRPr="00EB4D74" w:rsidRDefault="008B1196" w:rsidP="008B1196">
      <w:pPr>
        <w:pStyle w:val="AppendixBodyText"/>
        <w:spacing w:after="0"/>
        <w:rPr>
          <w:rFonts w:ascii="Tahoma" w:hAnsi="Tahoma" w:cs="Tahoma"/>
          <w:sz w:val="18"/>
          <w:szCs w:val="18"/>
          <w:lang w:val="pt-BR"/>
        </w:rPr>
      </w:pPr>
      <w:r w:rsidRPr="00EB4D74">
        <w:rPr>
          <w:rFonts w:ascii="Tahoma" w:hAnsi="Tahoma" w:cs="Tahoma"/>
          <w:sz w:val="18"/>
          <w:lang w:val="pt-BR"/>
        </w:rPr>
        <w:t>Os clientes também poderão aumentar o número de dias de Serviços de Planejamento disponíveis se atenderem aos seguintes critérios: (a) devem estar atualmente qualificados para o benefício Cupons de Treinamento, (b) devem ter ativado o benefício Cupom de Treinamento e (c) devem ter pelo menos 3 dias de treinamento não solicitados do benefício Cupom de Treinamento disponíveis para conversão. Os clientes qualificados podem converter os dias não utilizados do Cupom de Treinamento em dias do Serviço de Planejamento em uma proporção 3: 1 (três dias de Cupom de Treinamento = um dia de Serviços de Planejamento). OBSERVAÇÃO: os clientes que desejarem usar seus dias do Cupom de Treinamento em Serviços de Planejamento não devem criar Cupons de Treinamento com esses dias. Geralmente, os dias dos Serviços de Planejamento não podem ser convertidos em dias do Cupom de Treinamento. Entretanto, se um cliente desejar reverter uma conversão de dias do Cupom de Treinamento, os dias dos Serviços de Planejamento deverão ser convertidos de volta em dias do Cupom de Treinamento. Após a conversão de dias do Cupom de Treinamento em dias de Serviços de Planejamento, os dias de Serviços de Planejamento serão exibidos no pool de dias de Serviços de Planejamento do cliente. Esses dias poderão ser usados para criar cupom(ns) para serviços disponíveis (como o DDPS ou o SDPS). *A qualificação dos clientes para converter dias de volta em dias de Cupom de Treinamento é limitada com base no número de dias disponíveis no nível Dias de Serviços de Planejamento. Se um cliente desejar converter de volta 10 dias, mas houver apenas 8 Dias de Serviços de Planejamento em seu pool, ele poderá converter apenas 8 dias.</w:t>
      </w: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spacing w:after="0"/>
        <w:rPr>
          <w:rFonts w:ascii="Tahoma" w:hAnsi="Tahoma" w:cs="Tahoma"/>
          <w:sz w:val="18"/>
          <w:szCs w:val="18"/>
          <w:lang w:val="pt-BR"/>
        </w:rPr>
      </w:pPr>
      <w:r w:rsidRPr="00EB4D74">
        <w:rPr>
          <w:rFonts w:ascii="Tahoma" w:hAnsi="Tahoma" w:cs="Tahoma"/>
          <w:sz w:val="18"/>
          <w:lang w:val="pt-BR"/>
        </w:rPr>
        <w:t>Os clientes em contratos de licenciamento por volume qualificados que não atenderem aos valores limite mínimos para receber qualificações do Serviço de Planejamento, mas que atenderem ou excederem os critérios de conversão de dias do Cupom de Treinamento, poderão converter os dias do Cupom de Treinamento conforme especificado acima.</w:t>
      </w: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rPr>
          <w:rFonts w:ascii="Tahoma" w:hAnsi="Tahoma" w:cs="Tahoma"/>
          <w:sz w:val="18"/>
          <w:szCs w:val="18"/>
          <w:lang w:val="it-IT"/>
        </w:rPr>
      </w:pPr>
      <w:r w:rsidRPr="00EB4D74">
        <w:rPr>
          <w:rFonts w:ascii="Tahoma" w:hAnsi="Tahoma" w:cs="Tahoma"/>
          <w:sz w:val="18"/>
          <w:lang w:val="pt-BR"/>
        </w:rPr>
        <w:t>Os Serviços de Planejamento podem ser fornecidos ao cliente por Parceiros da Microsoft ou Serviços de Consultoria Microsoft qualificados. Um cliente pode visualizar a lista de Provedores Qualificados aqui: http://directory.partners.extranet.microsoft.com/psbproviders</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rPr>
          <w:rFonts w:ascii="Tahoma" w:hAnsi="Tahoma" w:cs="Tahoma"/>
          <w:sz w:val="18"/>
          <w:szCs w:val="18"/>
          <w:lang w:val="it-IT"/>
        </w:rPr>
      </w:pPr>
      <w:r w:rsidRPr="00EB4D74">
        <w:rPr>
          <w:rFonts w:ascii="Tahoma" w:hAnsi="Tahoma" w:cs="Tahoma"/>
          <w:sz w:val="18"/>
          <w:lang w:val="pt-BR"/>
        </w:rPr>
        <w:t>Os compromissos de Serviços de Planejamento fornecem uma consultoria que abrange um escopo de trabalho predefinido que resulta em um plano de implantação de alto nível; a implantação real do software não pode ser incluída.</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rPr>
      </w:pPr>
      <w:r w:rsidRPr="00EB4D74">
        <w:rPr>
          <w:rFonts w:ascii="Tahoma" w:hAnsi="Tahoma" w:cs="Tahoma"/>
          <w:sz w:val="18"/>
          <w:lang w:val="pt-BR"/>
        </w:rPr>
        <w:t>Os Serviços de Planejamento não estão disponíveis em todos os idiomas.</w:t>
      </w: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lang w:val="it-IT"/>
        </w:rPr>
      </w:pPr>
      <w:r w:rsidRPr="00EB4D74">
        <w:rPr>
          <w:rFonts w:ascii="Tahoma" w:hAnsi="Tahoma" w:cs="Tahoma"/>
          <w:color w:val="000000"/>
          <w:sz w:val="18"/>
          <w:lang w:val="pt-BR"/>
        </w:rPr>
        <w:t>Os cupons dos Serviços de Planejamento podem ser resgatados apenas pelo cliente que estiver qualificado para o benefício.</w:t>
      </w: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rPr>
      </w:pPr>
      <w:r w:rsidRPr="00EB4D74">
        <w:rPr>
          <w:rFonts w:ascii="Tahoma" w:hAnsi="Tahoma" w:cs="Tahoma"/>
          <w:color w:val="000000"/>
          <w:sz w:val="18"/>
          <w:lang w:val="pt-BR"/>
        </w:rPr>
        <w:t>Os cupons dos Serviços de Planejamento não podem ser trocados por dinheiro, valores nem outras considerações de valor.</w:t>
      </w: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lang w:val="it-IT"/>
        </w:rPr>
      </w:pPr>
      <w:r w:rsidRPr="00EB4D74">
        <w:rPr>
          <w:rFonts w:ascii="Tahoma" w:hAnsi="Tahoma" w:cs="Tahoma"/>
          <w:color w:val="000000"/>
          <w:sz w:val="18"/>
          <w:lang w:val="pt-BR"/>
        </w:rPr>
        <w:t>Os clientes que estiverem interessados em adquirir serviços adicionais além desses cobertos pelo escopo do trabalho do compromisso de cupom atribuído (conforme definido pelo tipo de cupom e nível de serviço) devem pagar a seus provedores fora desse programa.</w:t>
      </w: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lang w:val="it-IT"/>
        </w:rPr>
      </w:pPr>
      <w:r w:rsidRPr="00EB4D74">
        <w:rPr>
          <w:rFonts w:ascii="Tahoma" w:hAnsi="Tahoma" w:cs="Tahoma"/>
          <w:color w:val="000000"/>
          <w:sz w:val="18"/>
          <w:lang w:val="pt-BR"/>
        </w:rPr>
        <w:t>A redução da cobertura do SA qualificada como um resultado de devoluções e outros ajustes de cobrança, quando permitidos, pode diminuir os dias de qualificação dos Serviços de Planejamento do cliente.</w:t>
      </w:r>
    </w:p>
    <w:p w:rsidR="008B1196" w:rsidRPr="00EB4D74" w:rsidRDefault="008B1196" w:rsidP="008B1196">
      <w:pPr>
        <w:pStyle w:val="AppendixBodyText"/>
        <w:numPr>
          <w:ilvl w:val="0"/>
          <w:numId w:val="24"/>
        </w:numPr>
        <w:tabs>
          <w:tab w:val="num" w:pos="1440"/>
        </w:tabs>
        <w:ind w:left="1440"/>
        <w:rPr>
          <w:rFonts w:ascii="Tahoma" w:hAnsi="Tahoma" w:cs="Tahoma"/>
          <w:sz w:val="18"/>
          <w:szCs w:val="18"/>
        </w:rPr>
      </w:pPr>
      <w:r w:rsidRPr="00EB4D74">
        <w:rPr>
          <w:rFonts w:ascii="Tahoma" w:hAnsi="Tahoma" w:cs="Tahoma"/>
          <w:color w:val="000000"/>
          <w:sz w:val="18"/>
          <w:lang w:val="pt-BR"/>
        </w:rPr>
        <w:lastRenderedPageBreak/>
        <w:t>Os cupons são válidos apenas com Provedores qualificados para o tipo de serviço específico para o qual o cupom está sendo resgatado. O cupom pode ser usado com qualquer Provedor qualificado de todo o mundo. A participação pode variar.</w:t>
      </w: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rPr>
      </w:pPr>
      <w:r w:rsidRPr="00EB4D74">
        <w:rPr>
          <w:rFonts w:ascii="Tahoma" w:hAnsi="Tahoma" w:cs="Tahoma"/>
          <w:color w:val="000000"/>
          <w:sz w:val="18"/>
          <w:lang w:val="pt-BR"/>
        </w:rPr>
        <w:t>Os cupons devem ser atribuídos durante o período de cobertura do Software Assurance.</w:t>
      </w:r>
    </w:p>
    <w:p w:rsidR="008B1196" w:rsidRPr="00EB4D74" w:rsidRDefault="008B1196" w:rsidP="008B1196">
      <w:pPr>
        <w:pStyle w:val="AppendixBodyText"/>
        <w:numPr>
          <w:ilvl w:val="0"/>
          <w:numId w:val="11"/>
        </w:numPr>
        <w:tabs>
          <w:tab w:val="clear" w:pos="720"/>
          <w:tab w:val="num" w:pos="1440"/>
        </w:tabs>
        <w:ind w:left="1440"/>
        <w:rPr>
          <w:rFonts w:ascii="Tahoma" w:hAnsi="Tahoma" w:cs="Tahoma"/>
          <w:sz w:val="18"/>
          <w:szCs w:val="18"/>
          <w:lang w:val="pt-BR"/>
        </w:rPr>
      </w:pPr>
      <w:r w:rsidRPr="00EB4D74">
        <w:rPr>
          <w:rFonts w:ascii="Tahoma" w:hAnsi="Tahoma" w:cs="Tahoma"/>
          <w:color w:val="000000"/>
          <w:sz w:val="18"/>
          <w:szCs w:val="18"/>
          <w:lang w:val="pt-BR"/>
        </w:rPr>
        <w:t xml:space="preserve">Os cupons expiram após 180 dias da data de atribuição do cupom, independentemente da data de término da cobertura do Software Assurance. Todos os serviços devem ser entregues (cupom resgatado) antes da data de término do cupom. </w:t>
      </w:r>
      <w:r w:rsidRPr="00EB4D74">
        <w:rPr>
          <w:rFonts w:ascii="Tahoma" w:hAnsi="Tahoma" w:cs="Tahoma"/>
          <w:color w:val="000000"/>
          <w:sz w:val="18"/>
          <w:lang w:val="pt-BR"/>
        </w:rPr>
        <w:t>Os cupons que se encerrarem antes da data de término da cobertura do Software Assurance serão retornados para o pool de dias disponível dos Serviços de Planejamento.</w:t>
      </w:r>
    </w:p>
    <w:p w:rsidR="008B1196" w:rsidRPr="00EB4D74" w:rsidRDefault="008B1196" w:rsidP="008B1196">
      <w:pPr>
        <w:pStyle w:val="AppendixBodyText"/>
        <w:numPr>
          <w:ilvl w:val="0"/>
          <w:numId w:val="23"/>
        </w:numPr>
        <w:tabs>
          <w:tab w:val="num" w:pos="1440"/>
        </w:tabs>
        <w:rPr>
          <w:rFonts w:ascii="Tahoma" w:hAnsi="Tahoma" w:cs="Tahoma"/>
          <w:sz w:val="18"/>
          <w:szCs w:val="18"/>
        </w:rPr>
      </w:pPr>
      <w:r w:rsidRPr="00EB4D74">
        <w:rPr>
          <w:rFonts w:ascii="Tahoma" w:hAnsi="Tahoma" w:cs="Tahoma"/>
          <w:color w:val="000000"/>
          <w:sz w:val="18"/>
          <w:lang w:val="pt-BR"/>
        </w:rPr>
        <w:t>A Microsoft não é responsável por cupons perdidos, roubados ou utilizados indevidamente.</w:t>
      </w:r>
    </w:p>
    <w:p w:rsidR="008B1196" w:rsidRPr="00EB4D74" w:rsidRDefault="008B1196" w:rsidP="008B1196">
      <w:pPr>
        <w:pStyle w:val="AppendixBodyText"/>
        <w:numPr>
          <w:ilvl w:val="0"/>
          <w:numId w:val="23"/>
        </w:numPr>
        <w:tabs>
          <w:tab w:val="num" w:pos="1440"/>
        </w:tabs>
        <w:rPr>
          <w:rFonts w:ascii="Tahoma" w:hAnsi="Tahoma" w:cs="Tahoma"/>
          <w:sz w:val="18"/>
          <w:szCs w:val="18"/>
          <w:lang w:val="it-IT"/>
        </w:rPr>
      </w:pPr>
      <w:r w:rsidRPr="00EB4D74">
        <w:rPr>
          <w:rFonts w:ascii="Tahoma" w:hAnsi="Tahoma" w:cs="Tahoma"/>
          <w:color w:val="000000"/>
          <w:sz w:val="18"/>
          <w:lang w:val="pt-BR"/>
        </w:rPr>
        <w:t>Os serviços fornecidos sob cupons são oferecidos de acordo com um contrato entre o Cliente e o Provedor Qualificado. A Microsoft não é responsável por nenhum trabalho ou falha da parte do Provedor Qualificado relacionado aos serviços.</w:t>
      </w:r>
    </w:p>
    <w:p w:rsidR="008B1196" w:rsidRPr="00EB4D74" w:rsidRDefault="008B1196" w:rsidP="008B1196">
      <w:pPr>
        <w:pStyle w:val="AppendixBodyText"/>
        <w:numPr>
          <w:ilvl w:val="0"/>
          <w:numId w:val="44"/>
        </w:numPr>
        <w:rPr>
          <w:rFonts w:ascii="Tahoma" w:hAnsi="Tahoma" w:cs="Tahoma"/>
          <w:sz w:val="18"/>
          <w:szCs w:val="18"/>
          <w:lang w:val="it-IT"/>
        </w:rPr>
      </w:pPr>
      <w:r w:rsidRPr="00EB4D74">
        <w:rPr>
          <w:rFonts w:ascii="Tahoma" w:hAnsi="Tahoma" w:cs="Tahoma"/>
          <w:sz w:val="18"/>
          <w:lang w:val="pt-BR"/>
        </w:rPr>
        <w:t>Ao aceitar um compromisso de Serviços de Planejamento, os clientes reconhecem que receberão uma pesquisa na conclusão do compromisso para fins de controle de qualidade.</w:t>
      </w:r>
    </w:p>
    <w:p w:rsidR="008B1196" w:rsidRPr="00EB4D74" w:rsidRDefault="008B1196" w:rsidP="008B1196">
      <w:pPr>
        <w:pStyle w:val="AppendixBodyText"/>
        <w:numPr>
          <w:ilvl w:val="0"/>
          <w:numId w:val="44"/>
        </w:numPr>
        <w:rPr>
          <w:rFonts w:ascii="Tahoma" w:hAnsi="Tahoma" w:cs="Tahoma"/>
          <w:sz w:val="18"/>
          <w:szCs w:val="18"/>
        </w:rPr>
      </w:pPr>
      <w:r w:rsidRPr="00EB4D74">
        <w:rPr>
          <w:rFonts w:ascii="Tahoma" w:hAnsi="Tahoma" w:cs="Tahoma"/>
          <w:color w:val="000000"/>
          <w:sz w:val="18"/>
          <w:lang w:val="pt-BR"/>
        </w:rPr>
        <w:t>As tabelas acima mostram os dias de serviço disponíveis com base em um registro ou contrato integral de 3 anos. Os clientes que adquirirem a cobertura do Software Assurance por um ano receberão um terço do número declarado de dias de serviço. Os clientes que adquirirem a cobertura do Software Assurance por dois anos receberão dois terços do número declarado de dias de serviço.</w:t>
      </w: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AppendixBodyText"/>
        <w:rPr>
          <w:rFonts w:ascii="Tahoma" w:hAnsi="Tahoma" w:cs="Tahoma"/>
          <w:sz w:val="18"/>
          <w:szCs w:val="18"/>
          <w:lang w:val="it-IT"/>
        </w:rPr>
      </w:pPr>
      <w:r w:rsidRPr="00EB4D74">
        <w:rPr>
          <w:rFonts w:ascii="Tahoma" w:hAnsi="Tahoma" w:cs="Tahoma"/>
          <w:color w:val="000000"/>
          <w:sz w:val="18"/>
          <w:lang w:val="pt-BR"/>
        </w:rPr>
        <w:t>Os resultados finais preenchidos enviados pelo Provedor Qualificado à Microsoft ao final do compromisso poderão ser usados para fins de controle de qualidade e compartilhados com a equipe de contas Microsoft do cliente para essa finalidade.</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Heading3"/>
        <w:rPr>
          <w:rFonts w:ascii="Tahoma" w:hAnsi="Tahoma" w:cs="Tahoma"/>
          <w:lang w:val="it-IT"/>
        </w:rPr>
      </w:pPr>
      <w:bookmarkStart w:id="843" w:name="_Toc328145999"/>
      <w:bookmarkStart w:id="844" w:name="_Toc336338230"/>
      <w:bookmarkStart w:id="845" w:name="_Toc342914867"/>
      <w:bookmarkEnd w:id="843"/>
      <w:bookmarkEnd w:id="844"/>
      <w:r w:rsidRPr="00EB4D74">
        <w:rPr>
          <w:rFonts w:ascii="Tahoma" w:hAnsi="Tahoma" w:cs="Tahoma"/>
          <w:lang w:val="pt-BR"/>
        </w:rPr>
        <w:t>Windows 8 Enterprise</w:t>
      </w:r>
      <w:bookmarkEnd w:id="845"/>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jc w:val="both"/>
        <w:rPr>
          <w:rFonts w:cs="Tahoma"/>
          <w:lang w:val="pt-BR"/>
        </w:rPr>
      </w:pPr>
      <w:r w:rsidRPr="00EB4D74">
        <w:rPr>
          <w:rFonts w:cs="Tahoma"/>
          <w:b/>
          <w:lang w:val="pt-BR"/>
        </w:rPr>
        <w:t xml:space="preserve">Clientes qualificados do Software Assurance: </w:t>
      </w:r>
      <w:r w:rsidRPr="00EB4D74">
        <w:rPr>
          <w:rFonts w:cs="Tahoma"/>
          <w:szCs w:val="18"/>
          <w:lang w:val="pt-BR"/>
        </w:rPr>
        <w:t xml:space="preserve">Os clientes com cobertura do Software Assurance ativa para o sistema operacional de desktop Windows estão qualificados para este benefício. </w:t>
      </w:r>
      <w:r w:rsidRPr="00EB4D74">
        <w:rPr>
          <w:rFonts w:cs="Tahoma"/>
          <w:lang w:val="pt-BR"/>
        </w:rPr>
        <w:t>A Cobertura do Software Assurance para o sistema operacional de desktop Windows em um dispositivo licenciado fornece aos clientes a opção de usar o Windows 8 Enterprise em vez do Windows 8 Pro nesse dispositivo.</w:t>
      </w:r>
    </w:p>
    <w:p w:rsidR="008B1196" w:rsidRPr="00EB4D74" w:rsidRDefault="008B1196" w:rsidP="008B1196">
      <w:pPr>
        <w:jc w:val="both"/>
        <w:rPr>
          <w:rFonts w:cs="Tahoma"/>
          <w:lang w:val="pt-BR"/>
        </w:rPr>
      </w:pPr>
    </w:p>
    <w:p w:rsidR="008B1196" w:rsidRPr="00EB4D74" w:rsidRDefault="008B1196" w:rsidP="008B1196">
      <w:pPr>
        <w:jc w:val="both"/>
        <w:rPr>
          <w:rFonts w:cs="Tahoma"/>
          <w:lang w:val="it-IT"/>
        </w:rPr>
      </w:pPr>
      <w:r w:rsidRPr="00EB4D74">
        <w:rPr>
          <w:rFonts w:cs="Tahoma"/>
          <w:lang w:val="pt-BR"/>
        </w:rPr>
        <w:t>Os clientes qualificados do Software Assurance têm direito de usar o Windows 8 Enterprise conforme descrito nos Direitos de Uso de Produto. Os clientes não podem mover o Windows 8 Enterprise do dispositivo licenciado para outro dispositivo, exceto em conjunção com a reatribuição permitida de sua cobertura do Software Assurance.</w:t>
      </w:r>
    </w:p>
    <w:p w:rsidR="008B1196" w:rsidRPr="00EB4D74" w:rsidRDefault="008B1196" w:rsidP="008B1196">
      <w:pPr>
        <w:jc w:val="both"/>
        <w:rPr>
          <w:rFonts w:cs="Tahoma"/>
          <w:lang w:val="it-IT"/>
        </w:rPr>
      </w:pPr>
    </w:p>
    <w:p w:rsidR="008B1196" w:rsidRPr="00EB4D74" w:rsidDel="008900EB" w:rsidRDefault="008B1196" w:rsidP="008B1196">
      <w:pPr>
        <w:jc w:val="both"/>
        <w:rPr>
          <w:rFonts w:cs="Tahoma"/>
          <w:lang w:val="it-IT"/>
        </w:rPr>
      </w:pPr>
      <w:r w:rsidRPr="00EB4D74">
        <w:rPr>
          <w:rFonts w:cs="Tahoma"/>
          <w:b/>
          <w:lang w:val="pt-BR"/>
        </w:rPr>
        <w:t xml:space="preserve">Clientes qualificados para os Benefícios de Serviços Online: </w:t>
      </w:r>
      <w:r w:rsidRPr="00EB4D74">
        <w:rPr>
          <w:rFonts w:cs="Tahoma"/>
          <w:lang w:val="pt-BR"/>
        </w:rPr>
        <w:t>Os clientes do Windows Intune (Por Dispositivo) têm direito de usar o Windows 8 Enterprise conforme descrito nos Direitos de Uso de Produto. Consulte na seção Notas do Produto desta Lista de Produtos os termos aplicáveis à aquisição e reatribuição de licenças do Windows Intune (Por Dispositivo).</w:t>
      </w:r>
    </w:p>
    <w:p w:rsidR="008B1196" w:rsidRPr="00EB4D74" w:rsidRDefault="008B1196" w:rsidP="008B1196">
      <w:pPr>
        <w:spacing w:after="60"/>
        <w:rPr>
          <w:rFonts w:cs="Tahoma"/>
        </w:rPr>
      </w:pPr>
      <w:r w:rsidRPr="00EB4D74">
        <w:rPr>
          <w:rFonts w:cs="Tahoma"/>
          <w:lang w:val="pt-BR"/>
        </w:rPr>
        <w:t>Os clientes do Software Assurance e do Windows Intune (Por Dispositivo) podem usar a edição MUI das versões anteriores do sistema operacional de desktop Windows em vez do Windows 8 Enterprise.</w:t>
      </w:r>
    </w:p>
    <w:p w:rsidR="008B1196" w:rsidRPr="00EB4D74" w:rsidRDefault="008B1196" w:rsidP="008B1196">
      <w:pPr>
        <w:pStyle w:val="Heading3"/>
        <w:rPr>
          <w:rFonts w:ascii="Tahoma" w:hAnsi="Tahoma" w:cs="Tahoma"/>
        </w:rPr>
      </w:pPr>
    </w:p>
    <w:p w:rsidR="008B1196" w:rsidRPr="00EB4D74" w:rsidRDefault="008B1196" w:rsidP="008B1196">
      <w:pPr>
        <w:pStyle w:val="Heading3"/>
        <w:rPr>
          <w:rFonts w:ascii="Tahoma" w:hAnsi="Tahoma" w:cs="Tahoma"/>
        </w:rPr>
      </w:pPr>
      <w:bookmarkStart w:id="846" w:name="_Toc336338231"/>
      <w:bookmarkStart w:id="847" w:name="_Toc342914868"/>
      <w:bookmarkEnd w:id="846"/>
      <w:r w:rsidRPr="00EB4D74">
        <w:rPr>
          <w:rFonts w:ascii="Tahoma" w:hAnsi="Tahoma" w:cs="Tahoma"/>
          <w:lang w:val="pt-BR"/>
        </w:rPr>
        <w:t>Windows 8 Enterprise Sideloading</w:t>
      </w:r>
      <w:bookmarkEnd w:id="847"/>
    </w:p>
    <w:p w:rsidR="008B1196" w:rsidRPr="00EB4D74" w:rsidRDefault="008B1196" w:rsidP="008B1196">
      <w:pPr>
        <w:jc w:val="both"/>
        <w:rPr>
          <w:rFonts w:cs="Tahoma"/>
        </w:rPr>
      </w:pPr>
    </w:p>
    <w:p w:rsidR="008B1196" w:rsidRPr="00EB4D74" w:rsidRDefault="008B1196" w:rsidP="008B1196">
      <w:pPr>
        <w:jc w:val="both"/>
        <w:rPr>
          <w:rFonts w:cs="Tahoma"/>
        </w:rPr>
      </w:pPr>
      <w:r w:rsidRPr="00EB4D74">
        <w:rPr>
          <w:rFonts w:cs="Tahoma"/>
          <w:lang w:val="pt-BR"/>
        </w:rPr>
        <w:t>Consulte a nota do produto Windows 8 Enterprise Sideloading na seção “Notas do Produto” deste documento.</w:t>
      </w:r>
    </w:p>
    <w:p w:rsidR="008B1196" w:rsidRPr="00EB4D74" w:rsidRDefault="008B1196" w:rsidP="008B1196">
      <w:pPr>
        <w:rPr>
          <w:rFonts w:cs="Tahoma"/>
        </w:rPr>
      </w:pPr>
      <w:bookmarkStart w:id="848" w:name="_Toc336338232"/>
    </w:p>
    <w:p w:rsidR="008B1196" w:rsidRPr="00EB4D74" w:rsidRDefault="008B1196" w:rsidP="008B1196">
      <w:pPr>
        <w:pStyle w:val="Heading3"/>
        <w:rPr>
          <w:rFonts w:ascii="Tahoma" w:hAnsi="Tahoma" w:cs="Tahoma"/>
        </w:rPr>
      </w:pPr>
      <w:bookmarkStart w:id="849" w:name="_Toc342914869"/>
      <w:bookmarkEnd w:id="848"/>
      <w:r w:rsidRPr="00EB4D74">
        <w:rPr>
          <w:rFonts w:ascii="Tahoma" w:hAnsi="Tahoma" w:cs="Tahoma"/>
          <w:lang w:val="pt-BR"/>
        </w:rPr>
        <w:t>Licença de Assinatura do Windows Companion</w:t>
      </w:r>
      <w:bookmarkEnd w:id="849"/>
    </w:p>
    <w:p w:rsidR="008B1196" w:rsidRPr="00EB4D74" w:rsidRDefault="008B1196" w:rsidP="008B1196">
      <w:pPr>
        <w:jc w:val="both"/>
        <w:rPr>
          <w:rFonts w:cs="Tahoma"/>
        </w:rPr>
      </w:pPr>
    </w:p>
    <w:p w:rsidR="008B1196" w:rsidRPr="00EB4D74" w:rsidRDefault="008B1196" w:rsidP="008B1196">
      <w:pPr>
        <w:jc w:val="both"/>
        <w:rPr>
          <w:rFonts w:cs="Tahoma"/>
          <w:lang w:val="it-IT"/>
        </w:rPr>
      </w:pPr>
      <w:r w:rsidRPr="00EB4D74">
        <w:rPr>
          <w:rFonts w:cs="Tahoma"/>
          <w:lang w:val="pt-BR"/>
        </w:rPr>
        <w:t>Consulte a nota da Licença de Assinatura do Windows Companion na seção “Notas do Produto” deste documento.</w:t>
      </w: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pStyle w:val="Heading3"/>
        <w:rPr>
          <w:rFonts w:ascii="Tahoma" w:hAnsi="Tahoma" w:cs="Tahoma"/>
          <w:lang w:val="it-IT"/>
        </w:rPr>
      </w:pPr>
      <w:bookmarkStart w:id="850" w:name="_Toc328146000"/>
      <w:bookmarkStart w:id="851" w:name="_Toc336338233"/>
      <w:bookmarkStart w:id="852" w:name="_Toc342914870"/>
      <w:bookmarkEnd w:id="850"/>
      <w:bookmarkEnd w:id="851"/>
      <w:r w:rsidRPr="00EB4D74">
        <w:rPr>
          <w:rFonts w:ascii="Tahoma" w:hAnsi="Tahoma" w:cs="Tahoma"/>
          <w:lang w:val="pt-BR"/>
        </w:rPr>
        <w:lastRenderedPageBreak/>
        <w:t>Cupons de Treinamento</w:t>
      </w:r>
      <w:bookmarkEnd w:id="852"/>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Os Clientes (que não forem Licença Academic Select, Select Plus para Academic, Open Value Subscription - Soluções Educacionais e Contrato para Campus e Contrato School) com Programa de Membros do Software Assurance nos pools de aplicativos ou produtos de sistemas estão qualificados para cupons de treinamento da Microsoft. </w:t>
      </w:r>
      <w:r w:rsidRPr="00EB4D74">
        <w:rPr>
          <w:rFonts w:ascii="Tahoma" w:hAnsi="Tahoma" w:cs="Tahoma"/>
          <w:sz w:val="18"/>
          <w:lang w:val="pt-BR"/>
        </w:rPr>
        <w:t>Esses cupons qualificam os clientes a receberem cursos de um Microsoft Partner com uma Competência em Aprendizagem (Microsoft Learning Partner) por um número específico de dias de treinamento. O número de dias concedidos varia por programa e por número de licenças de qualificação para os quais o Software Assurance tiver sido adquirido. Após o Gerente do Benefício Cupom de Treinamento do cliente ativar o referido benefício por meio da ferramenta Centro de Atendimento de Licenciamento por Volume (VLSC), os Cupons de Treinamento poderão ser atribuídos a indivíduos designados pelo Gerente do Benefício Cupom de Treinamento do cliente.</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sz w:val="18"/>
          <w:lang w:val="pt-BR"/>
        </w:rPr>
        <w:t>O número mínimo de licenças com Software Assurance necessário para a qualificação do Cupom de Treinamento varia por programa.</w:t>
      </w:r>
    </w:p>
    <w:p w:rsidR="008B1196" w:rsidRPr="00EB4D74" w:rsidRDefault="008B1196" w:rsidP="008B1196">
      <w:pPr>
        <w:pStyle w:val="AppendixFlushBulletedList"/>
        <w:tabs>
          <w:tab w:val="clear" w:pos="360"/>
          <w:tab w:val="num" w:pos="0"/>
        </w:tabs>
        <w:ind w:left="0" w:firstLine="0"/>
        <w:rPr>
          <w:rFonts w:ascii="Tahoma" w:hAnsi="Tahoma" w:cs="Tahoma"/>
          <w:lang w:val="it-IT"/>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8B1196" w:rsidRPr="00EB4D74" w:rsidTr="00EA30FC">
        <w:trPr>
          <w:cantSplit/>
          <w:trHeight w:val="531"/>
        </w:trPr>
        <w:tc>
          <w:tcPr>
            <w:tcW w:w="3002" w:type="dxa"/>
            <w:shd w:val="clear" w:color="auto" w:fill="FFCC99"/>
            <w:vAlign w:val="center"/>
          </w:tcPr>
          <w:p w:rsidR="008B1196" w:rsidRPr="00EB4D74" w:rsidRDefault="008B1196" w:rsidP="00EA30FC">
            <w:pPr>
              <w:pStyle w:val="AppendixTableHeadings"/>
              <w:keepNext/>
              <w:rPr>
                <w:rFonts w:ascii="Tahoma" w:hAnsi="Tahoma" w:cs="Tahoma"/>
                <w:sz w:val="20"/>
                <w:szCs w:val="20"/>
              </w:rPr>
            </w:pPr>
            <w:r w:rsidRPr="00EB4D74">
              <w:rPr>
                <w:rFonts w:ascii="Tahoma" w:hAnsi="Tahoma" w:cs="Tahoma"/>
                <w:sz w:val="20"/>
                <w:szCs w:val="20"/>
                <w:lang w:val="pt-BR"/>
              </w:rPr>
              <w:t>Programa</w:t>
            </w:r>
          </w:p>
        </w:tc>
        <w:tc>
          <w:tcPr>
            <w:tcW w:w="3150" w:type="dxa"/>
            <w:shd w:val="clear" w:color="auto" w:fill="FFCC99"/>
            <w:vAlign w:val="center"/>
          </w:tcPr>
          <w:p w:rsidR="008B1196" w:rsidRPr="00EB4D74" w:rsidRDefault="008B1196" w:rsidP="00EA30FC">
            <w:pPr>
              <w:pStyle w:val="AppendixTableHeadings"/>
              <w:keepNext/>
              <w:rPr>
                <w:rFonts w:ascii="Tahoma" w:hAnsi="Tahoma" w:cs="Tahoma"/>
                <w:sz w:val="20"/>
                <w:szCs w:val="20"/>
              </w:rPr>
            </w:pPr>
            <w:r w:rsidRPr="00EB4D74">
              <w:rPr>
                <w:rFonts w:ascii="Tahoma" w:hAnsi="Tahoma" w:cs="Tahoma"/>
                <w:sz w:val="20"/>
                <w:lang w:val="pt-BR"/>
              </w:rPr>
              <w:t>Produtos do Pool de Aplicativos do Office System</w:t>
            </w:r>
          </w:p>
        </w:tc>
        <w:tc>
          <w:tcPr>
            <w:tcW w:w="3240" w:type="dxa"/>
            <w:shd w:val="clear" w:color="auto" w:fill="FFCC99"/>
            <w:vAlign w:val="center"/>
          </w:tcPr>
          <w:p w:rsidR="008B1196" w:rsidRPr="00EB4D74" w:rsidRDefault="008B1196" w:rsidP="00EA30FC">
            <w:pPr>
              <w:pStyle w:val="AppendixTableHeadings"/>
              <w:keepNext/>
              <w:rPr>
                <w:rFonts w:ascii="Tahoma" w:hAnsi="Tahoma" w:cs="Tahoma"/>
                <w:sz w:val="20"/>
                <w:szCs w:val="20"/>
              </w:rPr>
            </w:pPr>
            <w:r w:rsidRPr="00EB4D74">
              <w:rPr>
                <w:rFonts w:ascii="Tahoma" w:hAnsi="Tahoma" w:cs="Tahoma"/>
                <w:sz w:val="20"/>
                <w:szCs w:val="20"/>
                <w:lang w:val="pt-BR"/>
              </w:rPr>
              <w:t>Pool de Sistemas</w:t>
            </w:r>
          </w:p>
        </w:tc>
      </w:tr>
      <w:tr w:rsidR="008B1196" w:rsidRPr="00EB4D74" w:rsidTr="00EA30FC">
        <w:trPr>
          <w:cantSplit/>
          <w:trHeight w:val="236"/>
        </w:trPr>
        <w:tc>
          <w:tcPr>
            <w:tcW w:w="3002"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Open Value</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2 dias por 50 licenças (máximo de 20 dias)</w:t>
            </w:r>
          </w:p>
        </w:tc>
        <w:tc>
          <w:tcPr>
            <w:tcW w:w="3240" w:type="dxa"/>
            <w:vAlign w:val="center"/>
          </w:tcPr>
          <w:p w:rsidR="008B1196" w:rsidRPr="00EB4D74" w:rsidRDefault="008B1196" w:rsidP="00EA30FC">
            <w:pPr>
              <w:pStyle w:val="AppendixTableText"/>
              <w:keepNext/>
              <w:rPr>
                <w:rFonts w:ascii="Tahoma" w:hAnsi="Tahoma" w:cs="Tahoma"/>
                <w:lang w:val="it-IT"/>
              </w:rPr>
            </w:pPr>
            <w:r w:rsidRPr="00EB4D74">
              <w:rPr>
                <w:rFonts w:ascii="Tahoma" w:hAnsi="Tahoma" w:cs="Tahoma"/>
                <w:lang w:val="pt-BR"/>
              </w:rPr>
              <w:t>1 dia por 50 licenças</w:t>
            </w:r>
          </w:p>
          <w:p w:rsidR="008B1196" w:rsidRPr="00EB4D74" w:rsidRDefault="008B1196" w:rsidP="00EA30FC">
            <w:pPr>
              <w:pStyle w:val="AppendixTableText"/>
              <w:keepNext/>
              <w:rPr>
                <w:rFonts w:ascii="Tahoma" w:hAnsi="Tahoma" w:cs="Tahoma"/>
                <w:lang w:val="it-IT"/>
              </w:rPr>
            </w:pPr>
            <w:r w:rsidRPr="00EB4D74">
              <w:rPr>
                <w:rFonts w:ascii="Tahoma" w:hAnsi="Tahoma" w:cs="Tahoma"/>
                <w:lang w:val="pt-BR"/>
              </w:rPr>
              <w:t>(máximo de 10 dias)</w:t>
            </w: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Headings"/>
              <w:keepNext/>
              <w:rPr>
                <w:rFonts w:ascii="Tahoma" w:hAnsi="Tahoma" w:cs="Tahoma"/>
              </w:rPr>
            </w:pPr>
            <w:r w:rsidRPr="00EB4D74">
              <w:rPr>
                <w:rFonts w:ascii="Tahoma" w:hAnsi="Tahoma" w:cs="Tahoma"/>
              </w:rPr>
              <w:t>1 – 249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2 dias por 50 licenças</w:t>
            </w: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 dia por 50 licenças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Text"/>
              <w:keepNext/>
              <w:rPr>
                <w:rFonts w:ascii="Tahoma" w:hAnsi="Tahoma" w:cs="Tahoma"/>
              </w:rPr>
            </w:pPr>
            <w:r w:rsidRPr="00EB4D74">
              <w:rPr>
                <w:rFonts w:ascii="Tahoma" w:hAnsi="Tahoma" w:cs="Tahoma"/>
              </w:rPr>
              <w:t xml:space="preserve">250 – 2,399 </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20 dias por</w:t>
            </w:r>
          </w:p>
          <w:p w:rsidR="008B1196" w:rsidRPr="00EB4D74" w:rsidRDefault="008B1196" w:rsidP="00EA30FC">
            <w:pPr>
              <w:pStyle w:val="AppendixTableText"/>
              <w:keepNext/>
              <w:rPr>
                <w:rFonts w:ascii="Tahoma" w:hAnsi="Tahoma" w:cs="Tahoma"/>
              </w:rPr>
            </w:pPr>
            <w:r w:rsidRPr="00EB4D74">
              <w:rPr>
                <w:rFonts w:ascii="Tahoma" w:hAnsi="Tahoma" w:cs="Tahoma"/>
                <w:lang w:val="pt-BR"/>
              </w:rPr>
              <w:t>registro aplicável</w:t>
            </w: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10 dias por</w:t>
            </w:r>
          </w:p>
          <w:p w:rsidR="008B1196" w:rsidRPr="00EB4D74" w:rsidRDefault="008B1196" w:rsidP="00EA30FC">
            <w:pPr>
              <w:pStyle w:val="AppendixTableText"/>
              <w:keepNext/>
              <w:rPr>
                <w:rFonts w:ascii="Tahoma" w:hAnsi="Tahoma" w:cs="Tahoma"/>
              </w:rPr>
            </w:pPr>
            <w:r w:rsidRPr="00EB4D74">
              <w:rPr>
                <w:rFonts w:ascii="Tahoma" w:hAnsi="Tahoma" w:cs="Tahoma"/>
                <w:lang w:val="pt-BR"/>
              </w:rPr>
              <w:t>registro aplicável</w:t>
            </w: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Text"/>
              <w:keepNext/>
              <w:rPr>
                <w:rFonts w:ascii="Tahoma" w:hAnsi="Tahoma" w:cs="Tahoma"/>
                <w:b/>
                <w:i/>
              </w:rPr>
            </w:pPr>
            <w:r w:rsidRPr="00EB4D74">
              <w:rPr>
                <w:rFonts w:ascii="Tahoma" w:hAnsi="Tahoma" w:cs="Tahoma"/>
              </w:rPr>
              <w:t>2,400 – 5,999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30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15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Text"/>
              <w:keepNext/>
              <w:rPr>
                <w:rFonts w:ascii="Tahoma" w:hAnsi="Tahoma" w:cs="Tahoma"/>
                <w:b/>
                <w:i/>
              </w:rPr>
            </w:pPr>
            <w:r w:rsidRPr="00EB4D74">
              <w:rPr>
                <w:rFonts w:ascii="Tahoma" w:hAnsi="Tahoma" w:cs="Tahoma"/>
              </w:rPr>
              <w:t>6,000 – 14,999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50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25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Text"/>
              <w:keepNext/>
              <w:rPr>
                <w:rFonts w:ascii="Tahoma" w:hAnsi="Tahoma" w:cs="Tahoma"/>
                <w:b/>
                <w:i/>
              </w:rPr>
            </w:pPr>
            <w:r w:rsidRPr="00EB4D74">
              <w:rPr>
                <w:rFonts w:ascii="Tahoma" w:hAnsi="Tahoma" w:cs="Tahoma"/>
              </w:rPr>
              <w:t>15,000 – 29,999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110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55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Text"/>
              <w:keepNext/>
              <w:rPr>
                <w:rFonts w:ascii="Tahoma" w:hAnsi="Tahoma" w:cs="Tahoma"/>
                <w:b/>
                <w:i/>
              </w:rPr>
            </w:pPr>
            <w:r w:rsidRPr="00EB4D74">
              <w:rPr>
                <w:rFonts w:ascii="Tahoma" w:hAnsi="Tahoma" w:cs="Tahoma"/>
              </w:rPr>
              <w:t>30,000 – 49,999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160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80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Text"/>
              <w:keepNext/>
              <w:rPr>
                <w:rFonts w:ascii="Tahoma" w:hAnsi="Tahoma" w:cs="Tahoma"/>
                <w:b/>
                <w:i/>
              </w:rPr>
            </w:pPr>
            <w:r w:rsidRPr="00EB4D74">
              <w:rPr>
                <w:rFonts w:ascii="Tahoma" w:hAnsi="Tahoma" w:cs="Tahoma"/>
              </w:rPr>
              <w:t>50,000 – 99,999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250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125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Headings"/>
              <w:keepNext/>
              <w:rPr>
                <w:rFonts w:ascii="Tahoma" w:hAnsi="Tahoma" w:cs="Tahoma"/>
              </w:rPr>
            </w:pPr>
            <w:r w:rsidRPr="00EB4D74">
              <w:rPr>
                <w:rFonts w:ascii="Tahoma" w:hAnsi="Tahoma" w:cs="Tahoma"/>
              </w:rPr>
              <w:t>100,000 – 199,999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400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200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Headings"/>
              <w:keepNext/>
              <w:rPr>
                <w:rFonts w:ascii="Tahoma" w:hAnsi="Tahoma" w:cs="Tahoma"/>
              </w:rPr>
            </w:pPr>
            <w:r w:rsidRPr="00EB4D74">
              <w:rPr>
                <w:rFonts w:ascii="Tahoma" w:hAnsi="Tahoma" w:cs="Tahoma"/>
              </w:rPr>
              <w:t>200,000 – 399,999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600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300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Headings"/>
              <w:keepNext/>
              <w:rPr>
                <w:rFonts w:ascii="Tahoma" w:hAnsi="Tahoma" w:cs="Tahoma"/>
              </w:rPr>
            </w:pPr>
            <w:r w:rsidRPr="00EB4D74">
              <w:rPr>
                <w:rFonts w:ascii="Tahoma" w:hAnsi="Tahoma" w:cs="Tahoma"/>
              </w:rPr>
              <w:t>400,000 – 599,999</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800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400 dias*</w:t>
            </w:r>
          </w:p>
          <w:p w:rsidR="008B1196" w:rsidRPr="00EB4D74" w:rsidRDefault="008B1196" w:rsidP="00EA30FC">
            <w:pPr>
              <w:pStyle w:val="AppendixTableText"/>
              <w:keepNext/>
              <w:rPr>
                <w:rFonts w:ascii="Tahoma" w:hAnsi="Tahoma" w:cs="Tahoma"/>
              </w:rPr>
            </w:pPr>
          </w:p>
        </w:tc>
      </w:tr>
      <w:tr w:rsidR="008B1196" w:rsidRPr="00EB4D74" w:rsidTr="00EA30FC">
        <w:trPr>
          <w:cantSplit/>
          <w:trHeight w:val="236"/>
        </w:trPr>
        <w:tc>
          <w:tcPr>
            <w:tcW w:w="3002" w:type="dxa"/>
            <w:vAlign w:val="center"/>
          </w:tcPr>
          <w:p w:rsidR="008B1196" w:rsidRPr="00EB4D74" w:rsidRDefault="008B1196" w:rsidP="00EA30FC">
            <w:pPr>
              <w:pStyle w:val="AppendixTableHeadings"/>
              <w:keepNext/>
              <w:rPr>
                <w:rFonts w:ascii="Tahoma" w:hAnsi="Tahoma" w:cs="Tahoma"/>
              </w:rPr>
            </w:pPr>
            <w:r w:rsidRPr="00EB4D74">
              <w:rPr>
                <w:rFonts w:ascii="Tahoma" w:hAnsi="Tahoma" w:cs="Tahoma"/>
                <w:lang w:val="pt-BR"/>
              </w:rPr>
              <w:t>SAM</w:t>
            </w:r>
          </w:p>
          <w:p w:rsidR="008B1196" w:rsidRPr="00EB4D74" w:rsidRDefault="008B1196" w:rsidP="00EA30FC">
            <w:pPr>
              <w:pStyle w:val="AppendixTableHeadings"/>
              <w:keepNext/>
              <w:rPr>
                <w:rFonts w:ascii="Tahoma" w:hAnsi="Tahoma" w:cs="Tahoma"/>
              </w:rPr>
            </w:pPr>
            <w:r w:rsidRPr="00EB4D74">
              <w:rPr>
                <w:rFonts w:ascii="Tahoma" w:hAnsi="Tahoma" w:cs="Tahoma"/>
              </w:rPr>
              <w:t>600,000 +</w:t>
            </w:r>
          </w:p>
        </w:tc>
        <w:tc>
          <w:tcPr>
            <w:tcW w:w="315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1.400 dias*</w:t>
            </w:r>
          </w:p>
          <w:p w:rsidR="008B1196" w:rsidRPr="00EB4D74" w:rsidRDefault="008B1196" w:rsidP="00EA30FC">
            <w:pPr>
              <w:pStyle w:val="AppendixTableText"/>
              <w:keepNext/>
              <w:rPr>
                <w:rFonts w:ascii="Tahoma" w:hAnsi="Tahoma" w:cs="Tahoma"/>
              </w:rPr>
            </w:pPr>
          </w:p>
        </w:tc>
        <w:tc>
          <w:tcPr>
            <w:tcW w:w="3240" w:type="dxa"/>
            <w:vAlign w:val="center"/>
          </w:tcPr>
          <w:p w:rsidR="008B1196" w:rsidRPr="00EB4D74" w:rsidRDefault="008B1196" w:rsidP="00EA30FC">
            <w:pPr>
              <w:pStyle w:val="AppendixTableText"/>
              <w:keepNext/>
              <w:rPr>
                <w:rFonts w:ascii="Tahoma" w:hAnsi="Tahoma" w:cs="Tahoma"/>
              </w:rPr>
            </w:pPr>
            <w:r w:rsidRPr="00EB4D74">
              <w:rPr>
                <w:rFonts w:ascii="Tahoma" w:hAnsi="Tahoma" w:cs="Tahoma"/>
                <w:lang w:val="pt-BR"/>
              </w:rPr>
              <w:t>700 dias*</w:t>
            </w:r>
          </w:p>
          <w:p w:rsidR="008B1196" w:rsidRPr="00EB4D74" w:rsidRDefault="008B1196" w:rsidP="00EA30FC">
            <w:pPr>
              <w:pStyle w:val="AppendixTableText"/>
              <w:keepNext/>
              <w:rPr>
                <w:rFonts w:ascii="Tahoma" w:hAnsi="Tahoma" w:cs="Tahoma"/>
              </w:rPr>
            </w:pPr>
          </w:p>
        </w:tc>
      </w:tr>
    </w:tbl>
    <w:p w:rsidR="008B1196" w:rsidRPr="00EB4D74" w:rsidRDefault="008B1196" w:rsidP="008B1196">
      <w:pPr>
        <w:tabs>
          <w:tab w:val="left" w:pos="10440"/>
        </w:tabs>
        <w:spacing w:before="120"/>
        <w:ind w:right="306"/>
        <w:rPr>
          <w:rFonts w:cs="Tahoma"/>
          <w:lang w:val="it-IT"/>
        </w:rPr>
      </w:pPr>
      <w:r w:rsidRPr="00EB4D74">
        <w:rPr>
          <w:rFonts w:cs="Tahoma"/>
          <w:b/>
          <w:i/>
          <w:color w:val="000000"/>
          <w:sz w:val="16"/>
          <w:lang w:val="pt-BR"/>
        </w:rPr>
        <w:t xml:space="preserve">Observação: </w:t>
      </w:r>
      <w:r w:rsidRPr="00EB4D74">
        <w:rPr>
          <w:rFonts w:eastAsia="Times New Roman" w:cs="Tahoma"/>
          <w:i/>
          <w:color w:val="000000"/>
          <w:sz w:val="16"/>
          <w:szCs w:val="16"/>
          <w:lang w:val="pt-BR"/>
        </w:rPr>
        <w:t>créditos de treinamento disponíveis com base em um registro ou contrato integral de 3 anos (consulte a seguir para obter detalhes).</w:t>
      </w:r>
    </w:p>
    <w:p w:rsidR="008B1196" w:rsidRPr="00EB4D74" w:rsidRDefault="008B1196" w:rsidP="008B1196">
      <w:pPr>
        <w:spacing w:after="60"/>
        <w:rPr>
          <w:rFonts w:cs="Tahoma"/>
          <w:i/>
          <w:color w:val="000000"/>
          <w:sz w:val="16"/>
          <w:lang w:val="pt-BR"/>
        </w:rPr>
      </w:pPr>
    </w:p>
    <w:p w:rsidR="008B1196" w:rsidRPr="00EB4D74" w:rsidRDefault="008B1196" w:rsidP="008B1196">
      <w:pPr>
        <w:spacing w:after="60"/>
        <w:rPr>
          <w:rFonts w:cs="Tahoma"/>
          <w:lang w:val="it-IT"/>
        </w:rPr>
      </w:pPr>
      <w:r w:rsidRPr="00EB4D74">
        <w:rPr>
          <w:rFonts w:cs="Tahoma"/>
          <w:i/>
          <w:color w:val="000000"/>
          <w:sz w:val="16"/>
          <w:lang w:val="pt-BR"/>
        </w:rPr>
        <w:t>Consulte a tabela com o Aplicativo do Office System</w:t>
      </w:r>
    </w:p>
    <w:p w:rsidR="008B1196" w:rsidRPr="00EB4D74" w:rsidRDefault="008B1196" w:rsidP="008B1196">
      <w:pPr>
        <w:tabs>
          <w:tab w:val="left" w:pos="10440"/>
        </w:tabs>
        <w:spacing w:after="60"/>
        <w:ind w:right="306"/>
        <w:rPr>
          <w:rFonts w:cs="Tahoma"/>
          <w:lang w:val="it-IT"/>
        </w:rPr>
      </w:pPr>
      <w:r w:rsidRPr="00EB4D74">
        <w:rPr>
          <w:rFonts w:cs="Tahoma"/>
          <w:i/>
          <w:color w:val="000000"/>
          <w:sz w:val="16"/>
          <w:lang w:val="pt-BR"/>
        </w:rPr>
        <w:t>*Número de dias por registro ou contrato aplicável.</w:t>
      </w:r>
    </w:p>
    <w:p w:rsidR="008B1196" w:rsidRPr="00EB4D74" w:rsidRDefault="008B1196" w:rsidP="008B1196">
      <w:pPr>
        <w:pStyle w:val="AppendixBodyText"/>
        <w:rPr>
          <w:rFonts w:ascii="Tahoma" w:hAnsi="Tahoma" w:cs="Tahoma"/>
          <w:sz w:val="18"/>
          <w:szCs w:val="18"/>
          <w:lang w:val="it-IT"/>
        </w:rPr>
      </w:pP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sz w:val="18"/>
          <w:lang w:val="pt-BR"/>
        </w:rPr>
        <w:t>Nem todos os cursos estão disponíveis em todos os idiomas.</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As políticas locais estabelecidas por Microsoft Learning Partner se aplicam.</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Os Gerentes de Benefícios podem revogar um cupom com status atribuído até a data de cancelamento da aula estabelecida pelo Microsoft Learning Partner.</w:t>
      </w: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sz w:val="18"/>
          <w:lang w:val="pt-BR"/>
        </w:rPr>
        <w:lastRenderedPageBreak/>
        <w:t>Todos os dias de curso não cobertos pelo cupom deverão ser pagos pela pessoa que receber o treinamento.</w:t>
      </w: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sz w:val="18"/>
          <w:lang w:val="pt-BR"/>
        </w:rPr>
        <w:t>Todos os dias do cupom em excesso quanto ao número de dias aplicados a uma aula em particular serão devolvidos ao pool de dias disponível para serem reatribuídos pelos Gerentes de Benefícios.</w:t>
      </w: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sz w:val="18"/>
          <w:lang w:val="pt-BR"/>
        </w:rPr>
        <w:t>Os cursos fornecidos em um formato acelerado exigem um cupom com número de dias equivalente ao número de dias do curso para uma entrega normal do curso.</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 cupom pode ser resgatado apenas pelos dias de treinamento ministrados por instrutor com Microsoft Learning Partners qualificados nos cursos aprovados. Os cursos personalizados (diferentes da entrega acelerada de cursos aprovados) não estão qualificados para cobertura por esses cupons. Para obter informações sobre cursos aprovados, visite o site http://www.microsoft.com/learning/sa/training.mspx.</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bCs/>
          <w:sz w:val="18"/>
          <w:szCs w:val="18"/>
          <w:lang w:val="pt-BR"/>
        </w:rPr>
        <w:t>Os cupons não podem ser usados para cobrir quaisquer taxas relacionadas a um cliente que não compareça em um curso reservado. Todas as taxas relacionadas a “Não Comparecimentos” são de responsabilidade do cliente.</w:t>
      </w: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bCs/>
          <w:sz w:val="18"/>
          <w:szCs w:val="18"/>
          <w:lang w:val="pt-BR"/>
        </w:rPr>
        <w:t>Os cupons poderão ser resgatados apenas pelo indivíduo aprovado pelo cliente para usar o cupom.</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Os cupons não poderão ser trocados por dinheiro, valores ou outras considerações de valor.</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Os cupons devem ser atribuídos durante o período de cobertura do Software Assurance.</w:t>
      </w: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bCs/>
          <w:sz w:val="18"/>
          <w:szCs w:val="18"/>
          <w:lang w:val="pt-BR"/>
        </w:rPr>
        <w:t xml:space="preserve">Os cupons expiram após 180 dias da data de atribuição do cupom, independentemente da data de término da cobertura do Software Assurance. </w:t>
      </w:r>
      <w:r w:rsidRPr="00EB4D74">
        <w:rPr>
          <w:rFonts w:ascii="Tahoma" w:hAnsi="Tahoma" w:cs="Tahoma"/>
          <w:sz w:val="18"/>
          <w:lang w:val="pt-BR"/>
        </w:rPr>
        <w:t>Todos os serviços devem ser entregues (treinamento entregue e cupom resgatado) antes da data de término do cupom. Os cupons que expirarem antes da data de término da cobertura do Software Assurance serão devolvidos para o pool de dias disponível de Cupom de Treinamento.</w:t>
      </w:r>
    </w:p>
    <w:p w:rsidR="008B1196" w:rsidRPr="00EB4D74" w:rsidRDefault="008B1196" w:rsidP="008B1196">
      <w:pPr>
        <w:numPr>
          <w:ilvl w:val="0"/>
          <w:numId w:val="26"/>
        </w:numPr>
        <w:spacing w:afterLines="60" w:after="144"/>
        <w:rPr>
          <w:rFonts w:cs="Tahoma"/>
        </w:rPr>
      </w:pPr>
      <w:r w:rsidRPr="00EB4D74">
        <w:rPr>
          <w:rFonts w:cs="Tahoma"/>
          <w:lang w:val="pt-BR"/>
        </w:rPr>
        <w:t>Com exceção das Sessões de Demonstração, um Voucher de um dia de Treinamento é igual ao equivalente a um dia de sessão de treinamento. Para as Sessões de Demonstração, um dia de Voucher de Treinamento é igual a uma Sessão de Demonstração.</w:t>
      </w:r>
    </w:p>
    <w:p w:rsidR="008B1196" w:rsidRPr="00EB4D74" w:rsidRDefault="008B1196" w:rsidP="008B1196">
      <w:pPr>
        <w:numPr>
          <w:ilvl w:val="0"/>
          <w:numId w:val="26"/>
        </w:numPr>
        <w:spacing w:afterLines="60" w:after="144"/>
        <w:rPr>
          <w:rFonts w:cs="Tahoma"/>
        </w:rPr>
      </w:pPr>
      <w:r w:rsidRPr="00EB4D74">
        <w:rPr>
          <w:rFonts w:cs="Tahoma"/>
          <w:lang w:val="pt-BR"/>
        </w:rPr>
        <w:t>Os clientes devem resgatar os Vouchers de Treinamento para conjuntos de quatro ou mais Sessões de Demonstração</w:t>
      </w:r>
    </w:p>
    <w:p w:rsidR="008B1196" w:rsidRPr="00EB4D74" w:rsidRDefault="008B1196" w:rsidP="008B1196">
      <w:pPr>
        <w:numPr>
          <w:ilvl w:val="0"/>
          <w:numId w:val="26"/>
        </w:numPr>
        <w:spacing w:afterLines="60" w:after="144"/>
        <w:rPr>
          <w:rFonts w:cs="Tahoma"/>
        </w:rPr>
      </w:pPr>
      <w:r w:rsidRPr="00EB4D74">
        <w:rPr>
          <w:rFonts w:cs="Tahoma"/>
          <w:lang w:val="pt-BR"/>
        </w:rPr>
        <w:t>Os Vouchers de Treinamento resgatados para as Sessões de Treinamento, ao contrário dos Vouchers de Treinamento resgatados para outras sessões de treinamento, não se limitando a um único indivíduo.</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Os cupons poderão ser usados para reservar treinamentos com apenas um Microsoft Learning Partner qualificado de cada vez.</w:t>
      </w:r>
    </w:p>
    <w:p w:rsidR="008B1196" w:rsidRPr="00EB4D74" w:rsidRDefault="008B1196" w:rsidP="008B1196">
      <w:pPr>
        <w:pStyle w:val="AppendixBodyText"/>
        <w:numPr>
          <w:ilvl w:val="0"/>
          <w:numId w:val="26"/>
        </w:numPr>
        <w:spacing w:afterLines="60" w:after="144"/>
        <w:rPr>
          <w:rFonts w:ascii="Tahoma" w:hAnsi="Tahoma" w:cs="Tahoma"/>
          <w:sz w:val="18"/>
          <w:szCs w:val="18"/>
          <w:lang w:val="it-IT"/>
        </w:rPr>
      </w:pPr>
      <w:r w:rsidRPr="00EB4D74">
        <w:rPr>
          <w:rFonts w:ascii="Tahoma" w:hAnsi="Tahoma" w:cs="Tahoma"/>
          <w:sz w:val="18"/>
          <w:lang w:val="pt-BR"/>
        </w:rPr>
        <w:t>O Microsoft Learning Partner reserva o direito de cancelar uma aula de acordo com a política de cancelamento local.</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Os cupons são válidos apenas com a participação de Microsoft Learning Partners. Eles podem ser usados com qualquer Microsoft Learning Partner qualificado de todo o mundo. A participação pode variar.</w:t>
      </w:r>
    </w:p>
    <w:p w:rsidR="008B1196" w:rsidRPr="00EB4D74" w:rsidRDefault="008B1196" w:rsidP="008B1196">
      <w:pPr>
        <w:pStyle w:val="AppendixBodyText"/>
        <w:numPr>
          <w:ilvl w:val="0"/>
          <w:numId w:val="26"/>
        </w:numPr>
        <w:spacing w:afterLines="60" w:after="144"/>
        <w:rPr>
          <w:rFonts w:ascii="Tahoma" w:hAnsi="Tahoma" w:cs="Tahoma"/>
          <w:sz w:val="18"/>
          <w:szCs w:val="18"/>
        </w:rPr>
      </w:pPr>
      <w:r w:rsidRPr="00EB4D74">
        <w:rPr>
          <w:rFonts w:ascii="Tahoma" w:hAnsi="Tahoma" w:cs="Tahoma"/>
          <w:sz w:val="18"/>
          <w:lang w:val="pt-BR"/>
        </w:rPr>
        <w:t>Os clientes devem fornecer ao parceiro Microsoft Learning Partner as informações do cupom que gostariam de utilizar no curso antes do final do curso a fim de usá-lo como pagamento do curso.</w:t>
      </w:r>
    </w:p>
    <w:p w:rsidR="008B1196" w:rsidRPr="00EB4D74" w:rsidRDefault="008B1196" w:rsidP="008B1196">
      <w:pPr>
        <w:pStyle w:val="AppendixBodyText"/>
        <w:numPr>
          <w:ilvl w:val="0"/>
          <w:numId w:val="26"/>
        </w:numPr>
        <w:spacing w:afterLines="60" w:after="144"/>
        <w:rPr>
          <w:rFonts w:ascii="Tahoma" w:hAnsi="Tahoma" w:cs="Tahoma"/>
        </w:rPr>
      </w:pPr>
      <w:r w:rsidRPr="00EB4D74">
        <w:rPr>
          <w:rFonts w:ascii="Tahoma" w:hAnsi="Tahoma" w:cs="Tahoma"/>
          <w:sz w:val="18"/>
          <w:lang w:val="pt-BR"/>
        </w:rPr>
        <w:t>A Microsoft não é responsável por cupons perdidos, roubados ou utilizados indevidamente.</w:t>
      </w:r>
    </w:p>
    <w:p w:rsidR="008B1196" w:rsidRPr="00EB4D74" w:rsidRDefault="008B1196" w:rsidP="008B1196">
      <w:pPr>
        <w:pStyle w:val="AppendixBodyText"/>
        <w:numPr>
          <w:ilvl w:val="0"/>
          <w:numId w:val="26"/>
        </w:numPr>
        <w:spacing w:afterLines="60" w:after="144"/>
        <w:rPr>
          <w:rFonts w:ascii="Tahoma" w:hAnsi="Tahoma" w:cs="Tahoma"/>
          <w:lang w:val="it-IT"/>
        </w:rPr>
      </w:pPr>
      <w:r w:rsidRPr="00EB4D74">
        <w:rPr>
          <w:rFonts w:ascii="Tahoma" w:hAnsi="Tahoma" w:cs="Tahoma"/>
          <w:sz w:val="18"/>
          <w:lang w:val="pt-BR"/>
        </w:rPr>
        <w:t>A redução do número de licenças de qualificação para as quais o Software Assurance foi adquirido como um resultado de devoluções e outros ajustes de cobrança, quando permitidos, pode diminuir a qualificação de nível de serviço dos Cupons de Treinamento do cliente.</w:t>
      </w:r>
    </w:p>
    <w:p w:rsidR="008B1196" w:rsidRPr="00EB4D74" w:rsidRDefault="008B1196" w:rsidP="008B1196">
      <w:pPr>
        <w:pStyle w:val="AppendixBodyText"/>
        <w:numPr>
          <w:ilvl w:val="0"/>
          <w:numId w:val="26"/>
        </w:numPr>
        <w:spacing w:afterLines="60" w:after="144"/>
        <w:rPr>
          <w:rFonts w:ascii="Tahoma" w:hAnsi="Tahoma" w:cs="Tahoma"/>
          <w:lang w:val="it-IT"/>
        </w:rPr>
      </w:pPr>
      <w:r w:rsidRPr="00EB4D74">
        <w:rPr>
          <w:rFonts w:ascii="Tahoma" w:hAnsi="Tahoma" w:cs="Tahoma"/>
          <w:sz w:val="18"/>
          <w:lang w:val="pt-BR"/>
        </w:rPr>
        <w:t>Os cupons podem ser resgatados apenas pelo cliente que estiver qualificado para o benefício.</w:t>
      </w:r>
    </w:p>
    <w:p w:rsidR="008B1196" w:rsidRPr="00EB4D74" w:rsidRDefault="008B1196" w:rsidP="008B1196">
      <w:pPr>
        <w:pStyle w:val="AppendixBodyText"/>
        <w:numPr>
          <w:ilvl w:val="0"/>
          <w:numId w:val="26"/>
        </w:numPr>
        <w:spacing w:afterLines="60" w:after="144"/>
        <w:rPr>
          <w:rFonts w:ascii="Tahoma" w:hAnsi="Tahoma" w:cs="Tahoma"/>
          <w:lang w:val="it-IT"/>
        </w:rPr>
      </w:pPr>
      <w:r w:rsidRPr="00EB4D74">
        <w:rPr>
          <w:rFonts w:ascii="Tahoma" w:hAnsi="Tahoma" w:cs="Tahoma"/>
          <w:sz w:val="18"/>
          <w:lang w:val="pt-BR"/>
        </w:rPr>
        <w:lastRenderedPageBreak/>
        <w:t>Os serviços fornecidos sob cupons são oferecidos de acordo com um contrato entre o Cliente e o Provedor Qualificado. A Microsoft não é responsável por nenhum trabalho ou nenhuma falha da parte do Provedor Qualificado relacionado aos serviços.</w:t>
      </w:r>
    </w:p>
    <w:p w:rsidR="008B1196" w:rsidRPr="00EB4D74" w:rsidRDefault="008B1196" w:rsidP="008B1196">
      <w:pPr>
        <w:pStyle w:val="AppendixBodyText"/>
        <w:numPr>
          <w:ilvl w:val="0"/>
          <w:numId w:val="26"/>
        </w:numPr>
        <w:spacing w:afterLines="60" w:after="144"/>
        <w:rPr>
          <w:rFonts w:ascii="Tahoma" w:hAnsi="Tahoma" w:cs="Tahoma"/>
        </w:rPr>
      </w:pPr>
      <w:r w:rsidRPr="00EB4D74">
        <w:rPr>
          <w:rFonts w:ascii="Tahoma" w:hAnsi="Tahoma" w:cs="Tahoma"/>
          <w:bCs/>
          <w:sz w:val="18"/>
          <w:szCs w:val="18"/>
          <w:lang w:val="pt-BR"/>
        </w:rPr>
        <w:t xml:space="preserve">A tabela acima mostra os créditos de treinamento disponíveis com base em um registro ou contrato integral de 3 anos. Os clientes que comprarem a cobertura do Software Assurance por um ano receberão um terço do número declarado de créditos de treinamento. </w:t>
      </w:r>
      <w:r w:rsidRPr="00EB4D74">
        <w:rPr>
          <w:rFonts w:ascii="Tahoma" w:hAnsi="Tahoma" w:cs="Tahoma"/>
          <w:sz w:val="18"/>
          <w:lang w:val="pt-BR"/>
        </w:rPr>
        <w:t>Os clientes que adquirirem a cobertura do Software Assurance por dois anos receberão dois terços do número declarado de créditos de treinamento.</w:t>
      </w:r>
    </w:p>
    <w:p w:rsidR="008B1196" w:rsidRPr="00EB4D74" w:rsidRDefault="008B1196" w:rsidP="008B1196">
      <w:pPr>
        <w:pStyle w:val="Heading3"/>
        <w:rPr>
          <w:rFonts w:ascii="Tahoma" w:hAnsi="Tahoma" w:cs="Tahoma"/>
          <w:sz w:val="18"/>
          <w:szCs w:val="18"/>
        </w:rPr>
      </w:pPr>
    </w:p>
    <w:p w:rsidR="008B1196" w:rsidRPr="00EB4D74" w:rsidRDefault="008B1196" w:rsidP="008B1196">
      <w:pPr>
        <w:pStyle w:val="Heading3"/>
        <w:rPr>
          <w:rFonts w:ascii="Tahoma" w:hAnsi="Tahoma" w:cs="Tahoma"/>
        </w:rPr>
      </w:pPr>
      <w:bookmarkStart w:id="853" w:name="_Toc342914871"/>
      <w:r w:rsidRPr="00EB4D74">
        <w:rPr>
          <w:rFonts w:ascii="Tahoma" w:hAnsi="Tahoma" w:cs="Tahoma"/>
          <w:lang w:val="pt-BR"/>
        </w:rPr>
        <w:t>E-Learning</w:t>
      </w:r>
      <w:bookmarkEnd w:id="853"/>
    </w:p>
    <w:p w:rsidR="008B1196" w:rsidRPr="00EB4D74" w:rsidRDefault="008B1196" w:rsidP="008B1196">
      <w:pPr>
        <w:rPr>
          <w:rFonts w:cs="Tahoma"/>
        </w:rPr>
      </w:pPr>
    </w:p>
    <w:p w:rsidR="008B1196" w:rsidRPr="00EB4D74" w:rsidRDefault="008B1196" w:rsidP="008B1196">
      <w:pPr>
        <w:tabs>
          <w:tab w:val="num" w:pos="360"/>
        </w:tabs>
        <w:rPr>
          <w:rFonts w:cs="Tahoma"/>
        </w:rPr>
      </w:pPr>
      <w:r w:rsidRPr="00EB4D74">
        <w:rPr>
          <w:rFonts w:cs="Tahoma"/>
          <w:b/>
          <w:lang w:val="pt-BR"/>
        </w:rPr>
        <w:t xml:space="preserve">Clientes qualificados do Software Assurance: </w:t>
      </w:r>
      <w:r w:rsidRPr="00EB4D74">
        <w:rPr>
          <w:rFonts w:cs="Tahoma"/>
          <w:szCs w:val="18"/>
          <w:lang w:val="pt-BR"/>
        </w:rPr>
        <w:t>Os clientes com Software Assurance para produtos qualificados do pool de aplicativos, sistemas ou servidores estão qualificados a usar o respectivo benefício E-Learning de Aplicativos, Sistemas e Servidores durante o prazo da cobertura do Software Assurance.</w:t>
      </w:r>
    </w:p>
    <w:p w:rsidR="008B1196" w:rsidRPr="00EB4D74" w:rsidRDefault="008B1196" w:rsidP="008B1196">
      <w:pPr>
        <w:tabs>
          <w:tab w:val="num" w:pos="360"/>
        </w:tabs>
        <w:rPr>
          <w:rFonts w:cs="Tahoma"/>
        </w:rPr>
      </w:pPr>
    </w:p>
    <w:p w:rsidR="008B1196" w:rsidRPr="00EB4D74" w:rsidRDefault="008B1196" w:rsidP="008B1196">
      <w:pPr>
        <w:tabs>
          <w:tab w:val="num" w:pos="360"/>
        </w:tabs>
        <w:rPr>
          <w:rFonts w:cs="Tahoma"/>
          <w:lang w:val="it-IT"/>
        </w:rPr>
      </w:pPr>
      <w:r w:rsidRPr="00EB4D74">
        <w:rPr>
          <w:rFonts w:cs="Tahoma"/>
          <w:b/>
          <w:lang w:val="pt-BR"/>
        </w:rPr>
        <w:t xml:space="preserve">Clientes qualificados para os Benefícios de Serviços Online: </w:t>
      </w:r>
      <w:r w:rsidRPr="00EB4D74">
        <w:rPr>
          <w:rFonts w:cs="Tahoma"/>
          <w:lang w:val="pt-BR"/>
        </w:rPr>
        <w:t>Os clientes com Windows Intune (Por Dispositivo) estão qualificados para usar o benefício E-Learning dos Sistemas durante o prazo desse registro. Da mesma forma, os clientes do Office 365 estão qualificados para usar o benefício E-Learning dos Aplicativos durante o prazo do seu respectivo registro.</w:t>
      </w:r>
    </w:p>
    <w:p w:rsidR="008B1196" w:rsidRPr="00EB4D74" w:rsidRDefault="008B1196" w:rsidP="008B1196">
      <w:pPr>
        <w:tabs>
          <w:tab w:val="num" w:pos="360"/>
        </w:tabs>
        <w:rPr>
          <w:rFonts w:cs="Tahoma"/>
          <w:lang w:val="it-IT"/>
        </w:rPr>
      </w:pPr>
    </w:p>
    <w:p w:rsidR="008B1196" w:rsidRPr="00EB4D74" w:rsidRDefault="008B1196" w:rsidP="008B1196">
      <w:pPr>
        <w:rPr>
          <w:rFonts w:cs="Tahoma"/>
          <w:lang w:val="pt-BR"/>
        </w:rPr>
      </w:pPr>
      <w:r w:rsidRPr="00EB4D74">
        <w:rPr>
          <w:rFonts w:cs="Tahoma"/>
          <w:lang w:val="pt-BR"/>
        </w:rPr>
        <w:t>Os clientes qualificados receberão um código de acesso (para Aplicativos, Sistemas, Servidores, Windows Intune (Por Dispositivo) e Office 365) por registro/contrato qualificado. Os clientes também poderão baixar arquivos de E­Learning apenas de conteúdo e compatíveis com SCORM (para Aplicativos e Sistemas) a partir do VLSC para importar no LMS (Learning Management System - Sistema de Gerenciamento de Aprendizagem). Não é necessário um código de acesso para baixar arquivos do VLSC. Os clientes do Contrato Enterprise e do Select podem obter conteúdo compatível com SCORM (para Aplicativos e Sistemas) por meio de download ou DVD, ao passo que os clientes do Open e do Open Value podem obter conteúdo compatível com SCORM (para Aplicativos e Sistemas) apenas via DVD.</w:t>
      </w:r>
    </w:p>
    <w:p w:rsidR="008B1196" w:rsidRPr="00EB4D74" w:rsidRDefault="008B1196" w:rsidP="008B1196">
      <w:pPr>
        <w:rPr>
          <w:rFonts w:cs="Tahoma"/>
          <w:lang w:val="pt-BR"/>
        </w:rPr>
      </w:pPr>
    </w:p>
    <w:p w:rsidR="008B1196" w:rsidRPr="00EB4D74" w:rsidRDefault="008B1196" w:rsidP="008B1196">
      <w:pPr>
        <w:rPr>
          <w:rFonts w:cs="Tahoma"/>
          <w:lang w:val="it-IT"/>
        </w:rPr>
      </w:pPr>
      <w:r w:rsidRPr="00EB4D74">
        <w:rPr>
          <w:rFonts w:cs="Tahoma"/>
          <w:lang w:val="pt-BR"/>
        </w:rPr>
        <w:t>O número máximo de usuários para os quais um cliente pode usar o treinamento de E-Learning é igual ao número de cópias licenciadas de produtos qualificados que o cliente registrou no Software Assurance ou assinaturas de pacotes do Windows Intune (Por Dispositivo) ou do Office 365 comprados. Os clientes devem designar um usuário para cada licença de qualificação. O acesso não pode ser transferido de um usuário para outro. No início de um curso individual, cada usuário qualificado terá até 12 meses para concluir o curso antes do término do acesso, contanto que o curso seja iniciado antes do término da cobertura do Software Assurance ou licença de assinatura.</w:t>
      </w:r>
    </w:p>
    <w:p w:rsidR="008B1196" w:rsidRPr="00EB4D74" w:rsidRDefault="008B1196" w:rsidP="008B1196">
      <w:pPr>
        <w:tabs>
          <w:tab w:val="num" w:pos="360"/>
        </w:tabs>
        <w:rPr>
          <w:rFonts w:cs="Tahoma"/>
          <w:lang w:val="it-IT"/>
        </w:rPr>
      </w:pPr>
    </w:p>
    <w:p w:rsidR="008B1196" w:rsidRPr="00EB4D74" w:rsidRDefault="008B1196" w:rsidP="008B1196">
      <w:pPr>
        <w:tabs>
          <w:tab w:val="num" w:pos="0"/>
        </w:tabs>
        <w:rPr>
          <w:rFonts w:cs="Tahoma"/>
          <w:lang w:val="it-IT"/>
        </w:rPr>
      </w:pPr>
      <w:r w:rsidRPr="00EB4D74">
        <w:rPr>
          <w:rFonts w:cs="Tahoma"/>
          <w:szCs w:val="18"/>
          <w:lang w:val="pt-BR"/>
        </w:rPr>
        <w:t>Os clientes qualificados poderão comprar kits de E-Learning em um centro de abastecimento regional se a opção online não for suficiente.</w:t>
      </w:r>
    </w:p>
    <w:p w:rsidR="008B1196" w:rsidRPr="00EB4D74" w:rsidRDefault="008B1196" w:rsidP="008B1196">
      <w:pPr>
        <w:tabs>
          <w:tab w:val="num" w:pos="0"/>
        </w:tabs>
        <w:rPr>
          <w:rFonts w:cs="Tahoma"/>
          <w:lang w:val="it-IT"/>
        </w:rPr>
      </w:pPr>
      <w:r w:rsidRPr="00EB4D74">
        <w:rPr>
          <w:rFonts w:cs="Tahoma"/>
          <w:szCs w:val="18"/>
          <w:lang w:val="pt-BR"/>
        </w:rPr>
        <w:t>A implantação e o uso dos cursos de E-Learning pelos clientes estão sujeitos aos termos e condições de seus contratos de licença.</w:t>
      </w:r>
    </w:p>
    <w:p w:rsidR="008B1196" w:rsidRPr="00EB4D74" w:rsidRDefault="008B1196" w:rsidP="008B1196">
      <w:pPr>
        <w:tabs>
          <w:tab w:val="num" w:pos="0"/>
        </w:tabs>
        <w:rPr>
          <w:rFonts w:cs="Tahoma"/>
          <w:lang w:val="it-IT"/>
        </w:rPr>
      </w:pPr>
    </w:p>
    <w:p w:rsidR="008B1196" w:rsidRPr="00EB4D74" w:rsidRDefault="008B1196" w:rsidP="008B1196">
      <w:pPr>
        <w:rPr>
          <w:rFonts w:cs="Tahoma"/>
          <w:lang w:val="it-IT"/>
        </w:rPr>
      </w:pPr>
      <w:r w:rsidRPr="00EB4D74">
        <w:rPr>
          <w:rFonts w:cs="Tahoma"/>
          <w:b/>
          <w:lang w:val="pt-BR"/>
        </w:rPr>
        <w:t xml:space="preserve">Aplicativos de E-Learning: </w:t>
      </w:r>
      <w:r w:rsidRPr="00EB4D74">
        <w:rPr>
          <w:rFonts w:cs="Tahoma"/>
          <w:lang w:val="pt-BR"/>
        </w:rPr>
        <w:t>os clientes com pacotes do Office Pro Plus para Office 365, Office 365 e Software Assurance para produtos de Aplicativos qualificados estão qualificados a usar cursos de E-Learning hospedados e conteúdo compatível com SCORM.</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lang w:val="pt-BR"/>
        </w:rPr>
        <w:t xml:space="preserve">Sistemas de E-Learning: </w:t>
      </w:r>
      <w:r w:rsidRPr="00EB4D74">
        <w:rPr>
          <w:rFonts w:cs="Tahoma"/>
          <w:lang w:val="pt-BR"/>
        </w:rPr>
        <w:t>os clientes com Windows Intune (Por Dispositivo) e Software Assurance para produtos de Sistema qualificados estão qualificados a usar os cursos de Cliente de E-Learning hospedados e o conteúdo compatível com SCORM.</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lang w:val="pt-BR"/>
        </w:rPr>
        <w:t xml:space="preserve">Servidores de E-Learning: </w:t>
      </w:r>
      <w:r w:rsidRPr="00EB4D74">
        <w:rPr>
          <w:rFonts w:cs="Tahoma"/>
          <w:szCs w:val="18"/>
          <w:lang w:val="pt-BR"/>
        </w:rPr>
        <w:t>os clientes com Software Assurance para produtos de Servidor qualificados estão qualificados a usar os cursos de Servidor de E-Learning hospedados.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854" w:name="_Toc336338235"/>
      <w:bookmarkStart w:id="855" w:name="_Toc342914872"/>
      <w:bookmarkEnd w:id="854"/>
      <w:r w:rsidRPr="00EB4D74">
        <w:rPr>
          <w:rFonts w:ascii="Tahoma" w:hAnsi="Tahoma" w:cs="Tahoma"/>
          <w:lang w:val="pt-BR"/>
        </w:rPr>
        <w:lastRenderedPageBreak/>
        <w:t>Home Use Program</w:t>
      </w:r>
      <w:bookmarkEnd w:id="855"/>
    </w:p>
    <w:p w:rsidR="008B1196" w:rsidRPr="00EB4D74" w:rsidRDefault="008B1196" w:rsidP="008B1196">
      <w:pPr>
        <w:rPr>
          <w:rFonts w:cs="Tahoma"/>
          <w:lang w:val="it-IT"/>
        </w:rPr>
      </w:pPr>
    </w:p>
    <w:p w:rsidR="008B1196" w:rsidRPr="00EB4D74" w:rsidRDefault="008B1196" w:rsidP="008B1196">
      <w:pPr>
        <w:pStyle w:val="AppendixBodyText"/>
        <w:spacing w:after="0"/>
        <w:rPr>
          <w:rFonts w:ascii="Tahoma" w:hAnsi="Tahoma" w:cs="Tahoma"/>
          <w:lang w:val="pt-BR"/>
        </w:rPr>
      </w:pPr>
      <w:r w:rsidRPr="00EB4D74">
        <w:rPr>
          <w:rFonts w:ascii="Tahoma" w:hAnsi="Tahoma" w:cs="Tahoma"/>
          <w:sz w:val="18"/>
          <w:lang w:val="pt-BR"/>
        </w:rPr>
        <w:t xml:space="preserve">Os clientes com cobertura de Software Assurance ativa para produtos de aplicativos de desktop qualificados estão qualificados a participar do Home Use Program**. </w:t>
      </w:r>
      <w:r w:rsidRPr="00EB4D74">
        <w:rPr>
          <w:rFonts w:ascii="Tahoma" w:hAnsi="Tahoma" w:cs="Tahoma"/>
          <w:color w:val="000000"/>
          <w:sz w:val="18"/>
          <w:lang w:val="pt-BR"/>
        </w:rPr>
        <w:t>Sob o Home Use Program, os funcionários dos clientes, que são usuários dos aplicativos qualificados licenciados, podem adquirir uma única licença para o software do Home Use Program correspondente, a ser instalado em um computador doméstico. Os termos de licença para esse software permitem que o usuário principal do computador doméstico instale e utilize outra cópia em um dispositivo portátil. Contanto que os funcionários primeiro obtenham as chaves de licença apropriadas do Home Use Program com a Microsoft, os clientes podem permitir que seus funcionários instalem o software do Home Use Program correspondente, que é adquirido pelos clientes sob seus contratos de licenciamento por volume, nos computadores domésticos dos funcionários e em dispositivos móveis das instalações dos clientes. Se uma nova versão for lançada durante o período de uso qualificado, os usuários principais poderão adquirir a versão mais recente para substituir a versão atualmente instalada. Consulte a tabela ou as seções de produtos individuais a seguir para verificar os aplicativos de desktop que qualificam os clientes a participar do Home Use Program. Os aplicativos de desktop disponíveis no Home Use Program também estão identificados na tabela a seguir*.</w:t>
      </w:r>
    </w:p>
    <w:p w:rsidR="008B1196" w:rsidRPr="00EB4D74" w:rsidRDefault="008B1196" w:rsidP="008B1196">
      <w:pPr>
        <w:pStyle w:val="AppendixBodyText"/>
        <w:spacing w:after="0"/>
        <w:rPr>
          <w:rFonts w:ascii="Tahoma" w:hAnsi="Tahoma" w:cs="Tahoma"/>
          <w:lang w:val="pt-BR"/>
        </w:rPr>
      </w:pPr>
    </w:p>
    <w:p w:rsidR="008B1196" w:rsidRPr="00EB4D74" w:rsidRDefault="008B1196" w:rsidP="008B1196">
      <w:pPr>
        <w:pStyle w:val="AppendixFlushBulletedList"/>
        <w:tabs>
          <w:tab w:val="clear" w:pos="360"/>
        </w:tabs>
        <w:ind w:left="0" w:firstLine="0"/>
        <w:rPr>
          <w:rFonts w:ascii="Tahoma" w:hAnsi="Tahoma" w:cs="Tahoma"/>
          <w:lang w:val="it-IT"/>
        </w:rPr>
      </w:pPr>
      <w:r w:rsidRPr="00EB4D74">
        <w:rPr>
          <w:rFonts w:ascii="Tahoma" w:hAnsi="Tahoma" w:cs="Tahoma"/>
          <w:sz w:val="18"/>
          <w:szCs w:val="18"/>
          <w:lang w:val="pt-BR"/>
        </w:rPr>
        <w:t>A qualificação dos clientes para participar do Home Use Program se encerra com o término ou a rescisão da cobertura do Software Assurance dos aplicativos de desktop qualificados. A Microsoft pode rescindir a participação de um cliente no Home Use Program, de maneira imediata e sem aviso, em razão de acesso a ou o licenciamento não autorizado por meio do site do Home Use Program com o código de programa do cliente.</w:t>
      </w:r>
    </w:p>
    <w:p w:rsidR="008B1196" w:rsidRPr="00EB4D74" w:rsidRDefault="008B1196" w:rsidP="008B1196">
      <w:pPr>
        <w:pStyle w:val="AppendixFlushBulletedList"/>
        <w:tabs>
          <w:tab w:val="clear" w:pos="360"/>
        </w:tabs>
        <w:ind w:left="0" w:firstLine="0"/>
        <w:rPr>
          <w:rFonts w:ascii="Tahoma" w:hAnsi="Tahoma" w:cs="Tahoma"/>
          <w:sz w:val="18"/>
          <w:szCs w:val="18"/>
          <w:lang w:val="it-IT"/>
        </w:rPr>
      </w:pPr>
    </w:p>
    <w:p w:rsidR="008B1196" w:rsidRPr="00EB4D74" w:rsidRDefault="008B1196" w:rsidP="008B1196">
      <w:pPr>
        <w:pStyle w:val="AppendixFlushBulletedList"/>
        <w:tabs>
          <w:tab w:val="clear" w:pos="360"/>
        </w:tabs>
        <w:ind w:left="0" w:firstLine="0"/>
        <w:rPr>
          <w:rFonts w:ascii="Tahoma" w:hAnsi="Tahoma" w:cs="Tahoma"/>
          <w:lang w:val="it-IT"/>
        </w:rPr>
      </w:pPr>
      <w:r w:rsidRPr="00EB4D74">
        <w:rPr>
          <w:rFonts w:ascii="Tahoma" w:hAnsi="Tahoma" w:cs="Tahoma"/>
          <w:sz w:val="18"/>
          <w:szCs w:val="18"/>
          <w:lang w:val="pt-BR"/>
        </w:rPr>
        <w:t xml:space="preserve">O número de licenças do Home Use Program que pode ser adquirido para qualquer aplicativo de desktop determinado é limitado ao número de licenças de aplicativos de desktop qualificados correspondentes para os quais o cliente adquirir o Software Assurance. </w:t>
      </w:r>
      <w:r w:rsidRPr="00EB4D74">
        <w:rPr>
          <w:rFonts w:ascii="Tahoma" w:hAnsi="Tahoma" w:cs="Tahoma"/>
          <w:sz w:val="18"/>
          <w:lang w:val="pt-BR"/>
        </w:rPr>
        <w:t>Sob o Home Use Program, os direitos de uso de um funcionário estão relacionados ao vínculo empregatício contínuo com o Cliente e eles se encerram com a rescisão do emprego, a rescisão ou o término da cobertura do Software Assurance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8B1196" w:rsidRPr="00EB4D74" w:rsidRDefault="008B1196" w:rsidP="008B1196">
      <w:pPr>
        <w:pStyle w:val="AppendixFlushBulletedList"/>
        <w:tabs>
          <w:tab w:val="clear" w:pos="360"/>
        </w:tabs>
        <w:ind w:left="0" w:firstLine="0"/>
        <w:rPr>
          <w:rFonts w:ascii="Tahoma" w:hAnsi="Tahoma" w:cs="Tahoma"/>
          <w:sz w:val="18"/>
          <w:szCs w:val="18"/>
          <w:lang w:val="it-IT"/>
        </w:rPr>
      </w:pPr>
    </w:p>
    <w:p w:rsidR="008B1196" w:rsidRPr="00EB4D74" w:rsidRDefault="008B1196" w:rsidP="008B1196">
      <w:pPr>
        <w:pStyle w:val="AppendixFlushBulletedList"/>
        <w:tabs>
          <w:tab w:val="clear" w:pos="360"/>
        </w:tabs>
        <w:ind w:left="0" w:firstLine="0"/>
        <w:rPr>
          <w:rFonts w:ascii="Tahoma" w:hAnsi="Tahoma" w:cs="Tahoma"/>
          <w:lang w:val="pt-BR"/>
        </w:rPr>
      </w:pPr>
      <w:r w:rsidRPr="00EB4D74">
        <w:rPr>
          <w:rFonts w:ascii="Tahoma" w:hAnsi="Tahoma" w:cs="Tahoma"/>
          <w:sz w:val="18"/>
          <w:szCs w:val="18"/>
          <w:lang w:val="pt-BR"/>
        </w:rPr>
        <w:t xml:space="preserve">Os clientes não são responsáveis pela conformidade de seus funcionários individuais com os termos de licença de usuário final do Home Use Program. Esses termos são firmados entre a Microsoft e o funcionário do cliente e são diferentes dos direitos fornecidos sob as Licenças de Volume do cliente (por exemplo, o funcionário pode instalar apenas uma cópia do software do HUP). </w:t>
      </w:r>
      <w:r w:rsidRPr="00EB4D74">
        <w:rPr>
          <w:rFonts w:ascii="Tahoma" w:hAnsi="Tahoma" w:cs="Tahoma"/>
          <w:sz w:val="18"/>
          <w:lang w:val="pt-BR"/>
        </w:rPr>
        <w:t>Solicitamos que os clientes limitem o acesso ao Home Use Program a funcionários e os informem sobre quando eles devem descontinuar o uso do software do Home Use Program juntamente com um lapso na cobertura do Software Assurance ou na rescisão do emprego.</w:t>
      </w:r>
    </w:p>
    <w:p w:rsidR="008B1196" w:rsidRPr="00EB4D74" w:rsidRDefault="008B1196" w:rsidP="008B1196">
      <w:pPr>
        <w:pStyle w:val="AppendixFlushBulletedList"/>
        <w:tabs>
          <w:tab w:val="clear" w:pos="360"/>
        </w:tabs>
        <w:ind w:left="0" w:firstLine="0"/>
        <w:rPr>
          <w:rFonts w:ascii="Tahoma" w:hAnsi="Tahoma" w:cs="Tahoma"/>
          <w:sz w:val="18"/>
          <w:szCs w:val="18"/>
          <w:lang w:val="pt-BR"/>
        </w:rPr>
      </w:pPr>
    </w:p>
    <w:p w:rsidR="008B1196" w:rsidRPr="00EB4D74" w:rsidRDefault="008B1196" w:rsidP="008B1196">
      <w:pPr>
        <w:rPr>
          <w:rFonts w:cs="Tahoma"/>
          <w:lang w:val="it-IT"/>
        </w:rPr>
      </w:pPr>
      <w:r w:rsidRPr="00EB4D74">
        <w:rPr>
          <w:rFonts w:cs="Tahoma"/>
          <w:color w:val="000000"/>
          <w:szCs w:val="18"/>
          <w:lang w:val="pt-BR"/>
        </w:rPr>
        <w:t xml:space="preserve">A participação nesse programa pode ter implicações de tributos para o cliente e seus funcionários. O cliente pode desejar contatar um consultor tributarista antes de usar esse benefício. </w:t>
      </w:r>
      <w:r w:rsidRPr="00EB4D74">
        <w:rPr>
          <w:rFonts w:cs="Tahoma"/>
          <w:color w:val="000000"/>
          <w:lang w:val="pt-BR"/>
        </w:rPr>
        <w:t>A Microsoft não assume nenhuma responsabilidade pela conformidade com qualquer obrigação de benefício de trabalho, tributo ou relatório que o cliente ou seus funcionários possam ter.</w:t>
      </w:r>
    </w:p>
    <w:p w:rsidR="008B1196" w:rsidRPr="00EB4D74" w:rsidRDefault="008B1196" w:rsidP="008B1196">
      <w:pPr>
        <w:rPr>
          <w:rFonts w:cs="Tahoma"/>
          <w:lang w:val="it-IT"/>
        </w:rPr>
      </w:pPr>
      <w:r w:rsidRPr="00EB4D74">
        <w:rPr>
          <w:rFonts w:cs="Tahoma"/>
          <w:lang w:val="pt-BR"/>
        </w:rPr>
        <w:t>Os termos adicionais que se aplicam aos funcionários na Nova Zelândia estão definidos a seguir:</w:t>
      </w:r>
    </w:p>
    <w:p w:rsidR="008B1196" w:rsidRPr="00EB4D74" w:rsidRDefault="008B1196" w:rsidP="008B1196">
      <w:pPr>
        <w:spacing w:afterLines="60" w:after="144"/>
        <w:rPr>
          <w:rFonts w:cs="Tahoma"/>
          <w:lang w:val="it-IT"/>
        </w:rPr>
      </w:pPr>
    </w:p>
    <w:p w:rsidR="008B1196" w:rsidRPr="00EB4D74" w:rsidRDefault="008B1196" w:rsidP="008B1196">
      <w:pPr>
        <w:numPr>
          <w:ilvl w:val="0"/>
          <w:numId w:val="19"/>
        </w:numPr>
        <w:tabs>
          <w:tab w:val="left" w:pos="1440"/>
        </w:tabs>
        <w:spacing w:afterLines="60" w:after="144"/>
        <w:ind w:left="1440"/>
        <w:rPr>
          <w:rFonts w:cs="Tahoma"/>
          <w:lang w:val="it-IT"/>
        </w:rPr>
      </w:pPr>
      <w:r w:rsidRPr="00EB4D74">
        <w:rPr>
          <w:rFonts w:cs="Tahoma"/>
          <w:lang w:val="pt-BR"/>
        </w:rPr>
        <w:t>Os clientes não devem exigir nenhum pagamento ou compensação dos funcionários em relação ao HUP nem fazer ou se omitir em fazer qualquer ação que possa resultar em um aumento do custo total de qualquer benefício do HUP para qualquer funcionário na Nova Zelândia além do valor cobrado pela Microsoft.</w:t>
      </w:r>
    </w:p>
    <w:p w:rsidR="008B1196" w:rsidRPr="00EB4D74" w:rsidRDefault="008B1196" w:rsidP="008B1196">
      <w:pPr>
        <w:numPr>
          <w:ilvl w:val="0"/>
          <w:numId w:val="19"/>
        </w:numPr>
        <w:tabs>
          <w:tab w:val="left" w:pos="1440"/>
        </w:tabs>
        <w:spacing w:afterLines="60" w:after="144"/>
        <w:ind w:left="1440"/>
        <w:rPr>
          <w:rFonts w:cs="Tahoma"/>
          <w:lang w:val="it-IT"/>
        </w:rPr>
      </w:pPr>
      <w:r w:rsidRPr="00EB4D74">
        <w:rPr>
          <w:rFonts w:cs="Tahoma"/>
          <w:lang w:val="pt-BR"/>
        </w:rPr>
        <w:t>Os clientes devem indenizar a Microsoft e suas afiliadas, além de mantê-las livres e isentas de quaisquer custos, despesas, perdas ou danos incorridos pela Microsoft ou suas afiliadas como resultado de uma falha do cliente em cumprir com as obrigações contidas nesta seção.</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szCs w:val="18"/>
          <w:lang w:val="pt-BR"/>
        </w:rPr>
        <w:t xml:space="preserve">A lista de aplicativos de desktop qualificados está sujeita a alterações a qualquer momento, sem aviso prévio, e varia por região ou oferta. </w:t>
      </w:r>
      <w:r w:rsidRPr="00EB4D74">
        <w:rPr>
          <w:rFonts w:cs="Tahoma"/>
          <w:lang w:val="pt-BR"/>
        </w:rPr>
        <w:t>A disponibilidade do software do Home Use Program está sujeita a alterações a qualquer momento, sem aviso, e varia por região, oferta, aplicativo, versão e idioma.</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rPr>
      </w:pPr>
      <w:r w:rsidRPr="00EB4D74">
        <w:rPr>
          <w:rFonts w:cs="Tahoma"/>
          <w:lang w:val="pt-BR"/>
        </w:rPr>
        <w:lastRenderedPageBreak/>
        <w:t>O HUP do Microsoft Office Professional Plus contém os seguintes programas do Microsoft Office:</w:t>
      </w:r>
    </w:p>
    <w:p w:rsidR="008B1196" w:rsidRPr="00EB4D74" w:rsidRDefault="008B1196" w:rsidP="008B1196">
      <w:pPr>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8B1196" w:rsidRPr="00EB4D74" w:rsidTr="00EA30FC">
        <w:trPr>
          <w:trHeight w:val="60"/>
        </w:trPr>
        <w:tc>
          <w:tcPr>
            <w:tcW w:w="4437" w:type="dxa"/>
            <w:shd w:val="clear" w:color="auto" w:fill="FABF8F"/>
            <w:tcMar>
              <w:top w:w="0" w:type="dxa"/>
              <w:left w:w="108" w:type="dxa"/>
              <w:bottom w:w="0" w:type="dxa"/>
              <w:right w:w="108" w:type="dxa"/>
            </w:tcMar>
            <w:vAlign w:val="center"/>
          </w:tcPr>
          <w:p w:rsidR="008B1196" w:rsidRPr="00EB4D74" w:rsidRDefault="008B1196" w:rsidP="00EA30FC">
            <w:pPr>
              <w:pStyle w:val="appendixtableheadings0"/>
              <w:rPr>
                <w:rFonts w:ascii="Tahoma" w:hAnsi="Tahoma" w:cs="Tahoma"/>
              </w:rPr>
            </w:pPr>
            <w:r w:rsidRPr="00EB4D74">
              <w:rPr>
                <w:rFonts w:ascii="Tahoma" w:hAnsi="Tahoma" w:cs="Tahoma"/>
                <w:color w:val="000000"/>
                <w:sz w:val="20"/>
                <w:lang w:val="pt-BR"/>
              </w:rPr>
              <w:t>Componentes do Office Professional Plus para HUP</w:t>
            </w:r>
          </w:p>
          <w:p w:rsidR="008B1196" w:rsidRPr="00EB4D74" w:rsidRDefault="008B1196" w:rsidP="00EA30FC">
            <w:pPr>
              <w:pStyle w:val="appendixtableheadings0"/>
              <w:rPr>
                <w:rFonts w:ascii="Tahoma" w:hAnsi="Tahoma" w:cs="Tahoma"/>
                <w:color w:val="000000"/>
                <w:sz w:val="20"/>
                <w:szCs w:val="20"/>
              </w:rPr>
            </w:pPr>
          </w:p>
        </w:tc>
      </w:tr>
      <w:tr w:rsidR="008B1196" w:rsidRPr="00EB4D74" w:rsidTr="00EA30FC">
        <w:trPr>
          <w:trHeight w:val="438"/>
        </w:trPr>
        <w:tc>
          <w:tcPr>
            <w:tcW w:w="4437" w:type="dxa"/>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Word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Excel</w:t>
            </w:r>
            <w:r w:rsidRPr="00EB4D74">
              <w:rPr>
                <w:rFonts w:ascii="Tahoma" w:hAnsi="Tahoma" w:cs="Tahoma"/>
                <w:color w:val="000000"/>
                <w:vertAlign w:val="superscript"/>
                <w:lang w:val="pt-BR"/>
              </w:rPr>
              <w:t>®</w:t>
            </w:r>
            <w:r w:rsidRPr="00EB4D74">
              <w:rPr>
                <w:rFonts w:ascii="Tahoma" w:hAnsi="Tahoma" w:cs="Tahoma"/>
                <w:color w:val="000000"/>
                <w:lang w:val="pt-BR"/>
              </w:rPr>
              <w:t xml:space="preserve">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PowerPoint</w:t>
            </w:r>
            <w:r w:rsidRPr="00EB4D74">
              <w:rPr>
                <w:rFonts w:ascii="Tahoma" w:hAnsi="Tahoma" w:cs="Tahoma"/>
                <w:color w:val="000000"/>
                <w:vertAlign w:val="superscript"/>
                <w:lang w:val="pt-BR"/>
              </w:rPr>
              <w:t>®</w:t>
            </w:r>
            <w:r w:rsidRPr="00EB4D74">
              <w:rPr>
                <w:rFonts w:ascii="Tahoma" w:hAnsi="Tahoma" w:cs="Tahoma"/>
                <w:color w:val="000000"/>
                <w:lang w:val="pt-BR"/>
              </w:rPr>
              <w:t xml:space="preserve">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Outlook</w:t>
            </w:r>
            <w:r w:rsidRPr="00EB4D74">
              <w:rPr>
                <w:rFonts w:ascii="Tahoma" w:hAnsi="Tahoma" w:cs="Tahoma"/>
                <w:color w:val="000000"/>
                <w:vertAlign w:val="superscript"/>
                <w:lang w:val="pt-BR"/>
              </w:rPr>
              <w:t>®</w:t>
            </w:r>
            <w:r w:rsidRPr="00EB4D74">
              <w:rPr>
                <w:rFonts w:ascii="Tahoma" w:hAnsi="Tahoma" w:cs="Tahoma"/>
                <w:color w:val="000000"/>
                <w:lang w:val="pt-BR"/>
              </w:rPr>
              <w:t xml:space="preserve">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Publisher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Access</w:t>
            </w:r>
            <w:r w:rsidRPr="00EB4D74">
              <w:rPr>
                <w:rFonts w:ascii="Tahoma" w:hAnsi="Tahoma" w:cs="Tahoma"/>
                <w:color w:val="000000"/>
                <w:vertAlign w:val="superscript"/>
                <w:lang w:val="pt-BR"/>
              </w:rPr>
              <w:t>®</w:t>
            </w:r>
            <w:r w:rsidRPr="00EB4D74">
              <w:rPr>
                <w:rFonts w:ascii="Tahoma" w:hAnsi="Tahoma" w:cs="Tahoma"/>
                <w:color w:val="000000"/>
                <w:lang w:val="pt-BR"/>
              </w:rPr>
              <w:t xml:space="preserve">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OneNote</w:t>
            </w:r>
            <w:r w:rsidRPr="00EB4D74">
              <w:rPr>
                <w:rFonts w:ascii="Tahoma" w:hAnsi="Tahoma" w:cs="Tahoma"/>
                <w:color w:val="000000"/>
                <w:vertAlign w:val="superscript"/>
                <w:lang w:val="pt-BR"/>
              </w:rPr>
              <w:t>®</w:t>
            </w:r>
            <w:r w:rsidRPr="00EB4D74">
              <w:rPr>
                <w:rFonts w:ascii="Tahoma" w:hAnsi="Tahoma" w:cs="Tahoma"/>
                <w:color w:val="000000"/>
                <w:lang w:val="pt-BR"/>
              </w:rPr>
              <w:t xml:space="preserve">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InfoPath</w:t>
            </w:r>
            <w:r w:rsidRPr="00EB4D74">
              <w:rPr>
                <w:rFonts w:ascii="Tahoma" w:hAnsi="Tahoma" w:cs="Tahoma"/>
                <w:color w:val="000000"/>
                <w:vertAlign w:val="superscript"/>
                <w:lang w:val="pt-BR"/>
              </w:rPr>
              <w:t>®</w:t>
            </w:r>
            <w:r w:rsidRPr="00EB4D74">
              <w:rPr>
                <w:rFonts w:ascii="Tahoma" w:hAnsi="Tahoma" w:cs="Tahoma"/>
                <w:color w:val="000000"/>
                <w:lang w:val="pt-BR"/>
              </w:rPr>
              <w:t xml:space="preserve">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Lync 2013</w:t>
            </w:r>
          </w:p>
          <w:p w:rsidR="008B1196" w:rsidRPr="00EB4D74" w:rsidRDefault="008B1196" w:rsidP="00EA30FC">
            <w:pPr>
              <w:pStyle w:val="appendixtabletext0"/>
              <w:rPr>
                <w:rFonts w:ascii="Tahoma" w:hAnsi="Tahoma" w:cs="Tahoma"/>
                <w:color w:val="000000"/>
              </w:rPr>
            </w:pPr>
          </w:p>
        </w:tc>
      </w:tr>
    </w:tbl>
    <w:p w:rsidR="008B1196" w:rsidRPr="00EB4D74" w:rsidRDefault="008B1196" w:rsidP="008B1196">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8B1196" w:rsidRPr="00EB4D74" w:rsidTr="00EA30FC">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pStyle w:val="appendixtableheadings0"/>
              <w:rPr>
                <w:rFonts w:ascii="Tahoma" w:hAnsi="Tahoma" w:cs="Tahoma"/>
                <w:color w:val="000000"/>
                <w:sz w:val="20"/>
                <w:szCs w:val="20"/>
              </w:rPr>
            </w:pPr>
            <w:r w:rsidRPr="00EB4D74">
              <w:rPr>
                <w:rFonts w:ascii="Tahoma" w:hAnsi="Tahoma" w:cs="Tahoma"/>
                <w:color w:val="000000"/>
                <w:sz w:val="20"/>
                <w:szCs w:val="20"/>
                <w:lang w:val="pt-BR"/>
              </w:rPr>
              <w:t>Aplicativo de Desktop Qualificado</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pStyle w:val="appendixtableheadings0"/>
              <w:rPr>
                <w:rFonts w:ascii="Tahoma" w:hAnsi="Tahoma" w:cs="Tahoma"/>
                <w:color w:val="000000"/>
                <w:sz w:val="20"/>
                <w:szCs w:val="20"/>
              </w:rPr>
            </w:pPr>
            <w:r w:rsidRPr="00EB4D74">
              <w:rPr>
                <w:rFonts w:ascii="Tahoma" w:hAnsi="Tahoma" w:cs="Tahoma"/>
                <w:color w:val="000000"/>
                <w:sz w:val="20"/>
                <w:szCs w:val="20"/>
                <w:lang w:val="pt-BR"/>
              </w:rPr>
              <w:t xml:space="preserve">Licença do Home Use Program </w:t>
            </w:r>
            <w:r w:rsidRPr="00EB4D74">
              <w:rPr>
                <w:rFonts w:ascii="Tahoma" w:hAnsi="Tahoma" w:cs="Tahoma"/>
                <w:color w:val="000000"/>
                <w:sz w:val="20"/>
                <w:szCs w:val="20"/>
                <w:lang w:val="pt-BR"/>
              </w:rPr>
              <w:br/>
              <w:t>Correspondente</w:t>
            </w:r>
          </w:p>
        </w:tc>
      </w:tr>
      <w:tr w:rsidR="008B1196" w:rsidRPr="00EB4D74"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Office Standard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Office Professional Plus 2010/2013</w:t>
            </w:r>
          </w:p>
          <w:p w:rsidR="008B1196" w:rsidRPr="00EB4D74" w:rsidRDefault="008B1196" w:rsidP="00EA30FC">
            <w:pPr>
              <w:pStyle w:val="appendixtabletext0"/>
              <w:rPr>
                <w:rFonts w:ascii="Tahoma" w:hAnsi="Tahoma" w:cs="Tahoma"/>
                <w:color w:val="000000"/>
              </w:rPr>
            </w:pPr>
            <w:r w:rsidRPr="00EB4D74">
              <w:rPr>
                <w:rFonts w:ascii="Tahoma" w:hAnsi="Tahoma" w:cs="Tahoma"/>
                <w:color w:val="000000"/>
                <w:lang w:val="pt-BR"/>
              </w:rPr>
              <w:t>Office para Mac 2008 / Office for Mac Standard 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HUP do Office Professional Plus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ou</w:t>
            </w:r>
          </w:p>
          <w:p w:rsidR="008B1196" w:rsidRPr="00EB4D74" w:rsidRDefault="008B1196" w:rsidP="00EA30FC">
            <w:pPr>
              <w:pStyle w:val="appendixtabletext0"/>
              <w:rPr>
                <w:rFonts w:ascii="Tahoma" w:hAnsi="Tahoma" w:cs="Tahoma"/>
                <w:color w:val="000000"/>
              </w:rPr>
            </w:pPr>
            <w:r w:rsidRPr="00EB4D74">
              <w:rPr>
                <w:rFonts w:ascii="Tahoma" w:hAnsi="Tahoma" w:cs="Tahoma"/>
                <w:color w:val="000000"/>
                <w:lang w:val="pt-BR"/>
              </w:rPr>
              <w:t>HUP do Office para Mac Home &amp; Business 2011</w:t>
            </w:r>
          </w:p>
        </w:tc>
      </w:tr>
      <w:tr w:rsidR="008B1196" w:rsidRPr="00EB4D74"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Access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Excel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PowerPoint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InfoPath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OneNote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Outlook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Publisher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Word 2010/2013</w:t>
            </w:r>
          </w:p>
          <w:p w:rsidR="008B1196" w:rsidRPr="00EB4D74" w:rsidRDefault="008B1196" w:rsidP="00EA30F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HUP do Office Professional Plus 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ou</w:t>
            </w:r>
          </w:p>
          <w:p w:rsidR="008B1196" w:rsidRPr="00EB4D74" w:rsidRDefault="008B1196" w:rsidP="00EA30FC">
            <w:pPr>
              <w:pStyle w:val="appendixtabletext0"/>
              <w:rPr>
                <w:rFonts w:ascii="Tahoma" w:hAnsi="Tahoma" w:cs="Tahoma"/>
                <w:color w:val="000000"/>
              </w:rPr>
            </w:pPr>
            <w:r w:rsidRPr="00EB4D74">
              <w:rPr>
                <w:rFonts w:ascii="Tahoma" w:hAnsi="Tahoma" w:cs="Tahoma"/>
                <w:color w:val="000000"/>
                <w:lang w:val="pt-BR"/>
              </w:rPr>
              <w:t>HUP do Office para Mac Home &amp; Business 2011</w:t>
            </w:r>
          </w:p>
        </w:tc>
      </w:tr>
      <w:tr w:rsidR="008B1196" w:rsidRPr="00EB4D74"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Visio Standard 2010/2013</w:t>
            </w:r>
          </w:p>
          <w:p w:rsidR="008B1196" w:rsidRPr="00EB4D74" w:rsidRDefault="008B1196" w:rsidP="00EA30FC">
            <w:pPr>
              <w:pStyle w:val="appendixtabletext0"/>
              <w:rPr>
                <w:rFonts w:ascii="Tahoma" w:hAnsi="Tahoma" w:cs="Tahoma"/>
              </w:rPr>
            </w:pPr>
            <w:r w:rsidRPr="00EB4D74">
              <w:rPr>
                <w:rFonts w:ascii="Tahoma" w:hAnsi="Tahoma" w:cs="Tahoma"/>
                <w:color w:val="000000"/>
                <w:lang w:val="pt-BR"/>
              </w:rPr>
              <w:t>Visio Professional 2010/2013</w:t>
            </w:r>
          </w:p>
          <w:p w:rsidR="008B1196" w:rsidRPr="00EB4D74" w:rsidRDefault="008B1196" w:rsidP="00EA30FC">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HUP do Visio Professional 2013</w:t>
            </w:r>
          </w:p>
          <w:p w:rsidR="008B1196" w:rsidRPr="00EB4D74" w:rsidRDefault="008B1196" w:rsidP="00EA30FC">
            <w:pPr>
              <w:pStyle w:val="appendixtabletext0"/>
              <w:rPr>
                <w:rFonts w:ascii="Tahoma" w:hAnsi="Tahoma" w:cs="Tahoma"/>
                <w:color w:val="000000"/>
              </w:rPr>
            </w:pPr>
          </w:p>
        </w:tc>
      </w:tr>
      <w:tr w:rsidR="008B1196" w:rsidRPr="00EB4D74" w:rsidTr="00EA30FC">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Project Standard 2010/2013</w:t>
            </w:r>
          </w:p>
          <w:p w:rsidR="008B1196" w:rsidRPr="00EB4D74" w:rsidRDefault="008B1196" w:rsidP="00EA30FC">
            <w:pPr>
              <w:pStyle w:val="appendixtabletext0"/>
              <w:rPr>
                <w:rFonts w:ascii="Tahoma" w:hAnsi="Tahoma" w:cs="Tahoma"/>
                <w:color w:val="000000"/>
              </w:rPr>
            </w:pPr>
            <w:r w:rsidRPr="00EB4D74">
              <w:rPr>
                <w:rFonts w:ascii="Tahoma" w:hAnsi="Tahoma" w:cs="Tahoma"/>
                <w:color w:val="000000"/>
                <w:lang w:val="pt-BR"/>
              </w:rPr>
              <w:t>Project Professional 2010/2013</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8B1196" w:rsidRPr="00EB4D74" w:rsidRDefault="008B1196" w:rsidP="00EA30FC">
            <w:pPr>
              <w:pStyle w:val="appendixtabletext0"/>
              <w:rPr>
                <w:rFonts w:ascii="Tahoma" w:hAnsi="Tahoma" w:cs="Tahoma"/>
              </w:rPr>
            </w:pPr>
            <w:r w:rsidRPr="00EB4D74">
              <w:rPr>
                <w:rFonts w:ascii="Tahoma" w:hAnsi="Tahoma" w:cs="Tahoma"/>
                <w:color w:val="000000"/>
                <w:lang w:val="pt-BR"/>
              </w:rPr>
              <w:t>HUP do Project Standard 2013</w:t>
            </w:r>
          </w:p>
          <w:p w:rsidR="008B1196" w:rsidRPr="00EB4D74" w:rsidRDefault="008B1196" w:rsidP="00EA30FC">
            <w:pPr>
              <w:pStyle w:val="appendixtabletext0"/>
              <w:rPr>
                <w:rFonts w:ascii="Tahoma" w:hAnsi="Tahoma" w:cs="Tahoma"/>
                <w:color w:val="000000"/>
              </w:rPr>
            </w:pPr>
          </w:p>
        </w:tc>
      </w:tr>
    </w:tbl>
    <w:p w:rsidR="008B1196" w:rsidRPr="00EB4D74" w:rsidRDefault="008B1196" w:rsidP="008B1196">
      <w:pPr>
        <w:pStyle w:val="AppendixBodyText"/>
        <w:ind w:left="630"/>
        <w:rPr>
          <w:rFonts w:ascii="Tahoma" w:hAnsi="Tahoma" w:cs="Tahoma"/>
        </w:rPr>
      </w:pPr>
      <w:r w:rsidRPr="00EB4D74">
        <w:rPr>
          <w:rFonts w:ascii="Tahoma" w:hAnsi="Tahoma" w:cs="Tahoma"/>
          <w:i/>
          <w:sz w:val="16"/>
          <w:lang w:val="pt-BR"/>
        </w:rPr>
        <w:t>* A disponibilidade do software do Home Use Program varia por região, oferta e idioma.</w:t>
      </w:r>
    </w:p>
    <w:p w:rsidR="008B1196" w:rsidRPr="00EB4D74" w:rsidRDefault="008B1196" w:rsidP="008B1196">
      <w:pPr>
        <w:pStyle w:val="AppendixBodyText"/>
        <w:ind w:left="630"/>
        <w:rPr>
          <w:rFonts w:ascii="Tahoma" w:hAnsi="Tahoma" w:cs="Tahoma"/>
        </w:rPr>
      </w:pPr>
      <w:r w:rsidRPr="00EB4D74">
        <w:rPr>
          <w:rFonts w:ascii="Tahoma" w:hAnsi="Tahoma" w:cs="Tahoma"/>
          <w:i/>
          <w:sz w:val="16"/>
          <w:lang w:val="pt-BR"/>
        </w:rPr>
        <w:t xml:space="preserve">Para obter mais informações, incluindo informações sobre a disponibilidade futura de software do Home Use Program adicional, consulte o site </w:t>
      </w:r>
      <w:hyperlink r:id="rId14" w:history="1">
        <w:r w:rsidRPr="00EB4D74">
          <w:rPr>
            <w:rFonts w:ascii="Tahoma" w:hAnsi="Tahoma" w:cs="Tahoma"/>
            <w:i/>
            <w:color w:val="0000FF"/>
            <w:sz w:val="16"/>
            <w:u w:val="single"/>
            <w:lang w:val="pt-BR"/>
          </w:rPr>
          <w:t>http://www.microsoft.com/licensing</w:t>
        </w:r>
      </w:hyperlink>
      <w:r w:rsidRPr="00EB4D74">
        <w:rPr>
          <w:rFonts w:ascii="Tahoma" w:hAnsi="Tahoma" w:cs="Tahoma"/>
          <w:i/>
          <w:sz w:val="16"/>
          <w:lang w:val="pt-BR"/>
        </w:rPr>
        <w:t>.</w:t>
      </w:r>
    </w:p>
    <w:p w:rsidR="008B1196" w:rsidRPr="00EB4D74" w:rsidRDefault="008B1196" w:rsidP="008B1196">
      <w:pPr>
        <w:pStyle w:val="AppendixBodyText"/>
        <w:ind w:left="630"/>
        <w:rPr>
          <w:rFonts w:ascii="Tahoma" w:hAnsi="Tahoma" w:cs="Tahoma"/>
        </w:rPr>
      </w:pPr>
      <w:r w:rsidRPr="00EB4D74">
        <w:rPr>
          <w:rFonts w:ascii="Tahoma" w:hAnsi="Tahoma" w:cs="Tahoma"/>
          <w:i/>
          <w:sz w:val="16"/>
          <w:lang w:val="pt-BR"/>
        </w:rPr>
        <w:t>** Observação para clientes de Contrato para Campus e Contrato School e Open Value Subscription - Soluções Educacionais: consulte o contrato CASA (3.5 ou posterior) ou o contrato OVS-ES para obter regras adicionais específicas do programa.</w:t>
      </w:r>
    </w:p>
    <w:p w:rsidR="008B1196" w:rsidRPr="00EB4D74" w:rsidRDefault="008B1196" w:rsidP="008B1196">
      <w:pPr>
        <w:ind w:left="630"/>
        <w:rPr>
          <w:rFonts w:cs="Tahoma"/>
        </w:rPr>
      </w:pPr>
      <w:r w:rsidRPr="00EB4D74">
        <w:rPr>
          <w:rFonts w:cs="Tahoma"/>
          <w:i/>
          <w:sz w:val="16"/>
          <w:lang w:val="pt-BR"/>
        </w:rPr>
        <w:t xml:space="preserve">*** Observe que o SharePoint Designer agora é um produto gratuito disponível para download neste link </w:t>
      </w:r>
      <w:hyperlink r:id="rId15" w:history="1">
        <w:r w:rsidRPr="00EB4D74">
          <w:rPr>
            <w:rStyle w:val="Hyperlink"/>
            <w:rFonts w:cs="Tahoma"/>
            <w:i/>
            <w:sz w:val="16"/>
            <w:lang w:val="pt-BR"/>
          </w:rPr>
          <w:t>http://www.microsoft.com/spd</w:t>
        </w:r>
      </w:hyperlink>
    </w:p>
    <w:p w:rsidR="008B1196" w:rsidRPr="00EB4D74" w:rsidRDefault="008B1196" w:rsidP="008B1196">
      <w:pPr>
        <w:outlineLvl w:val="2"/>
        <w:rPr>
          <w:rFonts w:cs="Tahoma"/>
        </w:rPr>
      </w:pPr>
      <w:bookmarkStart w:id="856" w:name="_Toc281378922"/>
    </w:p>
    <w:bookmarkEnd w:id="856"/>
    <w:p w:rsidR="008B1196" w:rsidRPr="00EB4D74" w:rsidRDefault="008B1196" w:rsidP="008B1196">
      <w:pPr>
        <w:outlineLvl w:val="2"/>
        <w:rPr>
          <w:rFonts w:cs="Tahoma"/>
        </w:rPr>
      </w:pPr>
      <w:r w:rsidRPr="00EB4D74">
        <w:rPr>
          <w:rFonts w:cs="Tahoma"/>
          <w:b/>
          <w:sz w:val="20"/>
          <w:lang w:val="pt-BR"/>
        </w:rPr>
        <w:t>Enterprise Source Licensing Program</w:t>
      </w:r>
    </w:p>
    <w:p w:rsidR="008B1196" w:rsidRPr="00EB4D74" w:rsidRDefault="008B1196" w:rsidP="008B1196">
      <w:pPr>
        <w:outlineLvl w:val="2"/>
        <w:rPr>
          <w:rFonts w:cs="Tahoma"/>
        </w:rPr>
      </w:pPr>
    </w:p>
    <w:p w:rsidR="008B1196" w:rsidRPr="00EB4D74" w:rsidRDefault="008B1196" w:rsidP="008B1196">
      <w:pPr>
        <w:rPr>
          <w:rFonts w:cs="Tahoma"/>
          <w:lang w:val="it-IT"/>
        </w:rPr>
      </w:pPr>
      <w:r w:rsidRPr="00EB4D74">
        <w:rPr>
          <w:rFonts w:cs="Tahoma"/>
          <w:lang w:val="pt-BR"/>
        </w:rPr>
        <w:t>Os clientes no Programa de Membros do Software Assurance e com 1.500 ou mais desktops licenciados no pool de sistemas podem ser qualificados a participar do ESLP (Enterprise Source Licensing Program) durante o prazo de suas coberturas do Software Assurance. O ESLP fornece acesso ao código-fonte do Microsoft Windows para desenvolvimento interno e suporte. O ESLP não está disponível em todos os países e o benefício é concedido por contrato/registro.</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rPr>
      </w:pPr>
      <w:r w:rsidRPr="00EB4D74">
        <w:rPr>
          <w:rFonts w:cs="Tahoma"/>
          <w:lang w:val="pt-BR"/>
        </w:rPr>
        <w:lastRenderedPageBreak/>
        <w:t xml:space="preserve">O formulário de inscrição pode ser baixado no VLSC (Volume Licensing Service Center - Centro de Atendimento de Licenciamento por Volume). A qualificação e as áreas de disponibilidade estão sujeitas aos termos e às condições da Microsoft (consulte </w:t>
      </w:r>
      <w:hyperlink r:id="rId16" w:history="1">
        <w:r w:rsidRPr="00EB4D74">
          <w:rPr>
            <w:rFonts w:cs="Tahoma"/>
            <w:color w:val="0000FF"/>
            <w:u w:val="single"/>
            <w:lang w:val="pt-BR"/>
          </w:rPr>
          <w:t>www.microsoft.com/resources/sharedsource/Licensing/Enterprise.mspx</w:t>
        </w:r>
      </w:hyperlink>
      <w:r w:rsidRPr="00EB4D74">
        <w:rPr>
          <w:rFonts w:cs="Tahoma"/>
          <w:lang w:val="pt-BR"/>
        </w:rPr>
        <w:t xml:space="preserve"> para obter detalhes). Os programas Academic estão qualificados para o Microsoft Research Source Licensing Program.</w:t>
      </w:r>
    </w:p>
    <w:p w:rsidR="008B1196" w:rsidRPr="00EB4D74" w:rsidRDefault="008B1196" w:rsidP="008B1196">
      <w:pPr>
        <w:pStyle w:val="Heading3"/>
        <w:rPr>
          <w:rFonts w:ascii="Tahoma" w:hAnsi="Tahoma" w:cs="Tahoma"/>
          <w:sz w:val="18"/>
          <w:szCs w:val="18"/>
        </w:rPr>
      </w:pPr>
    </w:p>
    <w:p w:rsidR="008B1196" w:rsidRPr="00EB4D74" w:rsidRDefault="008B1196" w:rsidP="008B1196">
      <w:pPr>
        <w:pStyle w:val="Heading3"/>
        <w:rPr>
          <w:rFonts w:ascii="Tahoma" w:hAnsi="Tahoma" w:cs="Tahoma"/>
          <w:lang w:val="it-IT"/>
        </w:rPr>
      </w:pPr>
      <w:bookmarkStart w:id="857" w:name="_Toc336338236"/>
      <w:bookmarkStart w:id="858" w:name="_Toc342914873"/>
      <w:bookmarkEnd w:id="857"/>
      <w:r w:rsidRPr="00EB4D74">
        <w:rPr>
          <w:rFonts w:ascii="Tahoma" w:hAnsi="Tahoma" w:cs="Tahoma"/>
          <w:lang w:val="pt-BR"/>
        </w:rPr>
        <w:t>Suporte para Resolução de Problemas 24x7</w:t>
      </w:r>
      <w:bookmarkEnd w:id="858"/>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szCs w:val="18"/>
          <w:lang w:val="pt-BR"/>
        </w:rPr>
        <w:t>Os clientes (que não forem de Contratos para Campus e School e Open Value Subscription – Soluções Educacionais) com cobertura do Software Assurance estão qualificados ao Suporte para Resolução de Problemas 24 horas por dia, 7 dias por semana durante o prazo de suas coberturas do Software Assurance.</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O Suporte para Resolução de Problemas 24x7 fornece assistência aos problemas com sintomas específicos enfrentados durante o uso de produtos da Microsoft, onde haja uma expectativa razoável de que o problema tenha sido causado por produtos da Microsoft. A Microsoft fará esforços razoáveis para auxiliar os clientes com solicitações de suporte de maneira consistente com as políticas de Suporte a Produtos da Microsoft. A Microsoft se reserva o direito de recusar solicitações não razoáveis de serviços de suporte e, às vezes, poderá indicar aos clientes um contrato de nível de serviço adicional que poderá exigir um custo adicional.</w:t>
      </w: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spacing w:after="0"/>
        <w:rPr>
          <w:rFonts w:ascii="Tahoma" w:hAnsi="Tahoma" w:cs="Tahoma"/>
          <w:lang w:val="pt-BR"/>
        </w:rPr>
      </w:pPr>
      <w:r w:rsidRPr="00EB4D74">
        <w:rPr>
          <w:rFonts w:ascii="Tahoma" w:hAnsi="Tahoma" w:cs="Tahoma"/>
          <w:sz w:val="18"/>
          <w:szCs w:val="18"/>
          <w:lang w:val="pt-BR"/>
        </w:rPr>
        <w:t>A Microsoft poderá acrescentar suporte a novos produtos ou descontinuar o suporte a produtos existentes. Podem haver casos em que a implementação de produtos da Microsoft feita por um cliente não tenha suporte de maneira eficiente. Como parte do fornecimento de serviços de suporte, a Microsoft notificará o cliente caso chegue a essa conclusão. Se o cliente não modificar a implementação para torná-la passível de suporte de forma eficaz dentro de 30 dias após a notificação, a Microsoft não estará obrigada a fornecer serviços de suporte adicionais para tal implementação. Entretanto, a Microsoft continuará a fornecer suporte às outras implementações do cliente passíveis de suporte cobertas por esses termos e condições.</w:t>
      </w: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w:t>
      </w:r>
      <w:r w:rsidRPr="00EB4D74">
        <w:rPr>
          <w:rFonts w:ascii="Tahoma" w:hAnsi="Tahoma" w:cs="Tahoma"/>
          <w:sz w:val="18"/>
          <w:lang w:val="pt-BR"/>
        </w:rPr>
        <w:t>Em determinadas situações, poderemos fornecer aos clientes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dos clientes e não são testados quanto à regressão. Salvo definição em contrário neste documento, os Hotfixes não podem ser distribuídos a terceiros não afiliados sem a autorização por escrito da Microsoft.</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rPr>
      </w:pPr>
      <w:r w:rsidRPr="00EB4D74">
        <w:rPr>
          <w:rFonts w:ascii="Tahoma" w:hAnsi="Tahoma" w:cs="Tahoma"/>
          <w:sz w:val="18"/>
          <w:lang w:val="pt-BR"/>
        </w:rPr>
        <w:t xml:space="preserve">Os produtos disponibilizados por meio de Licenciamento por Volume e que estejam atualmente no Suporte Base, conforme estabelecido no site </w:t>
      </w:r>
      <w:hyperlink r:id="rId17" w:history="1">
        <w:r w:rsidRPr="00EB4D74">
          <w:rPr>
            <w:rStyle w:val="Hyperlink"/>
            <w:rFonts w:ascii="Tahoma" w:hAnsi="Tahoma" w:cs="Tahoma"/>
            <w:sz w:val="18"/>
            <w:lang w:val="pt-BR"/>
          </w:rPr>
          <w:t>Microsoft's Support Lifecycle Policy</w:t>
        </w:r>
      </w:hyperlink>
      <w:r w:rsidRPr="00EB4D74">
        <w:rPr>
          <w:rFonts w:ascii="Tahoma" w:hAnsi="Tahoma" w:cs="Tahoma"/>
          <w:sz w:val="18"/>
          <w:lang w:val="pt-BR"/>
        </w:rPr>
        <w:t xml:space="preserve">, estão qualificados ao Suporte para Resolução de Problemas 24 horas por dia, 7 dias por semana. </w:t>
      </w:r>
      <w:r w:rsidRPr="00EB4D74">
        <w:rPr>
          <w:rFonts w:ascii="Tahoma" w:hAnsi="Tahoma" w:cs="Tahoma"/>
          <w:color w:val="000000"/>
          <w:sz w:val="18"/>
          <w:lang w:val="pt-BR"/>
        </w:rPr>
        <w:t>A qualificação de produtos ao suporte por telefone está vinculada à disponibilidade da oferta do Software Assurance para o produto. No caso de produtos para os quais nenhuma opção de Software Assurance está disponível para o servidor, mas apenas para CALs, o gasto de SA com CALs é contabilizado nos incidentes a serem usados para outros produtos qualificados, conforme indicado a seguir na seção Prêmios de Incidentes de Suporte pelo Telefone. Consulte a seção específica do produto neste documento para verificar a política de serviço e suporte. Versões anteriores de produtos atualmente no Suporte Base que foram escolhidos pelos clientes para serem usados em vez da versão licenciada atual também estão qualificadas. A edição Developer Edition de todos os servidores, os produtos HED e as Assinaturas do MSDN estão excluídos.</w:t>
      </w: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AppendixBodyText"/>
        <w:spacing w:after="0"/>
        <w:rPr>
          <w:rFonts w:ascii="Tahoma" w:hAnsi="Tahoma" w:cs="Tahoma"/>
          <w:lang w:val="pt-BR"/>
        </w:rPr>
      </w:pPr>
      <w:r w:rsidRPr="00EB4D74">
        <w:rPr>
          <w:rFonts w:ascii="Tahoma" w:hAnsi="Tahoma" w:cs="Tahoma"/>
          <w:sz w:val="18"/>
          <w:szCs w:val="18"/>
          <w:lang w:val="pt-BR"/>
        </w:rPr>
        <w:t xml:space="preserve">A Microsoft poderá usar em sua base de conhecimento qualquer informação técnica derivada do fornecimento de serviços relacionados a seus produtos para fins de resolução de problemas, melhorias e consertos de funcionalidades de produtos. A Microsoft concorda em não identificar o cliente nem divulgar nenhuma informação confidencial dele em nenhum item da base de conhecimento. A Microsoft não está obrigada a restringir as atribuições de trabalho futuras de pessoas que tiveram acesso a informações confidenciais do cliente. </w:t>
      </w:r>
      <w:r w:rsidRPr="00EB4D74">
        <w:rPr>
          <w:rFonts w:ascii="Tahoma" w:hAnsi="Tahoma" w:cs="Tahoma"/>
          <w:sz w:val="18"/>
          <w:lang w:val="pt-BR"/>
        </w:rPr>
        <w:t>Além disso, o cliente, a Microsoft e essas pessoas estão livres para usar as informações de que se lembrarem relacionadas à tecnologia de informação, incluindo ideias, conceitos, experiências ou técnicas, contanto que as informações confidenciais da outra parte não sejam divulgadas durante tal uso.</w:t>
      </w: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AppendixBodyText"/>
        <w:spacing w:after="0"/>
        <w:rPr>
          <w:rFonts w:ascii="Tahoma" w:hAnsi="Tahoma" w:cs="Tahoma"/>
          <w:spacing w:val="-2"/>
          <w:lang w:val="it-IT"/>
        </w:rPr>
      </w:pPr>
      <w:r w:rsidRPr="00EB4D74">
        <w:rPr>
          <w:rFonts w:ascii="Tahoma" w:hAnsi="Tahoma" w:cs="Tahoma"/>
          <w:spacing w:val="-2"/>
          <w:sz w:val="18"/>
          <w:szCs w:val="18"/>
          <w:lang w:val="pt-BR"/>
        </w:rPr>
        <w:lastRenderedPageBreak/>
        <w:t xml:space="preserve">O direito do cliente de usar quaisquer correções que a Microsoft possa fornecer durante a execução de serviços é regido pelo contrato de licença do produto afetado ou, se a correção não for fornecida para um produto específico, será regido por outros termos de uso fornecidos pela Microsoft. </w:t>
      </w:r>
      <w:r w:rsidRPr="00EB4D74">
        <w:rPr>
          <w:rFonts w:ascii="Tahoma" w:hAnsi="Tahoma" w:cs="Tahoma"/>
          <w:spacing w:val="-2"/>
          <w:sz w:val="18"/>
          <w:lang w:val="pt-BR"/>
        </w:rPr>
        <w:t>Todas as correções fornecidas são licenciadas para o cliente.</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O suporte pode ser iniciado por meio do envio de incidentes de maneira eletrônica via Web ou por telefone. Cláusulas diferentes aplicam-se a cada tipo de meio. </w:t>
      </w:r>
      <w:r w:rsidRPr="00EB4D74">
        <w:rPr>
          <w:rFonts w:ascii="Tahoma" w:hAnsi="Tahoma" w:cs="Tahoma"/>
          <w:sz w:val="18"/>
          <w:lang w:val="pt-BR"/>
        </w:rPr>
        <w:t>O Suporte para Resolução de Problemas 24x7 premia os clientes com uma quantidade de incidentes e contatos para iniciar tais incidentes, conforme descrito a seguir.</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rPr>
          <w:rFonts w:cs="Tahoma"/>
          <w:lang w:val="it-IT"/>
        </w:rPr>
      </w:pPr>
      <w:bookmarkStart w:id="859" w:name="_Toc240899163"/>
      <w:bookmarkEnd w:id="859"/>
      <w:r w:rsidRPr="00EB4D74">
        <w:rPr>
          <w:rFonts w:cs="Tahoma"/>
          <w:b/>
          <w:sz w:val="20"/>
          <w:lang w:val="pt-BR"/>
        </w:rPr>
        <w:t>Prêmios de Incidentes de Suporte pelo Telefone</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O número de incidentes de suporte por telefone permitidos varia por cliente com base em seus gastos de SA e sua forma de pagamento. Para esses fins, “gastos de SA” não são literalmente os gastos reais em dólares do cliente. Trata-se de uma aproximação do que um cliente gastou na cobertura de Software Assurance para esses produtos. </w:t>
      </w:r>
      <w:r w:rsidRPr="00EB4D74">
        <w:rPr>
          <w:rFonts w:ascii="Tahoma" w:hAnsi="Tahoma" w:cs="Tahoma"/>
          <w:sz w:val="18"/>
          <w:lang w:val="pt-BR"/>
        </w:rPr>
        <w:t>Para os clientes sob programas de assinatura, esses gastos são uma aproximação do valor total em dólares que o cliente gastou com o licenciamento desses produtos sob seu registro ou contrato. O incidente complementar é concedido de acordo com os registros Enterprise e Select, o registro Select Plus e o contrato Open Value com cobertura do SA a pelo menos um produto de software de Servidor qualificado.</w:t>
      </w:r>
    </w:p>
    <w:p w:rsidR="008B1196" w:rsidRPr="00EB4D74" w:rsidRDefault="008B1196" w:rsidP="008B1196">
      <w:pPr>
        <w:pStyle w:val="AppendixBodyText"/>
        <w:spacing w:after="0"/>
        <w:rPr>
          <w:rFonts w:ascii="Tahoma" w:hAnsi="Tahoma" w:cs="Tahoma"/>
          <w:lang w:val="it-IT"/>
        </w:rPr>
      </w:pPr>
    </w:p>
    <w:tbl>
      <w:tblPr>
        <w:tblW w:w="88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99"/>
        <w:gridCol w:w="990"/>
        <w:gridCol w:w="3033"/>
        <w:gridCol w:w="2889"/>
      </w:tblGrid>
      <w:tr w:rsidR="008B1196" w:rsidRPr="00EB4D74" w:rsidTr="00EA30FC">
        <w:trPr>
          <w:trHeight w:val="178"/>
          <w:tblHeader/>
        </w:trPr>
        <w:tc>
          <w:tcPr>
            <w:tcW w:w="1899"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BodyText"/>
              <w:rPr>
                <w:rFonts w:ascii="Tahoma" w:hAnsi="Tahoma" w:cs="Tahoma"/>
                <w:b/>
                <w:bCs/>
              </w:rPr>
            </w:pPr>
            <w:r w:rsidRPr="00EB4D74">
              <w:rPr>
                <w:rFonts w:ascii="Tahoma" w:hAnsi="Tahoma" w:cs="Tahoma"/>
                <w:b/>
                <w:bCs/>
                <w:lang w:val="pt-BR"/>
              </w:rPr>
              <w:t>Nome da Moeda</w:t>
            </w:r>
          </w:p>
        </w:tc>
        <w:tc>
          <w:tcPr>
            <w:tcW w:w="990"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BodyText"/>
              <w:rPr>
                <w:rFonts w:ascii="Tahoma" w:hAnsi="Tahoma" w:cs="Tahoma"/>
                <w:b/>
                <w:bCs/>
              </w:rPr>
            </w:pPr>
            <w:r w:rsidRPr="00EB4D74">
              <w:rPr>
                <w:rFonts w:ascii="Tahoma" w:hAnsi="Tahoma" w:cs="Tahoma"/>
                <w:b/>
                <w:bCs/>
                <w:lang w:val="pt-BR"/>
              </w:rPr>
              <w:t>Código da Moeda</w:t>
            </w:r>
          </w:p>
        </w:tc>
        <w:tc>
          <w:tcPr>
            <w:tcW w:w="3033"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BodyText"/>
              <w:rPr>
                <w:rFonts w:ascii="Tahoma" w:hAnsi="Tahoma" w:cs="Tahoma"/>
              </w:rPr>
            </w:pPr>
            <w:r w:rsidRPr="00EB4D74">
              <w:rPr>
                <w:rFonts w:ascii="Tahoma" w:hAnsi="Tahoma" w:cs="Tahoma"/>
                <w:b/>
                <w:lang w:val="pt-BR"/>
              </w:rPr>
              <w:t>Servidor/CAL</w:t>
            </w:r>
          </w:p>
          <w:p w:rsidR="008B1196" w:rsidRPr="00EB4D74" w:rsidRDefault="008B1196" w:rsidP="00EA30FC">
            <w:pPr>
              <w:pStyle w:val="AppendixBodyText"/>
              <w:rPr>
                <w:rFonts w:ascii="Tahoma" w:hAnsi="Tahoma" w:cs="Tahoma"/>
                <w:b/>
                <w:bCs/>
              </w:rPr>
            </w:pPr>
            <w:r w:rsidRPr="00EB4D74">
              <w:rPr>
                <w:rFonts w:ascii="Tahoma" w:hAnsi="Tahoma" w:cs="Tahoma"/>
                <w:b/>
                <w:bCs/>
                <w:lang w:val="pt-BR"/>
              </w:rPr>
              <w:t>Incrementos de Prêmios de</w:t>
            </w:r>
            <w:r>
              <w:rPr>
                <w:rFonts w:ascii="Tahoma" w:hAnsi="Tahoma" w:cs="Tahoma"/>
                <w:b/>
                <w:bCs/>
                <w:lang w:val="pt-BR"/>
              </w:rPr>
              <w:t> </w:t>
            </w:r>
            <w:r w:rsidRPr="00EB4D74">
              <w:rPr>
                <w:rFonts w:ascii="Tahoma" w:hAnsi="Tahoma" w:cs="Tahoma"/>
                <w:b/>
                <w:bCs/>
                <w:lang w:val="pt-BR"/>
              </w:rPr>
              <w:t>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8B1196" w:rsidRPr="00EB4D74" w:rsidRDefault="008B1196" w:rsidP="00EA30FC">
            <w:pPr>
              <w:pStyle w:val="AppendixBodyText"/>
              <w:rPr>
                <w:rFonts w:ascii="Tahoma" w:hAnsi="Tahoma" w:cs="Tahoma"/>
                <w:lang w:val="it-IT"/>
              </w:rPr>
            </w:pPr>
            <w:r w:rsidRPr="00EB4D74">
              <w:rPr>
                <w:rFonts w:ascii="Tahoma" w:hAnsi="Tahoma" w:cs="Tahoma"/>
                <w:b/>
                <w:lang w:val="pt-BR"/>
              </w:rPr>
              <w:t>IW/Cliente</w:t>
            </w:r>
          </w:p>
          <w:p w:rsidR="008B1196" w:rsidRPr="00EB4D74" w:rsidRDefault="008B1196" w:rsidP="00EA30FC">
            <w:pPr>
              <w:pStyle w:val="AppendixBodyText"/>
              <w:rPr>
                <w:rFonts w:ascii="Tahoma" w:hAnsi="Tahoma" w:cs="Tahoma"/>
                <w:b/>
                <w:bCs/>
                <w:lang w:val="it-IT"/>
              </w:rPr>
            </w:pPr>
            <w:r w:rsidRPr="00EB4D74">
              <w:rPr>
                <w:rFonts w:ascii="Tahoma" w:hAnsi="Tahoma" w:cs="Tahoma"/>
                <w:b/>
                <w:bCs/>
                <w:lang w:val="pt-BR"/>
              </w:rPr>
              <w:t>Incrementos de Prêmios de Incidentes</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Americano</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USD</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$200.000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Australiano</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AUD</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30.000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300.000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Canadense</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CAD</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27.000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270.000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Franco Suíço</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CHF</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 Fr.</w:t>
            </w:r>
            <w:r w:rsidRPr="00EB4D74">
              <w:rPr>
                <w:rFonts w:ascii="Tahoma" w:hAnsi="Tahoma" w:cs="Tahoma"/>
                <w:sz w:val="18"/>
                <w:szCs w:val="18"/>
              </w:rPr>
              <w:t xml:space="preserve"> 33.000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 Fr.</w:t>
            </w:r>
            <w:r w:rsidRPr="00EB4D74">
              <w:rPr>
                <w:rFonts w:ascii="Tahoma" w:hAnsi="Tahoma" w:cs="Tahoma"/>
                <w:sz w:val="18"/>
                <w:szCs w:val="18"/>
              </w:rPr>
              <w:t xml:space="preserve"> 330.000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Iuan Renmimbi (China)</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CNY</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CRC 165.000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CRC 1.650.000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Coroa Dinamarquesa</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DKK</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 160.000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 1.600.000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Euro</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EUR</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21.500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215.000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Libra Esterlina</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GBP</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£13.500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£135.000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Iene Japonês</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JPY</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JPY 2.400.000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JPY 24.000.000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Won Coreano</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KRW</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KWD 24.000.000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KWD 240.000.000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Coroa Norueguesa</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NOK</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 165.000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 1.650.000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Neozelandês</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NZD</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35.000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350.000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Coroa Sueca</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SEK</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 200.000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kr 2.000.000</w:t>
            </w:r>
          </w:p>
        </w:tc>
      </w:tr>
      <w:tr w:rsidR="008B1196" w:rsidRPr="00EB4D74" w:rsidTr="00EA30FC">
        <w:trPr>
          <w:trHeight w:val="236"/>
        </w:trPr>
        <w:tc>
          <w:tcPr>
            <w:tcW w:w="189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Novo Dólar Taiwanês</w:t>
            </w:r>
          </w:p>
        </w:tc>
        <w:tc>
          <w:tcPr>
            <w:tcW w:w="990"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TWD</w:t>
            </w:r>
          </w:p>
        </w:tc>
        <w:tc>
          <w:tcPr>
            <w:tcW w:w="3033"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NTD 700.000</w:t>
            </w:r>
          </w:p>
        </w:tc>
        <w:tc>
          <w:tcPr>
            <w:tcW w:w="2889"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NTD 7.000.000</w:t>
            </w:r>
          </w:p>
        </w:tc>
      </w:tr>
      <w:tr w:rsidR="008B1196" w:rsidRPr="00EB4D74" w:rsidTr="00EA30FC">
        <w:trPr>
          <w:trHeight w:val="236"/>
        </w:trPr>
        <w:tc>
          <w:tcPr>
            <w:tcW w:w="189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Rúpia Indiana</w:t>
            </w:r>
          </w:p>
        </w:tc>
        <w:tc>
          <w:tcPr>
            <w:tcW w:w="990"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INR</w:t>
            </w:r>
          </w:p>
        </w:tc>
        <w:tc>
          <w:tcPr>
            <w:tcW w:w="3033"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INR 1.000.000</w:t>
            </w:r>
          </w:p>
        </w:tc>
        <w:tc>
          <w:tcPr>
            <w:tcW w:w="288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INR 10.000.000</w:t>
            </w:r>
          </w:p>
        </w:tc>
      </w:tr>
      <w:tr w:rsidR="008B1196" w:rsidRPr="00EB4D74" w:rsidTr="00EA30FC">
        <w:trPr>
          <w:trHeight w:val="236"/>
        </w:trPr>
        <w:tc>
          <w:tcPr>
            <w:tcW w:w="189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Rublo Russo</w:t>
            </w:r>
          </w:p>
        </w:tc>
        <w:tc>
          <w:tcPr>
            <w:tcW w:w="990"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RUB</w:t>
            </w:r>
          </w:p>
        </w:tc>
        <w:tc>
          <w:tcPr>
            <w:tcW w:w="3033"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RUB 660.000</w:t>
            </w:r>
          </w:p>
        </w:tc>
        <w:tc>
          <w:tcPr>
            <w:tcW w:w="288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RUB 6.600.000</w:t>
            </w:r>
          </w:p>
        </w:tc>
      </w:tr>
    </w:tbl>
    <w:p w:rsidR="008B1196" w:rsidRPr="00EB4D74" w:rsidRDefault="008B1196" w:rsidP="008B1196">
      <w:pPr>
        <w:pStyle w:val="AppendixBodyText"/>
        <w:rPr>
          <w:rFonts w:ascii="Tahoma" w:hAnsi="Tahoma" w:cs="Tahoma"/>
          <w:sz w:val="18"/>
          <w:szCs w:val="18"/>
        </w:rPr>
      </w:pPr>
    </w:p>
    <w:p w:rsidR="008B1196" w:rsidRPr="00EB4D74" w:rsidRDefault="008B1196" w:rsidP="008B1196">
      <w:pPr>
        <w:pStyle w:val="AppendixBodyText"/>
        <w:spacing w:after="0"/>
        <w:rPr>
          <w:rFonts w:ascii="Tahoma" w:hAnsi="Tahoma" w:cs="Tahoma"/>
          <w:spacing w:val="-4"/>
          <w:lang w:val="it-IT"/>
        </w:rPr>
      </w:pPr>
      <w:r w:rsidRPr="00EB4D74">
        <w:rPr>
          <w:rFonts w:ascii="Tahoma" w:hAnsi="Tahoma" w:cs="Tahoma"/>
          <w:spacing w:val="-4"/>
          <w:sz w:val="18"/>
          <w:szCs w:val="18"/>
          <w:lang w:val="pt-BR"/>
        </w:rPr>
        <w:t xml:space="preserve">Os incidentes com base em gastos de SA são recebidos com base nos gastos de SA de servidor e desktop sob um registro Select ou Enterprise qualificado, um registro Select Plus, um Contrato Open Value ou um Número de Autorização de Licença Open. </w:t>
      </w:r>
      <w:r w:rsidRPr="00EB4D74">
        <w:rPr>
          <w:rFonts w:ascii="Tahoma" w:hAnsi="Tahoma" w:cs="Tahoma"/>
          <w:spacing w:val="-4"/>
          <w:sz w:val="18"/>
          <w:lang w:val="pt-BR"/>
        </w:rPr>
        <w:t>A cada aproximadamente US$ 20.000 de gastos de SA de Servidor e CAL, concederemos um incidente. A cada aproximadamente US$ 200.000 de gastos de SA em Pools de Sistemas e Aplicativos, concederemos um incidente. A tabela a seguir mostra os equivalentes monetários aproximados para prêmios com base em gastos de SA de contratos com base em moedas que não sejam o USD. Devido à flutuação das taxas de câmbio, essa tabela está sujeita a alterações.</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Os incidentes são alocados sobre o prazo da cobertura do Software Assurance com base na forma de pagamento. Os contratos que refletem pagamentos em parcelas levarão a incidentes concedidos durante o prazo. Os contratos que refletem pagamentos únicos serão premiados de maneira adiantada. As compras feitas após o pedido inicial levarão a um novo cálculo dos incidentes concedidos e da alocação anual. Os Incidentes de Suporte por Telefone que não forem usados expirarão no término da cobertura do Software Assurance. </w:t>
      </w:r>
      <w:r w:rsidRPr="00EB4D74">
        <w:rPr>
          <w:rFonts w:ascii="Tahoma" w:hAnsi="Tahoma" w:cs="Tahoma"/>
          <w:sz w:val="18"/>
          <w:lang w:val="pt-BR"/>
        </w:rPr>
        <w:t>Os Incidentes de Suporte por Telefone não podem ser transferidos entre registros ou contratos.</w:t>
      </w:r>
    </w:p>
    <w:p w:rsidR="008B1196" w:rsidRPr="00EB4D74" w:rsidRDefault="008B1196" w:rsidP="008B1196">
      <w:pPr>
        <w:pStyle w:val="AppendixBodyText"/>
        <w:spacing w:after="0"/>
        <w:rPr>
          <w:rFonts w:ascii="Tahoma" w:hAnsi="Tahoma" w:cs="Tahoma"/>
        </w:rPr>
      </w:pPr>
      <w:r w:rsidRPr="00EB4D74">
        <w:rPr>
          <w:rFonts w:ascii="Tahoma" w:hAnsi="Tahoma" w:cs="Tahoma"/>
          <w:sz w:val="18"/>
          <w:lang w:val="pt-BR"/>
        </w:rPr>
        <w:lastRenderedPageBreak/>
        <w:t>O acesso ao suporte por telefone local está disponível durante o horário comercial*(1).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Os representantes da Microsoft do cliente podem indicar o horário comercial definido na região ou no país do cliente. A assistência de suporte por telefone não está disponível em todos os idiomas nem em todas as regiões.</w:t>
      </w:r>
    </w:p>
    <w:p w:rsidR="008B1196" w:rsidRPr="00EB4D74" w:rsidRDefault="008B1196" w:rsidP="008B1196">
      <w:pPr>
        <w:pStyle w:val="AppendixBodyText"/>
        <w:spacing w:after="0"/>
        <w:rPr>
          <w:rFonts w:ascii="Tahoma" w:hAnsi="Tahoma" w:cs="Tahoma"/>
          <w:sz w:val="18"/>
          <w:szCs w:val="18"/>
        </w:rPr>
      </w:pPr>
    </w:p>
    <w:tbl>
      <w:tblPr>
        <w:tblW w:w="0" w:type="auto"/>
        <w:tblInd w:w="8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8B1196" w:rsidRPr="00EB4D74" w:rsidTr="00EA30FC">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b/>
                <w:bCs/>
                <w:vertAlign w:val="superscript"/>
              </w:rPr>
            </w:pPr>
            <w:r w:rsidRPr="00EB4D74">
              <w:rPr>
                <w:rFonts w:ascii="Tahoma" w:hAnsi="Tahoma" w:cs="Tahoma"/>
                <w:b/>
                <w:lang w:val="pt-BR"/>
              </w:rPr>
              <w:t>*(1) Variações de Horário Comercial por Região</w:t>
            </w:r>
          </w:p>
        </w:tc>
      </w:tr>
      <w:tr w:rsidR="008B1196" w:rsidRPr="00EB4D74" w:rsidTr="00EA30FC">
        <w:trPr>
          <w:cantSplit/>
          <w:trHeight w:val="20"/>
        </w:trPr>
        <w:tc>
          <w:tcPr>
            <w:tcW w:w="2629" w:type="dxa"/>
            <w:tcBorders>
              <w:top w:val="single" w:sz="8" w:space="0" w:color="auto"/>
            </w:tcBorders>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Américas</w:t>
            </w:r>
          </w:p>
        </w:tc>
        <w:tc>
          <w:tcPr>
            <w:tcW w:w="2081" w:type="dxa"/>
            <w:tcBorders>
              <w:top w:val="single" w:sz="8" w:space="0" w:color="auto"/>
            </w:tcBorders>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Segunda à sexta, das 6h às 18h (PST)</w:t>
            </w:r>
          </w:p>
        </w:tc>
      </w:tr>
      <w:tr w:rsidR="008B1196" w:rsidRPr="00EB4D74" w:rsidTr="00EA30FC">
        <w:trPr>
          <w:cantSplit/>
          <w:trHeight w:val="20"/>
        </w:trPr>
        <w:tc>
          <w:tcPr>
            <w:tcW w:w="262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EMEA</w:t>
            </w:r>
          </w:p>
        </w:tc>
        <w:tc>
          <w:tcPr>
            <w:tcW w:w="2081"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Segunda à sexta, das 8h às 18h (GMT)</w:t>
            </w:r>
          </w:p>
        </w:tc>
      </w:tr>
      <w:tr w:rsidR="008B1196" w:rsidRPr="00EB4D74" w:rsidTr="00EA30FC">
        <w:trPr>
          <w:trHeight w:val="20"/>
        </w:trPr>
        <w:tc>
          <w:tcPr>
            <w:tcW w:w="262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Austrália/Nova Zelândia</w:t>
            </w:r>
          </w:p>
        </w:tc>
        <w:tc>
          <w:tcPr>
            <w:tcW w:w="2081"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Segunda à sexta, das 7h às 18h</w:t>
            </w:r>
          </w:p>
        </w:tc>
      </w:tr>
      <w:tr w:rsidR="008B1196" w:rsidRPr="00EB4D74" w:rsidTr="00EA30FC">
        <w:trPr>
          <w:cantSplit/>
          <w:trHeight w:val="20"/>
        </w:trPr>
        <w:tc>
          <w:tcPr>
            <w:tcW w:w="262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Japão</w:t>
            </w:r>
          </w:p>
        </w:tc>
        <w:tc>
          <w:tcPr>
            <w:tcW w:w="2081"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Segunda à sexta, das 9h30 às 19h</w:t>
            </w:r>
          </w:p>
        </w:tc>
      </w:tr>
      <w:tr w:rsidR="008B1196" w:rsidRPr="00EB4D74" w:rsidTr="00EA30FC">
        <w:trPr>
          <w:cantSplit/>
          <w:trHeight w:val="20"/>
        </w:trPr>
        <w:tc>
          <w:tcPr>
            <w:tcW w:w="2629"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Ásia</w:t>
            </w:r>
          </w:p>
        </w:tc>
        <w:tc>
          <w:tcPr>
            <w:tcW w:w="2081" w:type="dxa"/>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Segunda à sexta, das 9h às 18h</w:t>
            </w:r>
          </w:p>
        </w:tc>
      </w:tr>
    </w:tbl>
    <w:p w:rsidR="008B1196" w:rsidRPr="00EB4D74" w:rsidRDefault="008B1196" w:rsidP="008B1196">
      <w:pPr>
        <w:rPr>
          <w:rFonts w:cs="Tahoma"/>
        </w:rPr>
      </w:pPr>
      <w:bookmarkStart w:id="860" w:name="_Toc240899164"/>
    </w:p>
    <w:bookmarkEnd w:id="860"/>
    <w:p w:rsidR="008B1196" w:rsidRPr="00EB4D74" w:rsidRDefault="008B1196" w:rsidP="008B1196">
      <w:pPr>
        <w:rPr>
          <w:rFonts w:cs="Tahoma"/>
        </w:rPr>
      </w:pPr>
      <w:r w:rsidRPr="00EB4D74">
        <w:rPr>
          <w:rFonts w:cs="Tahoma"/>
          <w:b/>
          <w:sz w:val="20"/>
          <w:lang w:val="pt-BR"/>
        </w:rPr>
        <w:t>Incidentes com base na Web</w:t>
      </w:r>
    </w:p>
    <w:p w:rsidR="008B1196" w:rsidRPr="00EB4D74" w:rsidRDefault="008B1196" w:rsidP="008B1196">
      <w:pPr>
        <w:pStyle w:val="AppendixBodyText"/>
        <w:spacing w:after="0"/>
        <w:rPr>
          <w:rFonts w:ascii="Tahoma" w:hAnsi="Tahoma" w:cs="Tahoma"/>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lang w:val="pt-BR"/>
        </w:rPr>
        <w:t>Os clientes (que não forem de Licença Academic Select, Select Plus para Academic, Licença Academic Open, Contrato para Campus e Contrato School, Open Value Subscription – Soluções Educacionais e Licença Open) com edições Standard e Enterprise de produtos de software de servidor com cobertura do Software Assurance têm acesso a serviços de Suporte para Resolução de Problemas com base na Web conforme necessário. O acesso a sites de suporte eletrônico está disponível 24 horas por dia, 7 dias por semana, embora as respostas ocorram durante o Horário Comercial. Dessa maneira, os Incidentes com base na Web não devem ser iniciados no caso de situações críticas para os negócios que exijam uma assistência mais imediata. Consulte Variações de Horário Comercial por Região na seção “Prêmios de Incidentes de Suporte pelo Telefone” acima.</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pt-BR"/>
        </w:rPr>
      </w:pPr>
      <w:r w:rsidRPr="00EB4D74">
        <w:rPr>
          <w:rFonts w:ascii="Tahoma" w:hAnsi="Tahoma" w:cs="Tahoma"/>
          <w:sz w:val="18"/>
          <w:szCs w:val="18"/>
          <w:lang w:val="pt-BR"/>
        </w:rPr>
        <w:t>Os incidentes iniciados via Telefone são descontados do saldo de incidentes por telefone disponíveis no momento da resolução. Os incidentes iniciados via Web tem como base a necessidade e serão conduzidos via Web, email e outros meios eletrônicos.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8B1196" w:rsidRPr="00EB4D74" w:rsidRDefault="008B1196" w:rsidP="008B1196">
      <w:pPr>
        <w:pStyle w:val="AppendixBodyText"/>
        <w:spacing w:after="0"/>
        <w:rPr>
          <w:rFonts w:ascii="Tahoma" w:hAnsi="Tahoma" w:cs="Tahoma"/>
          <w:lang w:val="pt-BR"/>
        </w:rPr>
      </w:pPr>
    </w:p>
    <w:p w:rsidR="008B1196" w:rsidRPr="00EB4D74" w:rsidRDefault="008B1196" w:rsidP="008B1196">
      <w:pPr>
        <w:pStyle w:val="AppendixBodyText"/>
        <w:spacing w:after="0"/>
        <w:rPr>
          <w:rFonts w:ascii="Tahoma" w:hAnsi="Tahoma" w:cs="Tahoma"/>
          <w:lang w:val="pt-BR"/>
        </w:rPr>
      </w:pPr>
      <w:r w:rsidRPr="00EB4D74">
        <w:rPr>
          <w:rFonts w:ascii="Tahoma" w:hAnsi="Tahoma" w:cs="Tahoma"/>
          <w:sz w:val="18"/>
          <w:szCs w:val="18"/>
          <w:lang w:val="pt-BR"/>
        </w:rPr>
        <w:t xml:space="preserve">O Software Assurance é necessário para o software de servidor e as CALs relacionadas para incidentes de Suporte pela Web. </w:t>
      </w:r>
      <w:r w:rsidRPr="00EB4D74">
        <w:rPr>
          <w:rFonts w:ascii="Tahoma" w:hAnsi="Tahoma" w:cs="Tahoma"/>
          <w:sz w:val="18"/>
          <w:lang w:val="pt-BR"/>
        </w:rPr>
        <w:t>Os clientes podem enviar apenas solicitações de Suporte para Resolução de Problemas com base na Web relacionadas às cópias licenciadas do software de servidor coberto pelo Software Assurance.</w:t>
      </w:r>
    </w:p>
    <w:p w:rsidR="008B1196" w:rsidRPr="00EB4D74" w:rsidRDefault="008B1196" w:rsidP="008B1196">
      <w:pPr>
        <w:pStyle w:val="AppendixBodyText"/>
        <w:spacing w:after="0"/>
        <w:rPr>
          <w:rFonts w:ascii="Tahoma" w:hAnsi="Tahoma" w:cs="Tahoma"/>
          <w:lang w:val="pt-BR"/>
        </w:rPr>
      </w:pPr>
    </w:p>
    <w:p w:rsidR="008B1196" w:rsidRPr="00EB4D74" w:rsidRDefault="008B1196" w:rsidP="008B1196">
      <w:pPr>
        <w:pStyle w:val="AppendixBodyText"/>
        <w:spacing w:after="0"/>
        <w:rPr>
          <w:rFonts w:ascii="Tahoma" w:hAnsi="Tahoma" w:cs="Tahoma"/>
          <w:lang w:val="pt-BR"/>
        </w:rPr>
      </w:pPr>
      <w:r w:rsidRPr="00EB4D74">
        <w:rPr>
          <w:rFonts w:ascii="Tahoma" w:hAnsi="Tahoma" w:cs="Tahoma"/>
          <w:sz w:val="18"/>
          <w:szCs w:val="18"/>
          <w:lang w:val="pt-BR"/>
        </w:rPr>
        <w:t xml:space="preserve">Os incidentes de Suporte pela Web não podem ser transferidos entre licenças. </w:t>
      </w:r>
      <w:r w:rsidRPr="00EB4D74">
        <w:rPr>
          <w:rFonts w:ascii="Tahoma" w:hAnsi="Tahoma" w:cs="Tahoma"/>
          <w:sz w:val="18"/>
          <w:lang w:val="pt-BR"/>
        </w:rPr>
        <w:t>Consulte os direitos de uso do produto para obter mais detalhes sobre como atribuir ou reatribuir licenças a servidores físicos.</w:t>
      </w:r>
    </w:p>
    <w:p w:rsidR="008B1196" w:rsidRPr="00EB4D74" w:rsidRDefault="008B1196" w:rsidP="008B1196">
      <w:pPr>
        <w:rPr>
          <w:rFonts w:cs="Tahoma"/>
          <w:lang w:val="pt-BR"/>
        </w:rPr>
      </w:pPr>
      <w:bookmarkStart w:id="861" w:name="_Toc240899165"/>
    </w:p>
    <w:bookmarkEnd w:id="861"/>
    <w:p w:rsidR="008B1196" w:rsidRPr="00EB4D74" w:rsidRDefault="008B1196" w:rsidP="008B1196">
      <w:pPr>
        <w:rPr>
          <w:rFonts w:cs="Tahoma"/>
          <w:lang w:val="it-IT"/>
        </w:rPr>
      </w:pPr>
      <w:r w:rsidRPr="00EB4D74">
        <w:rPr>
          <w:rFonts w:cs="Tahoma"/>
          <w:b/>
          <w:sz w:val="20"/>
          <w:lang w:val="pt-BR"/>
        </w:rPr>
        <w:t>Contatos de Suporte</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O número de contatos de suporte permitidos varia de acordo com o programa de Licenciamento por Volume e o número de licenças cobertas pelo Software Assurance, conforme mostrado a seguir. Os contatos devem ser indivíduos nomeados e podem incluir indivíduos de fora da organização do cliente. </w:t>
      </w:r>
      <w:r w:rsidRPr="00EB4D74">
        <w:rPr>
          <w:rFonts w:ascii="Tahoma" w:hAnsi="Tahoma" w:cs="Tahoma"/>
          <w:sz w:val="18"/>
          <w:lang w:val="pt-BR"/>
        </w:rPr>
        <w:t>Entretanto, o nome de uma organização, um departamento ou um grupo não pode ser listado como um contato.</w:t>
      </w:r>
    </w:p>
    <w:p w:rsidR="008B1196" w:rsidRPr="00EB4D74" w:rsidRDefault="008B1196" w:rsidP="008B1196">
      <w:pPr>
        <w:pStyle w:val="AppendixBodyText"/>
        <w:rPr>
          <w:rFonts w:ascii="Tahoma" w:hAnsi="Tahoma" w:cs="Tahoma"/>
          <w:lang w:val="it-IT"/>
        </w:rPr>
      </w:pPr>
    </w:p>
    <w:p w:rsidR="008B1196" w:rsidRPr="00EB4D74" w:rsidRDefault="008B1196" w:rsidP="008B1196">
      <w:pPr>
        <w:pStyle w:val="AppendixBodyText"/>
        <w:rPr>
          <w:rFonts w:ascii="Tahoma" w:hAnsi="Tahoma" w:cs="Tahoma"/>
          <w:lang w:val="it-IT"/>
        </w:rPr>
      </w:pPr>
    </w:p>
    <w:p w:rsidR="008B1196" w:rsidRPr="00EB4D74" w:rsidRDefault="008B1196" w:rsidP="008B1196">
      <w:pPr>
        <w:pStyle w:val="AppendixBodyText"/>
        <w:rPr>
          <w:rFonts w:ascii="Tahoma" w:hAnsi="Tahoma" w:cs="Tahoma"/>
          <w:lang w:val="it-IT"/>
        </w:rPr>
      </w:pPr>
    </w:p>
    <w:p w:rsidR="008B1196" w:rsidRPr="00EB4D74" w:rsidRDefault="008B1196" w:rsidP="008B1196">
      <w:pPr>
        <w:pStyle w:val="AppendixBodyText"/>
        <w:rPr>
          <w:rFonts w:ascii="Tahoma" w:hAnsi="Tahoma" w:cs="Tahoma"/>
          <w:lang w:val="it-IT"/>
        </w:rPr>
      </w:pPr>
    </w:p>
    <w:tbl>
      <w:tblPr>
        <w:tblW w:w="9547"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87"/>
        <w:gridCol w:w="1080"/>
        <w:gridCol w:w="1170"/>
        <w:gridCol w:w="1350"/>
        <w:gridCol w:w="1350"/>
        <w:gridCol w:w="1287"/>
        <w:gridCol w:w="1323"/>
      </w:tblGrid>
      <w:tr w:rsidR="008B1196" w:rsidRPr="00EB4D74" w:rsidTr="00EA30FC">
        <w:trPr>
          <w:trHeight w:val="178"/>
        </w:trPr>
        <w:tc>
          <w:tcPr>
            <w:tcW w:w="1987"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b/>
                <w:bCs/>
              </w:rPr>
            </w:pPr>
            <w:r w:rsidRPr="00EB4D74">
              <w:rPr>
                <w:rFonts w:ascii="Tahoma" w:hAnsi="Tahoma" w:cs="Tahoma"/>
                <w:b/>
                <w:bCs/>
                <w:lang w:val="pt-BR"/>
              </w:rPr>
              <w:lastRenderedPageBreak/>
              <w:t>Benefícios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b/>
                <w:bCs/>
              </w:rPr>
            </w:pPr>
            <w:r w:rsidRPr="00EB4D74">
              <w:rPr>
                <w:rFonts w:ascii="Tahoma" w:hAnsi="Tahoma" w:cs="Tahoma"/>
                <w:b/>
                <w:bCs/>
                <w:lang w:val="pt-BR"/>
              </w:rPr>
              <w:t>Licença Open</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rPr>
            </w:pPr>
            <w:r w:rsidRPr="00EB4D74">
              <w:rPr>
                <w:rFonts w:ascii="Tahoma" w:hAnsi="Tahoma" w:cs="Tahoma"/>
                <w:b/>
                <w:lang w:val="pt-BR"/>
              </w:rPr>
              <w:t>Open Value(1)</w:t>
            </w:r>
          </w:p>
          <w:p w:rsidR="008B1196" w:rsidRPr="00EB4D74" w:rsidRDefault="008B1196" w:rsidP="00EA30FC">
            <w:pPr>
              <w:pStyle w:val="AppendixBodyText"/>
              <w:rPr>
                <w:rFonts w:ascii="Tahoma" w:hAnsi="Tahoma" w:cs="Tahoma"/>
                <w:b/>
              </w:rPr>
            </w:pP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rPr>
            </w:pPr>
            <w:r w:rsidRPr="00EB4D74">
              <w:rPr>
                <w:rFonts w:ascii="Tahoma" w:hAnsi="Tahoma" w:cs="Tahoma"/>
                <w:b/>
                <w:lang w:val="pt-BR"/>
              </w:rPr>
              <w:t>Licença Select/</w:t>
            </w:r>
            <w:r w:rsidRPr="00EB4D74">
              <w:rPr>
                <w:rFonts w:ascii="Tahoma" w:hAnsi="Tahoma" w:cs="Tahoma"/>
                <w:b/>
                <w:lang w:val="pt-BR"/>
              </w:rPr>
              <w:br/>
              <w:t>Select Plus/</w:t>
            </w:r>
            <w:r w:rsidRPr="00EB4D74">
              <w:rPr>
                <w:rFonts w:ascii="Tahoma" w:hAnsi="Tahoma" w:cs="Tahoma"/>
                <w:b/>
                <w:lang w:val="pt-BR"/>
              </w:rPr>
              <w:br/>
              <w:t>Contrato Enterprise</w:t>
            </w:r>
          </w:p>
          <w:p w:rsidR="008B1196" w:rsidRPr="00EB4D74" w:rsidRDefault="008B1196" w:rsidP="00EA30FC">
            <w:pPr>
              <w:pStyle w:val="AppendixBodyText"/>
              <w:rPr>
                <w:rFonts w:ascii="Tahoma" w:hAnsi="Tahoma" w:cs="Tahoma"/>
                <w:b/>
                <w:bCs/>
              </w:rPr>
            </w:pPr>
            <w:r w:rsidRPr="00EB4D74">
              <w:rPr>
                <w:rFonts w:ascii="Tahoma" w:hAnsi="Tahoma" w:cs="Tahoma"/>
                <w:b/>
                <w:bCs/>
                <w:lang w:val="pt-BR"/>
              </w:rPr>
              <w:t>Nível 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rPr>
            </w:pPr>
            <w:r w:rsidRPr="00EB4D74">
              <w:rPr>
                <w:rFonts w:ascii="Tahoma" w:hAnsi="Tahoma" w:cs="Tahoma"/>
                <w:b/>
                <w:lang w:val="pt-BR"/>
              </w:rPr>
              <w:t>Licença Select/</w:t>
            </w:r>
            <w:r w:rsidRPr="00EB4D74">
              <w:rPr>
                <w:rFonts w:ascii="Tahoma" w:hAnsi="Tahoma" w:cs="Tahoma"/>
                <w:b/>
                <w:lang w:val="pt-BR"/>
              </w:rPr>
              <w:br/>
              <w:t>Select Plus/</w:t>
            </w:r>
            <w:r w:rsidRPr="00EB4D74">
              <w:rPr>
                <w:rFonts w:ascii="Tahoma" w:hAnsi="Tahoma" w:cs="Tahoma"/>
                <w:b/>
                <w:lang w:val="pt-BR"/>
              </w:rPr>
              <w:br/>
              <w:t>Contrato Enterprise</w:t>
            </w:r>
          </w:p>
          <w:p w:rsidR="008B1196" w:rsidRPr="00EB4D74" w:rsidRDefault="008B1196" w:rsidP="00EA30FC">
            <w:pPr>
              <w:pStyle w:val="AppendixBodyText"/>
              <w:rPr>
                <w:rFonts w:ascii="Tahoma" w:hAnsi="Tahoma" w:cs="Tahoma"/>
                <w:b/>
                <w:bCs/>
              </w:rPr>
            </w:pPr>
            <w:r w:rsidRPr="00EB4D74">
              <w:rPr>
                <w:rFonts w:ascii="Tahoma" w:hAnsi="Tahoma" w:cs="Tahoma"/>
                <w:b/>
                <w:bCs/>
                <w:lang w:val="pt-BR"/>
              </w:rPr>
              <w:t>Nível B</w:t>
            </w:r>
          </w:p>
        </w:tc>
        <w:tc>
          <w:tcPr>
            <w:tcW w:w="1287"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rPr>
            </w:pPr>
            <w:r w:rsidRPr="00EB4D74">
              <w:rPr>
                <w:rFonts w:ascii="Tahoma" w:hAnsi="Tahoma" w:cs="Tahoma"/>
                <w:b/>
                <w:lang w:val="pt-BR"/>
              </w:rPr>
              <w:t>Licença Select/</w:t>
            </w:r>
            <w:r w:rsidRPr="00EB4D74">
              <w:rPr>
                <w:rFonts w:ascii="Tahoma" w:hAnsi="Tahoma" w:cs="Tahoma"/>
                <w:b/>
                <w:lang w:val="pt-BR"/>
              </w:rPr>
              <w:br/>
              <w:t>Select Plus/</w:t>
            </w:r>
            <w:r w:rsidRPr="00EB4D74">
              <w:rPr>
                <w:rFonts w:ascii="Tahoma" w:hAnsi="Tahoma" w:cs="Tahoma"/>
                <w:b/>
                <w:lang w:val="pt-BR"/>
              </w:rPr>
              <w:br/>
              <w:t>Contrato Enterprise</w:t>
            </w:r>
          </w:p>
          <w:p w:rsidR="008B1196" w:rsidRPr="00EB4D74" w:rsidRDefault="008B1196" w:rsidP="00EA30FC">
            <w:pPr>
              <w:pStyle w:val="AppendixBodyText"/>
              <w:rPr>
                <w:rFonts w:ascii="Tahoma" w:hAnsi="Tahoma" w:cs="Tahoma"/>
                <w:b/>
                <w:bCs/>
              </w:rPr>
            </w:pPr>
            <w:r w:rsidRPr="00EB4D74">
              <w:rPr>
                <w:rFonts w:ascii="Tahoma" w:hAnsi="Tahoma" w:cs="Tahoma"/>
                <w:b/>
                <w:bCs/>
                <w:lang w:val="pt-BR"/>
              </w:rPr>
              <w:t>Nível C</w:t>
            </w:r>
          </w:p>
        </w:tc>
        <w:tc>
          <w:tcPr>
            <w:tcW w:w="1323"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rPr>
                <w:rFonts w:ascii="Tahoma" w:hAnsi="Tahoma" w:cs="Tahoma"/>
              </w:rPr>
            </w:pPr>
            <w:r w:rsidRPr="00EB4D74">
              <w:rPr>
                <w:rFonts w:ascii="Tahoma" w:hAnsi="Tahoma" w:cs="Tahoma"/>
                <w:b/>
                <w:lang w:val="pt-BR"/>
              </w:rPr>
              <w:t>Licença Select/</w:t>
            </w:r>
            <w:r w:rsidRPr="00EB4D74">
              <w:rPr>
                <w:rFonts w:ascii="Tahoma" w:hAnsi="Tahoma" w:cs="Tahoma"/>
                <w:b/>
                <w:lang w:val="pt-BR"/>
              </w:rPr>
              <w:br/>
              <w:t>Select Plus/</w:t>
            </w:r>
            <w:r w:rsidRPr="00EB4D74">
              <w:rPr>
                <w:rFonts w:ascii="Tahoma" w:hAnsi="Tahoma" w:cs="Tahoma"/>
                <w:b/>
                <w:lang w:val="pt-BR"/>
              </w:rPr>
              <w:br/>
              <w:t>Contrato Enterprise</w:t>
            </w:r>
          </w:p>
          <w:p w:rsidR="008B1196" w:rsidRPr="00EB4D74" w:rsidRDefault="008B1196" w:rsidP="00EA30FC">
            <w:pPr>
              <w:pStyle w:val="AppendixBodyText"/>
              <w:rPr>
                <w:rFonts w:ascii="Tahoma" w:hAnsi="Tahoma" w:cs="Tahoma"/>
                <w:b/>
                <w:bCs/>
              </w:rPr>
            </w:pPr>
            <w:r w:rsidRPr="00EB4D74">
              <w:rPr>
                <w:rFonts w:ascii="Tahoma" w:hAnsi="Tahoma" w:cs="Tahoma"/>
                <w:b/>
                <w:bCs/>
                <w:lang w:val="pt-BR"/>
              </w:rPr>
              <w:t>Nível D</w:t>
            </w:r>
          </w:p>
        </w:tc>
      </w:tr>
      <w:tr w:rsidR="008B1196" w:rsidRPr="00EB4D74" w:rsidTr="00EA30FC">
        <w:trPr>
          <w:trHeight w:val="236"/>
        </w:trPr>
        <w:tc>
          <w:tcPr>
            <w:tcW w:w="1987" w:type="dxa"/>
            <w:vAlign w:val="center"/>
          </w:tcPr>
          <w:p w:rsidR="008B1196" w:rsidRPr="00EB4D74" w:rsidRDefault="008B1196" w:rsidP="00EA30FC">
            <w:pPr>
              <w:pStyle w:val="AppendixBodyText"/>
              <w:rPr>
                <w:rFonts w:ascii="Tahoma" w:hAnsi="Tahoma" w:cs="Tahoma"/>
                <w:sz w:val="18"/>
                <w:szCs w:val="18"/>
                <w:lang w:val="it-IT"/>
              </w:rPr>
            </w:pPr>
            <w:r w:rsidRPr="00EB4D74">
              <w:rPr>
                <w:rFonts w:ascii="Tahoma" w:hAnsi="Tahoma" w:cs="Tahoma"/>
                <w:sz w:val="18"/>
                <w:szCs w:val="18"/>
                <w:lang w:val="pt-BR"/>
              </w:rPr>
              <w:t>Nº de Contatos de Suporte por Telefone para Resolução de Problemas</w:t>
            </w:r>
          </w:p>
        </w:tc>
        <w:tc>
          <w:tcPr>
            <w:tcW w:w="108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lang w:val="pt-BR"/>
              </w:rPr>
              <w:t>Conforme Necessário</w:t>
            </w:r>
          </w:p>
        </w:tc>
        <w:tc>
          <w:tcPr>
            <w:tcW w:w="117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Conforme Necessário</w:t>
            </w:r>
          </w:p>
        </w:tc>
        <w:tc>
          <w:tcPr>
            <w:tcW w:w="135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Conforme Necessário</w:t>
            </w:r>
          </w:p>
        </w:tc>
        <w:tc>
          <w:tcPr>
            <w:tcW w:w="135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Conforme Necessário</w:t>
            </w:r>
          </w:p>
        </w:tc>
        <w:tc>
          <w:tcPr>
            <w:tcW w:w="1287"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Conforme Necessário</w:t>
            </w:r>
          </w:p>
        </w:tc>
        <w:tc>
          <w:tcPr>
            <w:tcW w:w="1323"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Conforme Necessário</w:t>
            </w:r>
          </w:p>
        </w:tc>
      </w:tr>
      <w:tr w:rsidR="008B1196" w:rsidRPr="00EB4D74" w:rsidTr="00EA30FC">
        <w:trPr>
          <w:trHeight w:val="236"/>
        </w:trPr>
        <w:tc>
          <w:tcPr>
            <w:tcW w:w="1987" w:type="dxa"/>
            <w:vAlign w:val="center"/>
          </w:tcPr>
          <w:p w:rsidR="008B1196" w:rsidRPr="00EB4D74" w:rsidRDefault="008B1196" w:rsidP="00EA30FC">
            <w:pPr>
              <w:pStyle w:val="AppendixBodyText"/>
              <w:rPr>
                <w:rFonts w:ascii="Tahoma" w:hAnsi="Tahoma" w:cs="Tahoma"/>
                <w:sz w:val="18"/>
                <w:szCs w:val="18"/>
                <w:lang w:val="it-IT"/>
              </w:rPr>
            </w:pPr>
            <w:r w:rsidRPr="00EB4D74">
              <w:rPr>
                <w:rFonts w:ascii="Tahoma" w:hAnsi="Tahoma" w:cs="Tahoma"/>
                <w:sz w:val="18"/>
                <w:szCs w:val="18"/>
                <w:lang w:val="pt-BR"/>
              </w:rPr>
              <w:t>Nº de Contatos de Suporte pela Web Autorizados</w:t>
            </w:r>
          </w:p>
        </w:tc>
        <w:tc>
          <w:tcPr>
            <w:tcW w:w="108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N/D</w:t>
            </w:r>
          </w:p>
        </w:tc>
        <w:tc>
          <w:tcPr>
            <w:tcW w:w="117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1</w:t>
            </w:r>
          </w:p>
        </w:tc>
        <w:tc>
          <w:tcPr>
            <w:tcW w:w="135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2</w:t>
            </w:r>
          </w:p>
        </w:tc>
        <w:tc>
          <w:tcPr>
            <w:tcW w:w="1350"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4</w:t>
            </w:r>
          </w:p>
        </w:tc>
        <w:tc>
          <w:tcPr>
            <w:tcW w:w="1287"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8</w:t>
            </w:r>
          </w:p>
        </w:tc>
        <w:tc>
          <w:tcPr>
            <w:tcW w:w="1323" w:type="dxa"/>
            <w:vAlign w:val="cente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rPr>
              <w:t>16</w:t>
            </w:r>
          </w:p>
        </w:tc>
      </w:tr>
    </w:tbl>
    <w:p w:rsidR="008B1196" w:rsidRPr="00EB4D74" w:rsidRDefault="008B1196" w:rsidP="008B1196">
      <w:pPr>
        <w:pStyle w:val="AppendixBodyText"/>
        <w:spacing w:after="0"/>
        <w:rPr>
          <w:rFonts w:ascii="Tahoma" w:hAnsi="Tahoma" w:cs="Tahoma"/>
        </w:rPr>
      </w:pPr>
    </w:p>
    <w:p w:rsidR="008B1196" w:rsidRPr="00EB4D74" w:rsidRDefault="008B1196" w:rsidP="008B1196">
      <w:pPr>
        <w:rPr>
          <w:rFonts w:cs="Tahoma"/>
        </w:rPr>
      </w:pPr>
      <w:bookmarkStart w:id="862" w:name="_Toc240899166"/>
      <w:bookmarkEnd w:id="862"/>
      <w:r w:rsidRPr="00EB4D74">
        <w:rPr>
          <w:rFonts w:cs="Tahoma"/>
          <w:b/>
          <w:sz w:val="20"/>
          <w:lang w:val="pt-BR"/>
        </w:rPr>
        <w:t>Nível de Serviço para Clientes do Software Assurance</w:t>
      </w:r>
    </w:p>
    <w:p w:rsidR="008B1196" w:rsidRPr="00EB4D74" w:rsidRDefault="008B1196" w:rsidP="008B1196">
      <w:pPr>
        <w:pStyle w:val="AppendixBodyText"/>
        <w:spacing w:after="0"/>
        <w:rPr>
          <w:rFonts w:ascii="Tahoma" w:hAnsi="Tahoma" w:cs="Tahoma"/>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As solicitações de suporte podem ser realizadas por telefone ou eletronicamente por meio de contatos designados de um cliente, exceto para Severidade A e B, que devem ser solicitadas por telefone, conforme definido a seguir.</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rPr>
      </w:pPr>
      <w:r w:rsidRPr="00EB4D74">
        <w:rPr>
          <w:rFonts w:ascii="Tahoma" w:hAnsi="Tahoma" w:cs="Tahoma"/>
          <w:sz w:val="18"/>
          <w:szCs w:val="18"/>
          <w:lang w:val="pt-BR"/>
        </w:rPr>
        <w:t xml:space="preserve">Os clientes são responsáveis pela definição do nível inicial de severidade ao nos consultar e podem solicitar uma alteração no nível de severidade a qualquer momento. </w:t>
      </w:r>
      <w:r w:rsidRPr="00EB4D74">
        <w:rPr>
          <w:rFonts w:ascii="Tahoma" w:hAnsi="Tahoma" w:cs="Tahoma"/>
          <w:sz w:val="18"/>
          <w:lang w:val="pt-BR"/>
        </w:rPr>
        <w:t>A severidade do incidente determinará os níveis de resposta na Microsoft e o tempo estimado de resposta. As responsabilidades dos clientes são definidas na tabela a seguir:</w:t>
      </w:r>
    </w:p>
    <w:p w:rsidR="008B1196" w:rsidRPr="00EB4D74" w:rsidRDefault="008B1196" w:rsidP="008B1196">
      <w:pPr>
        <w:pStyle w:val="AppendixBodyText"/>
        <w:rPr>
          <w:rFonts w:ascii="Tahoma" w:hAnsi="Tahoma" w:cs="Tahoma"/>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502"/>
        <w:gridCol w:w="2808"/>
        <w:gridCol w:w="2880"/>
      </w:tblGrid>
      <w:tr w:rsidR="008B1196" w:rsidRPr="00EB4D74" w:rsidTr="00EA30FC">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8B1196" w:rsidRPr="00EB4D74" w:rsidRDefault="008B1196" w:rsidP="00EA30FC">
            <w:pPr>
              <w:pStyle w:val="AppendixBodyText"/>
              <w:spacing w:after="0"/>
              <w:jc w:val="center"/>
              <w:rPr>
                <w:rFonts w:ascii="Tahoma" w:hAnsi="Tahoma" w:cs="Tahoma"/>
                <w:b/>
                <w:bCs/>
              </w:rPr>
            </w:pPr>
            <w:r w:rsidRPr="00EB4D74">
              <w:rPr>
                <w:rFonts w:ascii="Tahoma" w:hAnsi="Tahoma" w:cs="Tahoma"/>
                <w:b/>
                <w:bCs/>
                <w:lang w:val="pt-BR"/>
              </w:rPr>
              <w:t>Severidade</w:t>
            </w:r>
          </w:p>
        </w:tc>
        <w:tc>
          <w:tcPr>
            <w:tcW w:w="2502"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B1196" w:rsidRPr="00EB4D74" w:rsidRDefault="008B1196" w:rsidP="00EA30FC">
            <w:pPr>
              <w:pStyle w:val="AppendixBodyText"/>
              <w:spacing w:after="0"/>
              <w:jc w:val="center"/>
              <w:rPr>
                <w:rFonts w:ascii="Tahoma" w:hAnsi="Tahoma" w:cs="Tahoma"/>
                <w:b/>
                <w:bCs/>
              </w:rPr>
            </w:pPr>
            <w:r w:rsidRPr="00EB4D74">
              <w:rPr>
                <w:rFonts w:ascii="Tahoma" w:hAnsi="Tahoma" w:cs="Tahoma"/>
                <w:b/>
                <w:bCs/>
                <w:lang w:val="pt-BR"/>
              </w:rPr>
              <w:t>Situação</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B1196" w:rsidRPr="00EB4D74" w:rsidRDefault="008B1196" w:rsidP="00EA30FC">
            <w:pPr>
              <w:pStyle w:val="AppendixBodyText"/>
              <w:spacing w:after="0"/>
              <w:jc w:val="center"/>
              <w:rPr>
                <w:rFonts w:ascii="Tahoma" w:hAnsi="Tahoma" w:cs="Tahoma"/>
                <w:b/>
                <w:bCs/>
              </w:rPr>
            </w:pPr>
            <w:r w:rsidRPr="00EB4D74">
              <w:rPr>
                <w:rFonts w:ascii="Tahoma" w:hAnsi="Tahoma" w:cs="Tahoma"/>
                <w:b/>
                <w:bCs/>
                <w:lang w:val="pt-BR"/>
              </w:rPr>
              <w:t>Nossa Resposta Esperada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8B1196" w:rsidRPr="00EB4D74" w:rsidRDefault="008B1196" w:rsidP="00EA30FC">
            <w:pPr>
              <w:pStyle w:val="AppendixBodyText"/>
              <w:spacing w:after="0"/>
              <w:jc w:val="center"/>
              <w:rPr>
                <w:rFonts w:ascii="Tahoma" w:hAnsi="Tahoma" w:cs="Tahoma"/>
                <w:b/>
                <w:bCs/>
              </w:rPr>
            </w:pPr>
            <w:r w:rsidRPr="00EB4D74">
              <w:rPr>
                <w:rFonts w:ascii="Tahoma" w:hAnsi="Tahoma" w:cs="Tahoma"/>
                <w:b/>
                <w:bCs/>
                <w:lang w:val="pt-BR"/>
              </w:rPr>
              <w:t>Resposta Esperada do Cliente</w:t>
            </w:r>
          </w:p>
        </w:tc>
      </w:tr>
      <w:tr w:rsidR="008B1196" w:rsidRPr="00EB4D74" w:rsidTr="00EA30F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A Solicitação por telefone</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 w:val="num" w:pos="612"/>
              </w:tabs>
              <w:ind w:left="612"/>
              <w:rPr>
                <w:rFonts w:ascii="Tahoma" w:hAnsi="Tahoma" w:cs="Tahoma"/>
              </w:rPr>
            </w:pPr>
            <w:r w:rsidRPr="00EB4D74">
              <w:rPr>
                <w:rFonts w:ascii="Tahoma" w:hAnsi="Tahoma" w:cs="Tahoma"/>
                <w:sz w:val="18"/>
                <w:szCs w:val="18"/>
                <w:lang w:val="pt-BR"/>
              </w:rPr>
              <w:t>Impacto crítico nos negócios:</w:t>
            </w:r>
          </w:p>
          <w:p w:rsidR="008B1196" w:rsidRPr="00EB4D74" w:rsidRDefault="008B1196" w:rsidP="00EA30FC">
            <w:pPr>
              <w:pStyle w:val="AppendixBodyText"/>
              <w:numPr>
                <w:ilvl w:val="0"/>
                <w:numId w:val="12"/>
              </w:numPr>
              <w:tabs>
                <w:tab w:val="clear" w:pos="1440"/>
                <w:tab w:val="num" w:pos="612"/>
              </w:tabs>
              <w:ind w:left="612"/>
              <w:rPr>
                <w:rFonts w:ascii="Tahoma" w:hAnsi="Tahoma" w:cs="Tahoma"/>
                <w:sz w:val="18"/>
                <w:szCs w:val="18"/>
                <w:lang w:val="it-IT"/>
              </w:rPr>
            </w:pPr>
            <w:r w:rsidRPr="00EB4D74">
              <w:rPr>
                <w:rFonts w:ascii="Tahoma" w:hAnsi="Tahoma" w:cs="Tahoma"/>
                <w:sz w:val="18"/>
                <w:szCs w:val="18"/>
                <w:lang w:val="pt-BR"/>
              </w:rPr>
              <w:t>A empresa do cliente tem uma perda ou degradação significativa de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 w:val="num" w:pos="522"/>
              </w:tabs>
              <w:ind w:left="522"/>
              <w:rPr>
                <w:rFonts w:ascii="Tahoma" w:hAnsi="Tahoma" w:cs="Tahoma"/>
                <w:lang w:val="it-IT"/>
              </w:rPr>
            </w:pPr>
            <w:r w:rsidRPr="00EB4D74">
              <w:rPr>
                <w:rFonts w:ascii="Tahoma" w:hAnsi="Tahoma" w:cs="Tahoma"/>
                <w:sz w:val="18"/>
                <w:lang w:val="pt-BR"/>
              </w:rPr>
              <w:t>Resposta à 1ª chamada em 2 horas ou menos, com base na oferta de suporte</w:t>
            </w:r>
          </w:p>
          <w:p w:rsidR="008B1196" w:rsidRPr="00EB4D74" w:rsidRDefault="008B1196" w:rsidP="00EA30FC">
            <w:pPr>
              <w:pStyle w:val="AppendixBodyText"/>
              <w:numPr>
                <w:ilvl w:val="0"/>
                <w:numId w:val="12"/>
              </w:numPr>
              <w:tabs>
                <w:tab w:val="clear" w:pos="1440"/>
                <w:tab w:val="num" w:pos="522"/>
              </w:tabs>
              <w:ind w:left="522"/>
              <w:rPr>
                <w:rFonts w:ascii="Tahoma" w:hAnsi="Tahoma" w:cs="Tahoma"/>
                <w:lang w:val="it-IT"/>
              </w:rPr>
            </w:pPr>
            <w:r w:rsidRPr="00EB4D74">
              <w:rPr>
                <w:rFonts w:ascii="Tahoma" w:hAnsi="Tahoma" w:cs="Tahoma"/>
                <w:sz w:val="18"/>
                <w:lang w:val="pt-BR"/>
              </w:rPr>
              <w:t>Recursos da Microsoft encaminhados ao local do cliente, conforme a necessidade</w:t>
            </w:r>
          </w:p>
          <w:p w:rsidR="008B1196" w:rsidRPr="00EB4D74" w:rsidRDefault="008B1196" w:rsidP="00EA30FC">
            <w:pPr>
              <w:pStyle w:val="AppendixBodyText"/>
              <w:numPr>
                <w:ilvl w:val="0"/>
                <w:numId w:val="12"/>
              </w:numPr>
              <w:tabs>
                <w:tab w:val="clear" w:pos="1440"/>
                <w:tab w:val="num" w:pos="522"/>
              </w:tabs>
              <w:ind w:left="522"/>
              <w:rPr>
                <w:rFonts w:ascii="Tahoma" w:hAnsi="Tahoma" w:cs="Tahoma"/>
              </w:rPr>
            </w:pPr>
            <w:r w:rsidRPr="00EB4D74">
              <w:rPr>
                <w:rFonts w:ascii="Tahoma" w:hAnsi="Tahoma" w:cs="Tahoma"/>
                <w:sz w:val="18"/>
                <w:lang w:val="pt-BR"/>
              </w:rPr>
              <w:t>Esforço contínuo 24x7</w:t>
            </w:r>
          </w:p>
          <w:p w:rsidR="008B1196" w:rsidRPr="00EB4D74" w:rsidRDefault="008B1196" w:rsidP="00EA30FC">
            <w:pPr>
              <w:pStyle w:val="AppendixBodyText"/>
              <w:numPr>
                <w:ilvl w:val="0"/>
                <w:numId w:val="12"/>
              </w:numPr>
              <w:tabs>
                <w:tab w:val="clear" w:pos="1440"/>
                <w:tab w:val="num" w:pos="522"/>
              </w:tabs>
              <w:ind w:left="522"/>
              <w:rPr>
                <w:rFonts w:ascii="Tahoma" w:hAnsi="Tahoma" w:cs="Tahoma"/>
                <w:sz w:val="18"/>
                <w:szCs w:val="18"/>
                <w:lang w:val="it-IT"/>
              </w:rPr>
            </w:pPr>
            <w:r w:rsidRPr="00EB4D74">
              <w:rPr>
                <w:rFonts w:ascii="Tahoma" w:hAnsi="Tahoma" w:cs="Tahoma"/>
                <w:sz w:val="18"/>
                <w:szCs w:val="18"/>
                <w:lang w:val="pt-BR"/>
              </w:rPr>
              <w:t>Notificação de Gerentes Sênior na Microsoft com base na oferta de suporte</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s>
              <w:ind w:left="432"/>
              <w:rPr>
                <w:rFonts w:ascii="Tahoma" w:hAnsi="Tahoma" w:cs="Tahoma"/>
              </w:rPr>
            </w:pPr>
            <w:r w:rsidRPr="00EB4D74">
              <w:rPr>
                <w:rFonts w:ascii="Tahoma" w:hAnsi="Tahoma" w:cs="Tahoma"/>
                <w:sz w:val="18"/>
                <w:lang w:val="pt-BR"/>
              </w:rPr>
              <w:t>Alocação de recursos adequados para manter os esforços contínuos em uma base 24x7</w:t>
            </w:r>
            <w:r w:rsidRPr="00BC039F">
              <w:rPr>
                <w:rFonts w:ascii="Tahoma" w:hAnsi="Tahoma" w:cs="Tahoma"/>
                <w:sz w:val="18"/>
                <w:vertAlign w:val="superscript"/>
                <w:lang w:val="pt-BR"/>
              </w:rPr>
              <w:t>2</w:t>
            </w:r>
          </w:p>
          <w:p w:rsidR="008B1196" w:rsidRPr="00EB4D74" w:rsidRDefault="008B1196" w:rsidP="00EA30FC">
            <w:pPr>
              <w:pStyle w:val="AppendixBodyText"/>
              <w:numPr>
                <w:ilvl w:val="0"/>
                <w:numId w:val="12"/>
              </w:numPr>
              <w:tabs>
                <w:tab w:val="clear" w:pos="1440"/>
              </w:tabs>
              <w:ind w:left="432"/>
              <w:rPr>
                <w:rFonts w:ascii="Tahoma" w:hAnsi="Tahoma" w:cs="Tahoma"/>
                <w:lang w:val="it-IT"/>
              </w:rPr>
            </w:pPr>
            <w:r w:rsidRPr="00EB4D74">
              <w:rPr>
                <w:rFonts w:ascii="Tahoma" w:hAnsi="Tahoma" w:cs="Tahoma"/>
                <w:sz w:val="18"/>
                <w:lang w:val="pt-BR"/>
              </w:rPr>
              <w:t>Acesso e resposta rápidos da autoridade de controle de alterações</w:t>
            </w:r>
          </w:p>
          <w:p w:rsidR="008B1196" w:rsidRPr="00EB4D74" w:rsidRDefault="008B1196" w:rsidP="00EA30FC">
            <w:pPr>
              <w:pStyle w:val="AppendixBodyText"/>
              <w:numPr>
                <w:ilvl w:val="0"/>
                <w:numId w:val="12"/>
              </w:numPr>
              <w:tabs>
                <w:tab w:val="clear" w:pos="1440"/>
              </w:tabs>
              <w:ind w:left="432"/>
              <w:rPr>
                <w:rFonts w:ascii="Tahoma" w:hAnsi="Tahoma" w:cs="Tahoma"/>
                <w:sz w:val="18"/>
                <w:szCs w:val="18"/>
              </w:rPr>
            </w:pPr>
            <w:r w:rsidRPr="00EB4D74">
              <w:rPr>
                <w:rFonts w:ascii="Tahoma" w:hAnsi="Tahoma" w:cs="Tahoma"/>
                <w:sz w:val="18"/>
                <w:szCs w:val="18"/>
                <w:lang w:val="pt-BR"/>
              </w:rPr>
              <w:t>Notificação à gerência</w:t>
            </w:r>
          </w:p>
        </w:tc>
      </w:tr>
      <w:tr w:rsidR="008B1196" w:rsidRPr="00EB4D74" w:rsidTr="00EA30FC">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B Solicitação por telefone</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 w:val="num" w:pos="612"/>
              </w:tabs>
              <w:ind w:left="612"/>
              <w:rPr>
                <w:rFonts w:ascii="Tahoma" w:hAnsi="Tahoma" w:cs="Tahoma"/>
              </w:rPr>
            </w:pPr>
            <w:r w:rsidRPr="00EB4D74">
              <w:rPr>
                <w:rFonts w:ascii="Tahoma" w:hAnsi="Tahoma" w:cs="Tahoma"/>
                <w:sz w:val="18"/>
                <w:lang w:val="pt-BR"/>
              </w:rPr>
              <w:t>Impacto moderado nos negócios:</w:t>
            </w:r>
          </w:p>
          <w:p w:rsidR="008B1196" w:rsidRPr="00EB4D74" w:rsidRDefault="008B1196" w:rsidP="00EA30FC">
            <w:pPr>
              <w:pStyle w:val="AppendixBodyText"/>
              <w:numPr>
                <w:ilvl w:val="0"/>
                <w:numId w:val="12"/>
              </w:numPr>
              <w:tabs>
                <w:tab w:val="clear" w:pos="1440"/>
                <w:tab w:val="num" w:pos="612"/>
              </w:tabs>
              <w:ind w:left="612"/>
              <w:rPr>
                <w:rFonts w:ascii="Tahoma" w:hAnsi="Tahoma" w:cs="Tahoma"/>
                <w:sz w:val="18"/>
                <w:szCs w:val="18"/>
                <w:lang w:val="it-IT"/>
              </w:rPr>
            </w:pPr>
            <w:r w:rsidRPr="00EB4D74">
              <w:rPr>
                <w:rFonts w:ascii="Tahoma" w:hAnsi="Tahoma" w:cs="Tahoma"/>
                <w:sz w:val="18"/>
                <w:szCs w:val="18"/>
                <w:lang w:val="pt-BR"/>
              </w:rPr>
              <w:t>A empresa do cliente tem uma perda ou degradação moderada dos serviços, mas o trabalho pode razoavelmente continuar, mesmo que de maneira prejudicada.</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num" w:pos="522"/>
              </w:tabs>
              <w:ind w:left="522"/>
              <w:rPr>
                <w:rFonts w:ascii="Tahoma" w:hAnsi="Tahoma" w:cs="Tahoma"/>
                <w:lang w:val="it-IT"/>
              </w:rPr>
            </w:pPr>
            <w:r w:rsidRPr="00EB4D74">
              <w:rPr>
                <w:rFonts w:ascii="Tahoma" w:hAnsi="Tahoma" w:cs="Tahoma"/>
                <w:sz w:val="18"/>
                <w:lang w:val="pt-BR"/>
              </w:rPr>
              <w:t>Resposta à 1ª chamada em 4 horas ou menos, com base na oferta de suporte</w:t>
            </w:r>
          </w:p>
          <w:p w:rsidR="008B1196" w:rsidRPr="00EB4D74" w:rsidRDefault="008B1196" w:rsidP="00EA30FC">
            <w:pPr>
              <w:pStyle w:val="AppendixBodyText"/>
              <w:numPr>
                <w:ilvl w:val="0"/>
                <w:numId w:val="12"/>
              </w:numPr>
              <w:tabs>
                <w:tab w:val="num" w:pos="522"/>
              </w:tabs>
              <w:ind w:left="522"/>
              <w:rPr>
                <w:rFonts w:ascii="Tahoma" w:hAnsi="Tahoma" w:cs="Tahoma"/>
                <w:lang w:val="it-IT"/>
              </w:rPr>
            </w:pPr>
            <w:r w:rsidRPr="00EB4D74">
              <w:rPr>
                <w:rFonts w:ascii="Tahoma" w:hAnsi="Tahoma" w:cs="Tahoma"/>
                <w:sz w:val="18"/>
                <w:lang w:val="pt-BR"/>
              </w:rPr>
              <w:t>Esforço apenas durante o Horário Comercial</w:t>
            </w:r>
            <w:r w:rsidRPr="00BC039F">
              <w:rPr>
                <w:rFonts w:ascii="Tahoma" w:hAnsi="Tahoma" w:cs="Tahoma"/>
                <w:sz w:val="18"/>
                <w:vertAlign w:val="superscript"/>
                <w:lang w:val="pt-BR"/>
              </w:rPr>
              <w:t>1</w:t>
            </w:r>
          </w:p>
          <w:p w:rsidR="008B1196" w:rsidRPr="00EB4D74" w:rsidRDefault="008B1196" w:rsidP="00EA30FC">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 w:val="num" w:pos="432"/>
              </w:tabs>
              <w:ind w:left="432" w:hanging="270"/>
              <w:rPr>
                <w:rFonts w:ascii="Tahoma" w:hAnsi="Tahoma" w:cs="Tahoma"/>
                <w:lang w:val="it-IT"/>
              </w:rPr>
            </w:pPr>
            <w:r w:rsidRPr="00EB4D74">
              <w:rPr>
                <w:rFonts w:ascii="Tahoma" w:hAnsi="Tahoma" w:cs="Tahoma"/>
                <w:sz w:val="18"/>
                <w:lang w:val="pt-BR"/>
              </w:rPr>
              <w:t>Alocação de recursos adequados para manter esforços contínuos no Horário Comercial</w:t>
            </w:r>
          </w:p>
          <w:p w:rsidR="008B1196" w:rsidRPr="00EB4D74" w:rsidRDefault="008B1196" w:rsidP="00EA30FC">
            <w:pPr>
              <w:pStyle w:val="AppendixBodyText"/>
              <w:numPr>
                <w:ilvl w:val="0"/>
                <w:numId w:val="12"/>
              </w:numPr>
              <w:tabs>
                <w:tab w:val="clear" w:pos="1440"/>
                <w:tab w:val="num" w:pos="432"/>
              </w:tabs>
              <w:ind w:left="432" w:hanging="270"/>
              <w:rPr>
                <w:rFonts w:ascii="Tahoma" w:hAnsi="Tahoma" w:cs="Tahoma"/>
                <w:sz w:val="18"/>
                <w:szCs w:val="18"/>
                <w:lang w:val="it-IT"/>
              </w:rPr>
            </w:pPr>
            <w:r w:rsidRPr="00EB4D74">
              <w:rPr>
                <w:rFonts w:ascii="Tahoma" w:hAnsi="Tahoma" w:cs="Tahoma"/>
                <w:sz w:val="18"/>
                <w:szCs w:val="18"/>
                <w:lang w:val="pt-BR"/>
              </w:rPr>
              <w:t>Acesso e resposta da autoridade de controle de alterações dentro de 4 Horas Comerciais</w:t>
            </w:r>
          </w:p>
        </w:tc>
      </w:tr>
      <w:tr w:rsidR="008B1196" w:rsidRPr="00EB4D74" w:rsidTr="00EA30FC">
        <w:trPr>
          <w:cantSplit/>
        </w:trPr>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rPr>
                <w:rFonts w:ascii="Tahoma" w:hAnsi="Tahoma" w:cs="Tahoma"/>
                <w:sz w:val="18"/>
                <w:szCs w:val="18"/>
                <w:lang w:val="it-IT"/>
              </w:rPr>
            </w:pPr>
            <w:r w:rsidRPr="00EB4D74">
              <w:rPr>
                <w:rFonts w:ascii="Tahoma" w:hAnsi="Tahoma" w:cs="Tahoma"/>
                <w:sz w:val="18"/>
                <w:szCs w:val="18"/>
                <w:lang w:val="pt-BR"/>
              </w:rPr>
              <w:lastRenderedPageBreak/>
              <w:t>C Solicitação por telefone ou pela Web</w:t>
            </w:r>
          </w:p>
        </w:tc>
        <w:tc>
          <w:tcPr>
            <w:tcW w:w="2502"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 w:val="num" w:pos="612"/>
              </w:tabs>
              <w:ind w:left="612"/>
              <w:rPr>
                <w:rFonts w:ascii="Tahoma" w:hAnsi="Tahoma" w:cs="Tahoma"/>
              </w:rPr>
            </w:pPr>
            <w:r w:rsidRPr="00EB4D74">
              <w:rPr>
                <w:rFonts w:ascii="Tahoma" w:hAnsi="Tahoma" w:cs="Tahoma"/>
                <w:sz w:val="18"/>
                <w:szCs w:val="18"/>
                <w:lang w:val="pt-BR"/>
              </w:rPr>
              <w:t>Impacto mínimo nos negócios:</w:t>
            </w:r>
          </w:p>
          <w:p w:rsidR="008B1196" w:rsidRPr="00EB4D74" w:rsidRDefault="008B1196" w:rsidP="00EA30FC">
            <w:pPr>
              <w:pStyle w:val="AppendixBodyText"/>
              <w:numPr>
                <w:ilvl w:val="0"/>
                <w:numId w:val="12"/>
              </w:numPr>
              <w:tabs>
                <w:tab w:val="clear" w:pos="1440"/>
                <w:tab w:val="num" w:pos="612"/>
              </w:tabs>
              <w:ind w:left="612"/>
              <w:rPr>
                <w:rFonts w:ascii="Tahoma" w:hAnsi="Tahoma" w:cs="Tahoma"/>
                <w:sz w:val="18"/>
                <w:szCs w:val="18"/>
                <w:lang w:val="it-IT"/>
              </w:rPr>
            </w:pPr>
            <w:r w:rsidRPr="00EB4D74">
              <w:rPr>
                <w:rFonts w:ascii="Tahoma" w:hAnsi="Tahoma" w:cs="Tahoma"/>
                <w:sz w:val="18"/>
                <w:szCs w:val="18"/>
                <w:lang w:val="pt-BR"/>
              </w:rPr>
              <w:t>A empresa do cliente está funcionando de forma substancial, com poucos ou nenhum impedimento dos serviços.</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num" w:pos="522"/>
              </w:tabs>
              <w:ind w:left="522"/>
              <w:rPr>
                <w:rFonts w:ascii="Tahoma" w:hAnsi="Tahoma" w:cs="Tahoma"/>
                <w:lang w:val="it-IT"/>
              </w:rPr>
            </w:pPr>
            <w:r w:rsidRPr="00EB4D74">
              <w:rPr>
                <w:rFonts w:ascii="Tahoma" w:hAnsi="Tahoma" w:cs="Tahoma"/>
                <w:sz w:val="18"/>
                <w:lang w:val="pt-BR"/>
              </w:rPr>
              <w:t>1ª resposta em 1 dia útil ou menos, com base na oferta de suporte</w:t>
            </w:r>
          </w:p>
          <w:p w:rsidR="008B1196" w:rsidRPr="00EB4D74" w:rsidRDefault="008B1196" w:rsidP="00EA30FC">
            <w:pPr>
              <w:pStyle w:val="AppendixBodyText"/>
              <w:numPr>
                <w:ilvl w:val="0"/>
                <w:numId w:val="12"/>
              </w:numPr>
              <w:tabs>
                <w:tab w:val="num" w:pos="522"/>
              </w:tabs>
              <w:ind w:left="522"/>
              <w:rPr>
                <w:rFonts w:ascii="Tahoma" w:hAnsi="Tahoma" w:cs="Tahoma"/>
                <w:lang w:val="it-IT"/>
              </w:rPr>
            </w:pPr>
            <w:r w:rsidRPr="00EB4D74">
              <w:rPr>
                <w:rFonts w:ascii="Tahoma" w:hAnsi="Tahoma" w:cs="Tahoma"/>
                <w:sz w:val="18"/>
                <w:lang w:val="pt-BR"/>
              </w:rPr>
              <w:t>Esforço apenas durante o Horário Comercial</w:t>
            </w:r>
          </w:p>
          <w:p w:rsidR="008B1196" w:rsidRPr="00EB4D74" w:rsidRDefault="008B1196" w:rsidP="00EA30FC">
            <w:pPr>
              <w:pStyle w:val="AppendixBodyText"/>
              <w:tabs>
                <w:tab w:val="num" w:pos="522"/>
              </w:tabs>
              <w:ind w:left="522" w:hanging="360"/>
              <w:rPr>
                <w:rFonts w:ascii="Tahoma" w:hAnsi="Tahoma" w:cs="Tahoma"/>
                <w:sz w:val="18"/>
                <w:szCs w:val="18"/>
                <w:lang w:val="it-IT"/>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AppendixBodyText"/>
              <w:numPr>
                <w:ilvl w:val="0"/>
                <w:numId w:val="12"/>
              </w:numPr>
              <w:tabs>
                <w:tab w:val="clear" w:pos="1440"/>
                <w:tab w:val="num" w:pos="432"/>
              </w:tabs>
              <w:ind w:left="432"/>
              <w:rPr>
                <w:rFonts w:ascii="Tahoma" w:hAnsi="Tahoma" w:cs="Tahoma"/>
                <w:lang w:val="it-IT"/>
              </w:rPr>
            </w:pPr>
            <w:r w:rsidRPr="00EB4D74">
              <w:rPr>
                <w:rFonts w:ascii="Tahoma" w:hAnsi="Tahoma" w:cs="Tahoma"/>
                <w:sz w:val="18"/>
                <w:lang w:val="pt-BR"/>
              </w:rPr>
              <w:t>Informações de contato precisas sobre o proprietário do caso</w:t>
            </w:r>
          </w:p>
          <w:p w:rsidR="008B1196" w:rsidRPr="00EB4D74" w:rsidRDefault="008B1196" w:rsidP="00EA30FC">
            <w:pPr>
              <w:pStyle w:val="AppendixBodyText"/>
              <w:numPr>
                <w:ilvl w:val="0"/>
                <w:numId w:val="12"/>
              </w:numPr>
              <w:tabs>
                <w:tab w:val="clear" w:pos="1440"/>
                <w:tab w:val="num" w:pos="432"/>
              </w:tabs>
              <w:ind w:left="432"/>
              <w:rPr>
                <w:rFonts w:ascii="Tahoma" w:hAnsi="Tahoma" w:cs="Tahoma"/>
                <w:sz w:val="18"/>
                <w:szCs w:val="18"/>
                <w:lang w:val="it-IT"/>
              </w:rPr>
            </w:pPr>
            <w:r w:rsidRPr="00EB4D74">
              <w:rPr>
                <w:rFonts w:ascii="Tahoma" w:hAnsi="Tahoma" w:cs="Tahoma"/>
                <w:sz w:val="18"/>
                <w:szCs w:val="18"/>
                <w:lang w:val="pt-BR"/>
              </w:rPr>
              <w:t>Resposta dentro de 1 dia útil</w:t>
            </w:r>
          </w:p>
        </w:tc>
      </w:tr>
    </w:tbl>
    <w:p w:rsidR="008B1196" w:rsidRPr="00EB4D74" w:rsidRDefault="008B1196" w:rsidP="008B1196">
      <w:pPr>
        <w:pStyle w:val="AppendixBodyText"/>
        <w:ind w:left="90" w:right="2160"/>
        <w:rPr>
          <w:rFonts w:ascii="Tahoma" w:hAnsi="Tahoma" w:cs="Tahoma"/>
          <w:lang w:val="it-IT"/>
        </w:rPr>
      </w:pPr>
      <w:r w:rsidRPr="00BC039F">
        <w:rPr>
          <w:rFonts w:ascii="Tahoma" w:hAnsi="Tahoma" w:cs="Tahoma"/>
          <w:i/>
          <w:sz w:val="16"/>
          <w:vertAlign w:val="superscript"/>
          <w:lang w:val="pt-BR"/>
        </w:rPr>
        <w:t>1</w:t>
      </w:r>
      <w:r w:rsidRPr="00EB4D74">
        <w:rPr>
          <w:rFonts w:ascii="Tahoma" w:hAnsi="Tahoma" w:cs="Tahoma"/>
          <w:i/>
          <w:sz w:val="16"/>
          <w:lang w:val="pt-BR"/>
        </w:rPr>
        <w:t xml:space="preserve"> Contate um representante da Microsoft para verificar o horário comercial local.</w:t>
      </w:r>
    </w:p>
    <w:p w:rsidR="008B1196" w:rsidRPr="00EB4D74" w:rsidRDefault="008B1196" w:rsidP="008B1196">
      <w:pPr>
        <w:pStyle w:val="AppendixBodyText"/>
        <w:ind w:left="90" w:right="2160"/>
        <w:rPr>
          <w:rFonts w:ascii="Tahoma" w:hAnsi="Tahoma" w:cs="Tahoma"/>
          <w:lang w:val="it-IT"/>
        </w:rPr>
      </w:pPr>
      <w:r w:rsidRPr="00BC039F">
        <w:rPr>
          <w:rFonts w:ascii="Tahoma" w:hAnsi="Tahoma" w:cs="Tahoma"/>
          <w:i/>
          <w:sz w:val="16"/>
          <w:vertAlign w:val="superscript"/>
          <w:lang w:val="pt-BR"/>
        </w:rPr>
        <w:t>2</w:t>
      </w:r>
      <w:r w:rsidRPr="00EB4D74">
        <w:rPr>
          <w:rFonts w:ascii="Tahoma" w:hAnsi="Tahoma" w:cs="Tahoma"/>
          <w:i/>
          <w:sz w:val="16"/>
          <w:lang w:val="pt-BR"/>
        </w:rPr>
        <w:t xml:space="preserve"> Pode ser necessário reduzir o nível de severidade se o cliente não puder fornecer os recursos ou as respostas adequadas para darmos continuidade aos esforços de resolução do problema.</w:t>
      </w:r>
    </w:p>
    <w:p w:rsidR="008B1196" w:rsidRPr="00EB4D74" w:rsidRDefault="008B1196" w:rsidP="008B1196">
      <w:pPr>
        <w:pStyle w:val="AppendixBodyText"/>
        <w:spacing w:after="0"/>
        <w:ind w:right="216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lang w:val="pt-BR"/>
        </w:rPr>
        <w:t>Os clientes podem ser solicitados a executar atividades de determinação e resolução do problema, conforme solicitado por nós. As atividades para determinação ou resolução do problema podem incluir a execução de rastreamentos na rede, captura de mensagens de erro, coleta de informações de configuração, alteração de configurações de produtos, instalação de novas versões de software ou novos componentes ou modificação de processos.</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lang w:val="pt-BR"/>
        </w:rPr>
        <w:t>Os clientes são responsáveis pela implementação de procedimentos necessários para proteger a integridade e a segurança de seu software e seus dados contra o acesso não autorizado e por reconstruir arquivos perdidos ou alterados em decorrência de falhas catastróficas.</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bCs/>
          <w:sz w:val="18"/>
          <w:szCs w:val="18"/>
          <w:lang w:val="pt-BR"/>
        </w:rPr>
        <w:t xml:space="preserve">Esse benefício de suporte está vinculado ao investimento de SA, e não à versão. </w:t>
      </w:r>
      <w:r w:rsidRPr="00EB4D74">
        <w:rPr>
          <w:rFonts w:ascii="Tahoma" w:hAnsi="Tahoma" w:cs="Tahoma"/>
          <w:sz w:val="18"/>
          <w:lang w:val="pt-BR"/>
        </w:rPr>
        <w:t xml:space="preserve">Os clientes podem adquirir a versão mais recente a fim de usar uma versão mais antiga com direitos de downgrade, mas estarão qualificados para o suporte a esse produto apenas se ele estiver listado como um produto com suporte no site de ciclo de vida de produtos da Microsoft. O site atual de ciclo de vida de produtos da Microsoft está localizado no site </w:t>
      </w:r>
      <w:hyperlink r:id="rId18" w:history="1">
        <w:r w:rsidRPr="00EB4D74">
          <w:rPr>
            <w:rStyle w:val="Hyperlink"/>
            <w:rFonts w:ascii="Tahoma" w:hAnsi="Tahoma" w:cs="Tahoma"/>
            <w:sz w:val="18"/>
            <w:lang w:val="pt-BR"/>
          </w:rPr>
          <w:t>http://support.microsoft.com/common/international.aspx?rdpath=dm;en-us;lifecycle</w:t>
        </w:r>
      </w:hyperlink>
      <w:r w:rsidRPr="00EB4D74">
        <w:rPr>
          <w:rFonts w:ascii="Tahoma" w:hAnsi="Tahoma" w:cs="Tahoma"/>
          <w:sz w:val="18"/>
          <w:lang w:val="pt-BR"/>
        </w:rPr>
        <w:t>.</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b/>
          <w:color w:val="000000"/>
          <w:lang w:val="pt-BR"/>
        </w:rPr>
        <w:t>Conversão de Incidentes do Suporte para Resolução de Problemas 24x7 do Software Assurance em Serviços de Suporte Premier</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color w:val="000000"/>
          <w:sz w:val="18"/>
          <w:lang w:val="pt-BR"/>
        </w:rPr>
        <w:t>Os clientes podem optar por converter os Incidentes de Suporte para Resolução de Problemas 24x7 do Software Assurance (Incidentes de PRS do SA ou “SAB”) em:</w:t>
      </w:r>
    </w:p>
    <w:p w:rsidR="008B1196" w:rsidRPr="00EB4D74" w:rsidRDefault="008B1196" w:rsidP="008B1196">
      <w:pPr>
        <w:pStyle w:val="AppendixBodyText"/>
        <w:rPr>
          <w:rFonts w:ascii="Tahoma" w:hAnsi="Tahoma" w:cs="Tahoma"/>
          <w:sz w:val="18"/>
          <w:szCs w:val="18"/>
          <w:lang w:val="it-IT"/>
        </w:rPr>
      </w:pPr>
    </w:p>
    <w:p w:rsidR="008B1196" w:rsidRPr="00EB4D74" w:rsidRDefault="008B1196" w:rsidP="008B1196">
      <w:pPr>
        <w:pStyle w:val="AppendixBodyText"/>
        <w:numPr>
          <w:ilvl w:val="0"/>
          <w:numId w:val="25"/>
        </w:numPr>
        <w:tabs>
          <w:tab w:val="left" w:pos="1440"/>
        </w:tabs>
        <w:ind w:left="1440"/>
        <w:rPr>
          <w:rFonts w:ascii="Tahoma" w:hAnsi="Tahoma" w:cs="Tahoma"/>
        </w:rPr>
      </w:pPr>
      <w:r w:rsidRPr="00EB4D74">
        <w:rPr>
          <w:rFonts w:ascii="Tahoma" w:hAnsi="Tahoma" w:cs="Tahoma"/>
          <w:color w:val="000000"/>
          <w:sz w:val="18"/>
          <w:lang w:val="pt-BR"/>
        </w:rPr>
        <w:t>Horas de Suporte para Resolução de Problemas (PRS) Premier</w:t>
      </w:r>
    </w:p>
    <w:p w:rsidR="008B1196" w:rsidRPr="00EB4D74" w:rsidRDefault="008B1196" w:rsidP="008B1196">
      <w:pPr>
        <w:pStyle w:val="AppendixBodyText"/>
        <w:numPr>
          <w:ilvl w:val="0"/>
          <w:numId w:val="25"/>
        </w:numPr>
        <w:tabs>
          <w:tab w:val="left" w:pos="1440"/>
        </w:tabs>
        <w:ind w:left="1440"/>
        <w:rPr>
          <w:rFonts w:ascii="Tahoma" w:hAnsi="Tahoma" w:cs="Tahoma"/>
        </w:rPr>
      </w:pPr>
      <w:r w:rsidRPr="00EB4D74">
        <w:rPr>
          <w:rFonts w:ascii="Tahoma" w:hAnsi="Tahoma" w:cs="Tahoma"/>
          <w:color w:val="000000"/>
          <w:sz w:val="18"/>
          <w:lang w:val="pt-BR"/>
        </w:rPr>
        <w:t>Horas de Engenheiro de Suporte Dedicado (DSE)</w:t>
      </w:r>
    </w:p>
    <w:p w:rsidR="008B1196" w:rsidRPr="00EB4D74" w:rsidRDefault="008B1196" w:rsidP="008B1196">
      <w:pPr>
        <w:pStyle w:val="AppendixBodyText"/>
        <w:tabs>
          <w:tab w:val="left" w:pos="1440"/>
        </w:tabs>
        <w:spacing w:after="0"/>
        <w:rPr>
          <w:rFonts w:ascii="Tahoma" w:hAnsi="Tahoma" w:cs="Tahoma"/>
          <w:sz w:val="18"/>
          <w:szCs w:val="18"/>
        </w:rPr>
      </w:pPr>
    </w:p>
    <w:p w:rsidR="008B1196" w:rsidRPr="00EB4D74" w:rsidRDefault="008B1196" w:rsidP="008B1196">
      <w:pPr>
        <w:rPr>
          <w:rFonts w:cs="Tahoma"/>
          <w:lang w:val="it-IT"/>
        </w:rPr>
      </w:pPr>
      <w:r w:rsidRPr="00EB4D74">
        <w:rPr>
          <w:rFonts w:cs="Tahoma"/>
          <w:color w:val="000000"/>
          <w:lang w:val="pt-BR"/>
        </w:rP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b/>
          <w:color w:val="000000"/>
          <w:lang w:val="pt-BR"/>
        </w:rPr>
        <w:t>Provisões empresariais adicionais</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szCs w:val="18"/>
          <w:lang w:val="pt-BR"/>
        </w:rPr>
        <w:t xml:space="preserve">Os gastos de SA não devem ser combinados entre os registros Select ou Enterprise, os registros Select Plus ou os Contratos Open Value a fim de obter qualificação para prêmios adicionais. </w:t>
      </w:r>
      <w:r w:rsidRPr="00EB4D74">
        <w:rPr>
          <w:rFonts w:ascii="Tahoma" w:hAnsi="Tahoma" w:cs="Tahoma"/>
          <w:sz w:val="18"/>
          <w:lang w:val="pt-BR"/>
        </w:rPr>
        <w:t>Os gastos de cada registro ou contrato serão usados para determinar o prêmio do próprio registro ou contrato.</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tabs>
          <w:tab w:val="left" w:pos="1440"/>
        </w:tabs>
        <w:spacing w:after="0"/>
        <w:rPr>
          <w:rFonts w:ascii="Tahoma" w:hAnsi="Tahoma" w:cs="Tahoma"/>
          <w:lang w:val="it-IT"/>
        </w:rPr>
      </w:pPr>
      <w:r w:rsidRPr="00EB4D74">
        <w:rPr>
          <w:rFonts w:ascii="Tahoma" w:hAnsi="Tahoma" w:cs="Tahoma"/>
          <w:sz w:val="18"/>
          <w:lang w:val="pt-BR"/>
        </w:rPr>
        <w:t>A redução de Gastos de SA em decorrência de devoluções e outros ajustes de cobrança, quando permitido, pode resultar na perda de qualificação de Suporte ou de prêmios de incidentes por Telefone durante os períodos de premiação atuais ou futuros.</w:t>
      </w:r>
    </w:p>
    <w:p w:rsidR="008B1196" w:rsidRPr="00EB4D74" w:rsidRDefault="008B1196" w:rsidP="008B1196">
      <w:pPr>
        <w:pStyle w:val="Heading3"/>
        <w:rPr>
          <w:rFonts w:ascii="Tahoma" w:hAnsi="Tahoma" w:cs="Tahoma"/>
          <w:lang w:val="it-IT"/>
        </w:rPr>
      </w:pPr>
      <w:bookmarkStart w:id="863" w:name="_Toc336338237"/>
      <w:bookmarkStart w:id="864" w:name="_Toc342914874"/>
      <w:bookmarkEnd w:id="863"/>
      <w:r w:rsidRPr="00EB4D74">
        <w:rPr>
          <w:rFonts w:ascii="Tahoma" w:hAnsi="Tahoma" w:cs="Tahoma"/>
          <w:lang w:val="pt-BR"/>
        </w:rPr>
        <w:lastRenderedPageBreak/>
        <w:t>Suporte para Resolução de Problemas 24x7 Ilimitado</w:t>
      </w:r>
      <w:bookmarkEnd w:id="864"/>
    </w:p>
    <w:p w:rsidR="008B1196" w:rsidRPr="00EB4D74" w:rsidRDefault="008B1196" w:rsidP="008B1196">
      <w:pPr>
        <w:pStyle w:val="Heading3"/>
        <w:rPr>
          <w:rFonts w:ascii="Tahoma" w:hAnsi="Tahoma" w:cs="Tahoma"/>
          <w:sz w:val="18"/>
          <w:szCs w:val="18"/>
          <w:lang w:val="it-IT"/>
        </w:rPr>
      </w:pPr>
    </w:p>
    <w:p w:rsidR="008B1196" w:rsidRPr="00EB4D74" w:rsidRDefault="008B1196" w:rsidP="008B1196">
      <w:pPr>
        <w:jc w:val="both"/>
        <w:rPr>
          <w:rFonts w:cs="Tahoma"/>
        </w:rPr>
      </w:pPr>
      <w:r w:rsidRPr="00EB4D74">
        <w:rPr>
          <w:rFonts w:cs="Tahoma"/>
          <w:lang w:val="pt-BR"/>
        </w:rPr>
        <w:t>Este benefício está disponível somente por meio (1) do Enrollment for Application Platform (EAP) para um Contrato Enterprise e/ou (2) com a compra de licenças do Parallel Data Warehouse (PDW) por meio do EA, EAP, Select Plus ou Select.</w:t>
      </w:r>
    </w:p>
    <w:p w:rsidR="008B1196" w:rsidRPr="00EB4D74" w:rsidRDefault="008B1196" w:rsidP="008B1196">
      <w:pPr>
        <w:jc w:val="both"/>
        <w:rPr>
          <w:rFonts w:cs="Tahoma"/>
        </w:rPr>
      </w:pPr>
    </w:p>
    <w:p w:rsidR="008B1196" w:rsidRPr="00EB4D74" w:rsidRDefault="008B1196" w:rsidP="008B1196">
      <w:pPr>
        <w:spacing w:line="276" w:lineRule="atLeast"/>
        <w:rPr>
          <w:rFonts w:cs="Tahoma"/>
          <w:lang w:val="it-IT"/>
        </w:rPr>
      </w:pPr>
      <w:r w:rsidRPr="00EB4D74">
        <w:rPr>
          <w:rFonts w:cs="Tahoma"/>
          <w:lang w:val="pt-BR"/>
        </w:rPr>
        <w:t xml:space="preserve">Os clientes que possuem um EAP com uma média de gasto mínimo de SA anual de US$ 250.000 no total de produtos de Plataforma de Aplicativos qualificados e que possuem um Contrato de Serviços Premier estão qualificados para incidentes de Suporte para Resolução de Problemas (PRS) 24 horas por dia, 7 dias por semana Ilimitado. Os produtos listados abaixo, que estão atualmente no Suporte Base ou Estendido, conforme estabelecido no site </w:t>
      </w:r>
      <w:hyperlink r:id="rId19" w:history="1">
        <w:r w:rsidRPr="00EB4D74">
          <w:rPr>
            <w:rStyle w:val="Hyperlink"/>
            <w:rFonts w:cs="Tahoma"/>
            <w:lang w:val="pt-BR"/>
          </w:rPr>
          <w:t>Microsoft's Support Lifecycle Policy</w:t>
        </w:r>
      </w:hyperlink>
      <w:r w:rsidRPr="00EB4D74">
        <w:rPr>
          <w:rFonts w:cs="Tahoma"/>
          <w:lang w:val="pt-BR"/>
        </w:rPr>
        <w:t>, alinhados com um contrato Premier do cliente, estão incluídos neste benefício.</w:t>
      </w:r>
    </w:p>
    <w:p w:rsidR="008B1196" w:rsidRPr="00EB4D74" w:rsidRDefault="008B1196" w:rsidP="008B1196">
      <w:pPr>
        <w:spacing w:line="276" w:lineRule="auto"/>
        <w:jc w:val="both"/>
        <w:rPr>
          <w:rFonts w:cs="Tahoma"/>
          <w:lang w:val="it-IT"/>
        </w:rPr>
      </w:pPr>
    </w:p>
    <w:p w:rsidR="008B1196" w:rsidRPr="00EB4D74" w:rsidRDefault="008B1196" w:rsidP="008B1196">
      <w:pPr>
        <w:spacing w:line="276" w:lineRule="auto"/>
        <w:jc w:val="both"/>
        <w:rPr>
          <w:rFonts w:cs="Tahoma"/>
          <w:lang w:val="it-IT"/>
        </w:rPr>
      </w:pPr>
      <w:r w:rsidRPr="00EB4D74">
        <w:rPr>
          <w:rFonts w:cs="Tahoma"/>
          <w:lang w:val="pt-BR"/>
        </w:rPr>
        <w:t>Os produtos de Plataforma de Aplicativos qualificados são os seguintes:</w:t>
      </w:r>
    </w:p>
    <w:p w:rsidR="008B1196" w:rsidRPr="00EB4D74" w:rsidRDefault="008B1196" w:rsidP="008B1196">
      <w:pPr>
        <w:rPr>
          <w:rFonts w:cs="Tahoma"/>
          <w:lang w:val="it-IT"/>
        </w:rPr>
      </w:pPr>
    </w:p>
    <w:p w:rsidR="008B1196" w:rsidRPr="00EB4D74" w:rsidRDefault="008B1196" w:rsidP="008B1196">
      <w:pPr>
        <w:numPr>
          <w:ilvl w:val="0"/>
          <w:numId w:val="45"/>
        </w:numPr>
        <w:spacing w:after="60"/>
        <w:rPr>
          <w:rFonts w:cs="Tahoma"/>
          <w:szCs w:val="18"/>
        </w:rPr>
      </w:pPr>
      <w:r w:rsidRPr="00EB4D74">
        <w:rPr>
          <w:rFonts w:cs="Tahoma"/>
          <w:szCs w:val="18"/>
        </w:rPr>
        <w:t>SQL CAL</w:t>
      </w:r>
    </w:p>
    <w:p w:rsidR="008B1196" w:rsidRPr="00EB4D74" w:rsidRDefault="008B1196" w:rsidP="008B1196">
      <w:pPr>
        <w:numPr>
          <w:ilvl w:val="0"/>
          <w:numId w:val="45"/>
        </w:numPr>
        <w:spacing w:after="60"/>
        <w:rPr>
          <w:rFonts w:cs="Tahoma"/>
          <w:szCs w:val="18"/>
        </w:rPr>
      </w:pPr>
      <w:r w:rsidRPr="00EB4D74">
        <w:rPr>
          <w:rFonts w:cs="Tahoma"/>
          <w:szCs w:val="18"/>
        </w:rPr>
        <w:t>SQL Server Standard</w:t>
      </w:r>
    </w:p>
    <w:p w:rsidR="008B1196" w:rsidRPr="00EB4D74" w:rsidRDefault="008B1196" w:rsidP="008B1196">
      <w:pPr>
        <w:numPr>
          <w:ilvl w:val="0"/>
          <w:numId w:val="45"/>
        </w:numPr>
        <w:spacing w:after="60"/>
        <w:rPr>
          <w:rFonts w:cs="Tahoma"/>
          <w:szCs w:val="18"/>
        </w:rPr>
      </w:pPr>
      <w:r w:rsidRPr="00EB4D74">
        <w:rPr>
          <w:rFonts w:cs="Tahoma"/>
          <w:szCs w:val="18"/>
        </w:rPr>
        <w:t>SQL Server Standard por Núcleo/Processador</w:t>
      </w:r>
    </w:p>
    <w:p w:rsidR="008B1196" w:rsidRPr="00EB4D74" w:rsidRDefault="008B1196" w:rsidP="008B1196">
      <w:pPr>
        <w:numPr>
          <w:ilvl w:val="0"/>
          <w:numId w:val="45"/>
        </w:numPr>
        <w:spacing w:after="60"/>
        <w:rPr>
          <w:rFonts w:cs="Tahoma"/>
          <w:szCs w:val="18"/>
        </w:rPr>
      </w:pPr>
      <w:r w:rsidRPr="00EB4D74">
        <w:rPr>
          <w:rFonts w:cs="Tahoma"/>
          <w:szCs w:val="18"/>
        </w:rPr>
        <w:t>SQL Server Enterprise</w:t>
      </w:r>
    </w:p>
    <w:p w:rsidR="008B1196" w:rsidRPr="00EB4D74" w:rsidRDefault="008B1196" w:rsidP="008B1196">
      <w:pPr>
        <w:numPr>
          <w:ilvl w:val="0"/>
          <w:numId w:val="45"/>
        </w:numPr>
        <w:spacing w:after="60"/>
        <w:rPr>
          <w:rFonts w:cs="Tahoma"/>
          <w:szCs w:val="18"/>
        </w:rPr>
      </w:pPr>
      <w:r w:rsidRPr="00EB4D74">
        <w:rPr>
          <w:rFonts w:cs="Tahoma"/>
          <w:szCs w:val="18"/>
        </w:rPr>
        <w:t>SQL Server Enterprise por Núcleo/Processador</w:t>
      </w:r>
    </w:p>
    <w:p w:rsidR="008B1196" w:rsidRPr="00EB4D74" w:rsidRDefault="008B1196" w:rsidP="008B1196">
      <w:pPr>
        <w:numPr>
          <w:ilvl w:val="0"/>
          <w:numId w:val="45"/>
        </w:numPr>
        <w:spacing w:after="60"/>
        <w:rPr>
          <w:rFonts w:cs="Tahoma"/>
          <w:szCs w:val="18"/>
        </w:rPr>
      </w:pPr>
      <w:r w:rsidRPr="00EB4D74">
        <w:rPr>
          <w:rFonts w:cs="Tahoma"/>
          <w:szCs w:val="18"/>
        </w:rPr>
        <w:t>SQL Server Business Intelligence</w:t>
      </w:r>
    </w:p>
    <w:p w:rsidR="008B1196" w:rsidRPr="00EB4D74" w:rsidRDefault="008B1196" w:rsidP="008B1196">
      <w:pPr>
        <w:numPr>
          <w:ilvl w:val="0"/>
          <w:numId w:val="45"/>
        </w:numPr>
        <w:spacing w:after="60"/>
        <w:rPr>
          <w:rFonts w:cs="Tahoma"/>
          <w:szCs w:val="18"/>
        </w:rPr>
      </w:pPr>
      <w:r w:rsidRPr="00EB4D74">
        <w:rPr>
          <w:rFonts w:cs="Tahoma"/>
          <w:szCs w:val="18"/>
        </w:rPr>
        <w:t>SQL Server Datacenter por Processador</w:t>
      </w:r>
    </w:p>
    <w:p w:rsidR="008B1196" w:rsidRPr="00EB4D74" w:rsidRDefault="008B1196" w:rsidP="008B1196">
      <w:pPr>
        <w:numPr>
          <w:ilvl w:val="0"/>
          <w:numId w:val="45"/>
        </w:numPr>
        <w:spacing w:after="60"/>
        <w:rPr>
          <w:rFonts w:cs="Tahoma"/>
          <w:szCs w:val="18"/>
        </w:rPr>
      </w:pPr>
      <w:r w:rsidRPr="00EB4D74">
        <w:rPr>
          <w:rFonts w:cs="Tahoma"/>
          <w:szCs w:val="18"/>
        </w:rPr>
        <w:t>BizTalk Server Standard por Processador</w:t>
      </w:r>
    </w:p>
    <w:p w:rsidR="008B1196" w:rsidRPr="00EB4D74" w:rsidRDefault="008B1196" w:rsidP="008B1196">
      <w:pPr>
        <w:numPr>
          <w:ilvl w:val="0"/>
          <w:numId w:val="45"/>
        </w:numPr>
        <w:spacing w:after="60"/>
        <w:rPr>
          <w:rFonts w:cs="Tahoma"/>
          <w:szCs w:val="18"/>
        </w:rPr>
      </w:pPr>
      <w:r w:rsidRPr="00EB4D74">
        <w:rPr>
          <w:rFonts w:cs="Tahoma"/>
          <w:szCs w:val="18"/>
        </w:rPr>
        <w:t>BizTalk Server Enterprise por Processador</w:t>
      </w:r>
    </w:p>
    <w:p w:rsidR="008B1196" w:rsidRPr="00EB4D74" w:rsidRDefault="008B1196" w:rsidP="008B1196">
      <w:pPr>
        <w:numPr>
          <w:ilvl w:val="0"/>
          <w:numId w:val="45"/>
        </w:numPr>
        <w:spacing w:after="60"/>
        <w:rPr>
          <w:rFonts w:cs="Tahoma"/>
          <w:szCs w:val="18"/>
        </w:rPr>
      </w:pPr>
      <w:r w:rsidRPr="00EB4D74">
        <w:rPr>
          <w:rFonts w:cs="Tahoma"/>
          <w:szCs w:val="18"/>
        </w:rPr>
        <w:t>BizTalk Server Branch por Processador</w:t>
      </w:r>
    </w:p>
    <w:p w:rsidR="008B1196" w:rsidRPr="00EB4D74" w:rsidRDefault="008B1196" w:rsidP="008B1196">
      <w:pPr>
        <w:numPr>
          <w:ilvl w:val="0"/>
          <w:numId w:val="45"/>
        </w:numPr>
        <w:spacing w:after="60"/>
        <w:rPr>
          <w:rFonts w:cs="Tahoma"/>
          <w:szCs w:val="18"/>
        </w:rPr>
      </w:pPr>
      <w:r w:rsidRPr="00EB4D74">
        <w:rPr>
          <w:rFonts w:cs="Tahoma"/>
          <w:szCs w:val="18"/>
        </w:rPr>
        <w:t>Office SharePoint Server</w:t>
      </w:r>
    </w:p>
    <w:p w:rsidR="008B1196" w:rsidRPr="00EB4D74" w:rsidRDefault="008B1196" w:rsidP="008B1196">
      <w:pPr>
        <w:numPr>
          <w:ilvl w:val="0"/>
          <w:numId w:val="45"/>
        </w:numPr>
        <w:spacing w:after="60"/>
        <w:rPr>
          <w:rFonts w:cs="Tahoma"/>
          <w:szCs w:val="18"/>
        </w:rPr>
      </w:pPr>
      <w:r w:rsidRPr="00EB4D74">
        <w:rPr>
          <w:rFonts w:cs="Tahoma"/>
          <w:szCs w:val="18"/>
        </w:rPr>
        <w:t>SharePoint Internet</w:t>
      </w:r>
    </w:p>
    <w:p w:rsidR="008B1196" w:rsidRPr="00EB4D74" w:rsidRDefault="008B1196" w:rsidP="008B1196">
      <w:pPr>
        <w:numPr>
          <w:ilvl w:val="0"/>
          <w:numId w:val="45"/>
        </w:numPr>
        <w:spacing w:after="60"/>
        <w:rPr>
          <w:rFonts w:cs="Tahoma"/>
          <w:szCs w:val="18"/>
        </w:rPr>
      </w:pPr>
      <w:r w:rsidRPr="00EB4D74">
        <w:rPr>
          <w:rFonts w:cs="Tahoma"/>
          <w:szCs w:val="18"/>
        </w:rPr>
        <w:t>FAST para SharePoint/SharePoint Internet</w:t>
      </w:r>
    </w:p>
    <w:p w:rsidR="008B1196" w:rsidRPr="00EB4D74" w:rsidRDefault="008B1196" w:rsidP="008B1196">
      <w:pPr>
        <w:spacing w:after="60"/>
        <w:rPr>
          <w:rFonts w:cs="Tahoma"/>
          <w:szCs w:val="18"/>
        </w:rPr>
      </w:pPr>
    </w:p>
    <w:p w:rsidR="008B1196" w:rsidRPr="00EB4D74" w:rsidRDefault="008B1196" w:rsidP="008B1196">
      <w:pPr>
        <w:pStyle w:val="AppendixBodyText"/>
        <w:spacing w:after="0"/>
        <w:jc w:val="both"/>
        <w:rPr>
          <w:rFonts w:ascii="Tahoma" w:hAnsi="Tahoma" w:cs="Tahoma"/>
          <w:lang w:val="it-IT"/>
        </w:rPr>
      </w:pPr>
      <w:r w:rsidRPr="00EB4D74">
        <w:rPr>
          <w:rFonts w:ascii="Tahoma" w:hAnsi="Tahoma" w:cs="Tahoma"/>
          <w:sz w:val="18"/>
          <w:szCs w:val="18"/>
          <w:lang w:val="pt-BR"/>
        </w:rPr>
        <w:t xml:space="preserve">A tabela a seguir lista as conversões de limite de gastos de SA para contratos com base em moedas que não sejam o USD. </w:t>
      </w:r>
      <w:r w:rsidRPr="00EB4D74">
        <w:rPr>
          <w:rFonts w:ascii="Tahoma" w:hAnsi="Tahoma" w:cs="Tahoma"/>
          <w:sz w:val="18"/>
          <w:lang w:val="pt-BR"/>
        </w:rPr>
        <w:t>Devido à flutuação das taxas de câmbio, essa tabela está sujeita a alterações sem aviso.</w:t>
      </w:r>
    </w:p>
    <w:p w:rsidR="008B1196" w:rsidRPr="00EB4D74" w:rsidRDefault="008B1196" w:rsidP="008B1196">
      <w:pPr>
        <w:pStyle w:val="AppendixBodyText"/>
        <w:spacing w:after="0"/>
        <w:rPr>
          <w:rFonts w:ascii="Tahoma" w:hAnsi="Tahoma" w:cs="Tahoma"/>
          <w:lang w:val="it-IT"/>
        </w:rPr>
      </w:pPr>
    </w:p>
    <w:p w:rsidR="008B1196" w:rsidRPr="00EB4D74" w:rsidRDefault="008B1196" w:rsidP="008B1196">
      <w:pPr>
        <w:rPr>
          <w:rFonts w:cs="Tahoma"/>
          <w:lang w:val="it-IT"/>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8B1196" w:rsidRPr="00EB4D74" w:rsidTr="00EA30FC">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ind w:left="-4" w:firstLine="4"/>
              <w:jc w:val="center"/>
              <w:rPr>
                <w:rFonts w:ascii="Tahoma" w:hAnsi="Tahoma" w:cs="Tahoma"/>
                <w:b/>
                <w:bCs/>
              </w:rPr>
            </w:pPr>
            <w:r w:rsidRPr="00EB4D74">
              <w:rPr>
                <w:rFonts w:ascii="Tahoma" w:hAnsi="Tahoma" w:cs="Tahoma"/>
                <w:b/>
                <w:bCs/>
                <w:lang w:val="pt-BR"/>
              </w:rPr>
              <w:t>Moeda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jc w:val="center"/>
              <w:rPr>
                <w:rFonts w:ascii="Tahoma" w:hAnsi="Tahoma" w:cs="Tahoma"/>
                <w:b/>
                <w:bCs/>
              </w:rPr>
            </w:pPr>
            <w:r w:rsidRPr="00EB4D74">
              <w:rPr>
                <w:rFonts w:ascii="Tahoma" w:hAnsi="Tahoma" w:cs="Tahoma"/>
                <w:b/>
                <w:bCs/>
                <w:lang w:val="pt-BR"/>
              </w:rPr>
              <w:t>Código da Moeda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BodyText"/>
              <w:jc w:val="center"/>
              <w:rPr>
                <w:rFonts w:ascii="Tahoma" w:hAnsi="Tahoma" w:cs="Tahoma"/>
                <w:b/>
                <w:bCs/>
                <w:lang w:val="it-IT"/>
              </w:rPr>
            </w:pPr>
            <w:r w:rsidRPr="00EB4D74">
              <w:rPr>
                <w:rFonts w:ascii="Tahoma" w:hAnsi="Tahoma" w:cs="Tahoma"/>
                <w:b/>
                <w:bCs/>
                <w:lang w:val="pt-BR"/>
              </w:rPr>
              <w:t>Média de Gasto Mínimo de SA Anual para qualificação ao PRS 24x7 Ilimitado</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Americano</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USD</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250.000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Australiano</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AUD</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375.000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Dólar Canadense</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CAD</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337.500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Franco Suíço</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CHF</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412.500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Iuan Renmimbi (China)</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CNY</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2.062.500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Coroa Dinamarquesa</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DKK</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2.000.000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Euro</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EUR</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268.750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Libra Esterlina</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GBP</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168.750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Iene Japonês</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JPY</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30.000.000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Won Coreano</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KRW</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300.000.000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Coroa Norueguesa</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NOK</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2.062.500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lastRenderedPageBreak/>
              <w:t>Dólar Neozelandês</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NZD</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437.500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Coroa Sueca</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SEK</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2.500.000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szCs w:val="18"/>
                <w:lang w:val="pt-BR"/>
              </w:rPr>
              <w:t>Novo Dólar Taiwanês</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szCs w:val="18"/>
                <w:lang w:val="pt-BR"/>
              </w:rPr>
              <w:t>TWD</w:t>
            </w:r>
          </w:p>
        </w:tc>
        <w:tc>
          <w:tcPr>
            <w:tcW w:w="3152" w:type="dxa"/>
            <w:vAlign w:val="bottom"/>
          </w:tcPr>
          <w:p w:rsidR="008B1196" w:rsidRPr="00EB4D74" w:rsidRDefault="008B1196" w:rsidP="00EA30FC">
            <w:pPr>
              <w:pStyle w:val="AppendixBodyText"/>
              <w:jc w:val="right"/>
              <w:rPr>
                <w:rFonts w:ascii="Tahoma" w:hAnsi="Tahoma" w:cs="Tahoma"/>
                <w:sz w:val="18"/>
                <w:szCs w:val="18"/>
              </w:rPr>
            </w:pPr>
            <w:r w:rsidRPr="00EB4D74">
              <w:rPr>
                <w:rFonts w:ascii="Tahoma" w:hAnsi="Tahoma" w:cs="Tahoma"/>
                <w:color w:val="000000"/>
                <w:sz w:val="18"/>
              </w:rPr>
              <w:t>8.750.000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lang w:val="pt-BR"/>
              </w:rPr>
              <w:t>Rúpia Indiana</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lang w:val="pt-BR"/>
              </w:rPr>
              <w:t>INR</w:t>
            </w:r>
          </w:p>
        </w:tc>
        <w:tc>
          <w:tcPr>
            <w:tcW w:w="3152" w:type="dxa"/>
            <w:vAlign w:val="bottom"/>
          </w:tcPr>
          <w:p w:rsidR="008B1196" w:rsidRPr="00EB4D74" w:rsidRDefault="008B1196" w:rsidP="00EA30FC">
            <w:pPr>
              <w:pStyle w:val="AppendixBodyText"/>
              <w:jc w:val="right"/>
              <w:rPr>
                <w:rFonts w:ascii="Tahoma" w:hAnsi="Tahoma" w:cs="Tahoma"/>
                <w:color w:val="000000"/>
                <w:sz w:val="18"/>
                <w:szCs w:val="18"/>
              </w:rPr>
            </w:pPr>
            <w:r w:rsidRPr="00EB4D74">
              <w:rPr>
                <w:rFonts w:ascii="Tahoma" w:hAnsi="Tahoma" w:cs="Tahoma"/>
                <w:sz w:val="18"/>
              </w:rPr>
              <w:t>12.500.000</w:t>
            </w:r>
          </w:p>
        </w:tc>
      </w:tr>
      <w:tr w:rsidR="008B1196" w:rsidRPr="00EB4D74" w:rsidTr="00EA30FC">
        <w:trPr>
          <w:trHeight w:val="236"/>
          <w:jc w:val="center"/>
        </w:trPr>
        <w:tc>
          <w:tcPr>
            <w:tcW w:w="1757" w:type="dxa"/>
            <w:vAlign w:val="bottom"/>
          </w:tcPr>
          <w:p w:rsidR="008B1196" w:rsidRPr="00EB4D74" w:rsidRDefault="008B1196" w:rsidP="00EA30FC">
            <w:pPr>
              <w:pStyle w:val="AppendixBodyText"/>
              <w:rPr>
                <w:rFonts w:ascii="Tahoma" w:hAnsi="Tahoma" w:cs="Tahoma"/>
                <w:sz w:val="18"/>
                <w:szCs w:val="18"/>
              </w:rPr>
            </w:pPr>
            <w:r w:rsidRPr="00EB4D74">
              <w:rPr>
                <w:rFonts w:ascii="Tahoma" w:hAnsi="Tahoma" w:cs="Tahoma"/>
                <w:sz w:val="18"/>
                <w:lang w:val="pt-BR"/>
              </w:rPr>
              <w:t>Rublo Russo</w:t>
            </w:r>
          </w:p>
        </w:tc>
        <w:tc>
          <w:tcPr>
            <w:tcW w:w="1112" w:type="dxa"/>
            <w:vAlign w:val="bottom"/>
          </w:tcPr>
          <w:p w:rsidR="008B1196" w:rsidRPr="00EB4D74" w:rsidRDefault="008B1196" w:rsidP="00EA30FC">
            <w:pPr>
              <w:pStyle w:val="AppendixBodyText"/>
              <w:jc w:val="center"/>
              <w:rPr>
                <w:rFonts w:ascii="Tahoma" w:hAnsi="Tahoma" w:cs="Tahoma"/>
                <w:sz w:val="18"/>
                <w:szCs w:val="18"/>
              </w:rPr>
            </w:pPr>
            <w:r w:rsidRPr="00EB4D74">
              <w:rPr>
                <w:rFonts w:ascii="Tahoma" w:hAnsi="Tahoma" w:cs="Tahoma"/>
                <w:sz w:val="18"/>
                <w:lang w:val="pt-BR"/>
              </w:rPr>
              <w:t>RUB</w:t>
            </w:r>
          </w:p>
        </w:tc>
        <w:tc>
          <w:tcPr>
            <w:tcW w:w="3152" w:type="dxa"/>
            <w:vAlign w:val="bottom"/>
          </w:tcPr>
          <w:p w:rsidR="008B1196" w:rsidRPr="00EB4D74" w:rsidRDefault="008B1196" w:rsidP="00EA30FC">
            <w:pPr>
              <w:pStyle w:val="AppendixBodyText"/>
              <w:jc w:val="right"/>
              <w:rPr>
                <w:rFonts w:ascii="Tahoma" w:hAnsi="Tahoma" w:cs="Tahoma"/>
                <w:color w:val="000000"/>
                <w:sz w:val="18"/>
                <w:szCs w:val="18"/>
              </w:rPr>
            </w:pPr>
            <w:r w:rsidRPr="00EB4D74">
              <w:rPr>
                <w:rFonts w:ascii="Tahoma" w:hAnsi="Tahoma" w:cs="Tahoma"/>
                <w:sz w:val="18"/>
              </w:rPr>
              <w:t>8.250.000</w:t>
            </w:r>
          </w:p>
        </w:tc>
      </w:tr>
    </w:tbl>
    <w:p w:rsidR="008B1196" w:rsidRPr="00EB4D74" w:rsidRDefault="008B1196" w:rsidP="008B1196">
      <w:pPr>
        <w:jc w:val="both"/>
        <w:rPr>
          <w:rFonts w:cs="Tahoma"/>
        </w:rPr>
      </w:pPr>
    </w:p>
    <w:p w:rsidR="008B1196" w:rsidRPr="00EB4D74" w:rsidRDefault="008B1196" w:rsidP="008B1196">
      <w:pPr>
        <w:jc w:val="both"/>
        <w:rPr>
          <w:rFonts w:cs="Tahoma"/>
        </w:rPr>
      </w:pPr>
    </w:p>
    <w:p w:rsidR="008B1196" w:rsidRPr="00EB4D74" w:rsidRDefault="008B1196" w:rsidP="008B1196">
      <w:pPr>
        <w:jc w:val="both"/>
        <w:rPr>
          <w:rFonts w:cs="Tahoma"/>
          <w:lang w:val="pt-BR"/>
        </w:rPr>
      </w:pPr>
      <w:r w:rsidRPr="00EB4D74">
        <w:rPr>
          <w:rFonts w:cs="Tahoma"/>
          <w:lang w:val="pt-BR"/>
        </w:rPr>
        <w:t>Quando a média de gasto de SA anual comprometida com produtos de Plataforma de Aplicativos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w:t>
      </w:r>
    </w:p>
    <w:p w:rsidR="008B1196" w:rsidRPr="00EB4D74" w:rsidRDefault="008B1196" w:rsidP="008B1196">
      <w:pPr>
        <w:rPr>
          <w:rFonts w:cs="Tahoma"/>
          <w:lang w:val="pt-BR"/>
        </w:rPr>
      </w:pPr>
    </w:p>
    <w:p w:rsidR="008B1196" w:rsidRPr="00EB4D74" w:rsidRDefault="008B1196" w:rsidP="008B1196">
      <w:pPr>
        <w:jc w:val="both"/>
        <w:rPr>
          <w:rFonts w:cs="Tahoma"/>
          <w:lang w:val="it-IT"/>
        </w:rPr>
      </w:pPr>
      <w:r w:rsidRPr="00EB4D74">
        <w:rPr>
          <w:rFonts w:cs="Tahoma"/>
          <w:lang w:val="pt-BR"/>
        </w:rPr>
        <w:t xml:space="preserve">Os clientes que possuem Contratos </w:t>
      </w:r>
      <w:r w:rsidRPr="00EB4D74">
        <w:rPr>
          <w:rFonts w:cs="Tahoma"/>
          <w:color w:val="000000"/>
          <w:lang w:val="pt-BR"/>
        </w:rPr>
        <w:t>Application Platform (</w:t>
      </w:r>
      <w:r w:rsidRPr="00EB4D74">
        <w:rPr>
          <w:rFonts w:cs="Tahoma"/>
          <w:lang w:val="pt-BR"/>
        </w:rPr>
        <w:t>APA) com data de início de vigência anterior a 1º de julho de 2009 e com uma média de gasto de SA anual superior a US$ 250.000 em produtos de Plataforma de Aplicativos qualificados e que possuem um Contrato de Serviços Premier ativo se tornarão qualificados para o PRS 24x7 Ilimitado no primeiro aniversário da data de início de vigência do APA.</w:t>
      </w:r>
    </w:p>
    <w:p w:rsidR="008B1196" w:rsidRPr="00EB4D74" w:rsidRDefault="008B1196" w:rsidP="008B1196">
      <w:pPr>
        <w:rPr>
          <w:rFonts w:cs="Tahoma"/>
          <w:lang w:val="it-IT"/>
        </w:rPr>
      </w:pPr>
    </w:p>
    <w:p w:rsidR="008B1196" w:rsidRPr="00EB4D74" w:rsidRDefault="008B1196" w:rsidP="008B1196">
      <w:pPr>
        <w:spacing w:line="276" w:lineRule="auto"/>
        <w:rPr>
          <w:rFonts w:cs="Tahoma"/>
          <w:lang w:val="it-IT"/>
        </w:rPr>
      </w:pPr>
      <w:r w:rsidRPr="00EB4D74">
        <w:rPr>
          <w:rFonts w:cs="Tahoma"/>
          <w:lang w:val="pt-BR"/>
        </w:rPr>
        <w:t>(2) Os clientes que adquirirem licenças para o PDW e possuem um Contrato de Serviços Premier ativo estão qualificados para incidentes Ilimitados do PRS 24 horas por dia, 7 dias por semana.</w:t>
      </w:r>
    </w:p>
    <w:p w:rsidR="008B1196" w:rsidRPr="00EB4D74" w:rsidRDefault="008B1196" w:rsidP="008B1196">
      <w:pPr>
        <w:spacing w:line="276" w:lineRule="auto"/>
        <w:rPr>
          <w:rFonts w:cs="Tahoma"/>
          <w:lang w:val="it-IT"/>
        </w:rPr>
      </w:pPr>
    </w:p>
    <w:p w:rsidR="008B1196" w:rsidRPr="00EB4D74" w:rsidRDefault="008B1196" w:rsidP="008B1196">
      <w:pPr>
        <w:spacing w:line="276" w:lineRule="auto"/>
        <w:jc w:val="both"/>
        <w:rPr>
          <w:rFonts w:cs="Tahoma"/>
          <w:lang w:val="pt-BR"/>
        </w:rPr>
      </w:pPr>
      <w:r w:rsidRPr="00EB4D74">
        <w:rPr>
          <w:rFonts w:cs="Tahoma"/>
          <w:lang w:val="pt-BR"/>
        </w:rPr>
        <w:t>Na compra de licenças para o PDW, a Microsoft não concederá aos clientes incidentes com base no gasto de SA real neste produto. Os incidentes de PRS 24x7 Ilimitado não podem ser convertidos em horas ou incidentes de Suporte para Resolução de Problemas Premier.</w:t>
      </w:r>
    </w:p>
    <w:p w:rsidR="008B1196" w:rsidRPr="00EB4D74" w:rsidRDefault="008B1196" w:rsidP="008B1196">
      <w:pPr>
        <w:spacing w:line="276" w:lineRule="auto"/>
        <w:jc w:val="both"/>
        <w:rPr>
          <w:rFonts w:cs="Tahoma"/>
          <w:lang w:val="pt-BR"/>
        </w:rPr>
      </w:pPr>
    </w:p>
    <w:p w:rsidR="008B1196" w:rsidRPr="00EB4D74" w:rsidRDefault="008B1196" w:rsidP="008B1196">
      <w:pPr>
        <w:jc w:val="both"/>
        <w:rPr>
          <w:rFonts w:cs="Tahoma"/>
          <w:lang w:val="it-IT"/>
        </w:rPr>
      </w:pPr>
      <w:r w:rsidRPr="00EB4D74">
        <w:rPr>
          <w:rFonts w:cs="Tahoma"/>
          <w:color w:val="000000"/>
          <w:lang w:val="pt-BR"/>
        </w:rPr>
        <w:t xml:space="preserve">Embora o número de </w:t>
      </w:r>
      <w:r w:rsidRPr="00EB4D74">
        <w:rPr>
          <w:rFonts w:cs="Tahoma"/>
          <w:i/>
          <w:color w:val="000000"/>
          <w:lang w:val="pt-BR"/>
        </w:rPr>
        <w:t>incidentes</w:t>
      </w:r>
      <w:r w:rsidRPr="00EB4D74">
        <w:rPr>
          <w:rFonts w:cs="Tahoma"/>
          <w:color w:val="000000"/>
          <w:lang w:val="pt-BR"/>
        </w:rPr>
        <w:t xml:space="preserve"> do PRS 24x7 concedidos não seja determinado pelo gasto de SA, o número de </w:t>
      </w:r>
      <w:r w:rsidRPr="00EB4D74">
        <w:rPr>
          <w:rFonts w:cs="Tahoma"/>
          <w:i/>
          <w:color w:val="000000"/>
          <w:lang w:val="pt-BR"/>
        </w:rPr>
        <w:t>contatos de suporte permitidos</w:t>
      </w:r>
      <w:r w:rsidRPr="00EB4D74">
        <w:rPr>
          <w:rFonts w:cs="Tahoma"/>
          <w:color w:val="000000"/>
          <w:lang w:val="pt-BR"/>
        </w:rPr>
        <w:t xml:space="preserve"> para gerenciar o PRS 24x7 Ilimitado varia de acordo com os gastos de SA. Todos os clientes elegíveis estão qualificados a, pelo menos, quatro contatos autorizados mais um contato adicional a cada US$ 125.000 adicionais de gasto de SA sob seu EAP ou programa(s) VL de acordo com o qual compraram licenças para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r w:rsidRPr="00EB4D74">
        <w:rPr>
          <w:rFonts w:cs="Tahoma"/>
          <w:color w:val="000000"/>
          <w:lang w:val="pt-BR"/>
        </w:rPr>
        <w:t>A seguinte tabela se aplica a clientes que possuam um EAP ou APA:</w:t>
      </w:r>
    </w:p>
    <w:p w:rsidR="008B1196" w:rsidRPr="00EB4D74" w:rsidRDefault="008B1196" w:rsidP="008B1196">
      <w:pPr>
        <w:rPr>
          <w:rFonts w:cs="Tahoma"/>
          <w:lang w:val="it-IT"/>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8B1196" w:rsidRPr="00EB4D74" w:rsidTr="00EA30FC">
        <w:tc>
          <w:tcPr>
            <w:tcW w:w="2160" w:type="dxa"/>
            <w:shd w:val="clear" w:color="auto" w:fill="FABF8F"/>
          </w:tcPr>
          <w:p w:rsidR="008B1196" w:rsidRPr="00EB4D74" w:rsidRDefault="008B1196" w:rsidP="00EA30FC">
            <w:pPr>
              <w:jc w:val="center"/>
              <w:rPr>
                <w:rFonts w:cs="Tahoma"/>
                <w:color w:val="000000"/>
                <w:szCs w:val="18"/>
                <w:lang w:val="it-IT"/>
              </w:rPr>
            </w:pPr>
            <w:r w:rsidRPr="00EB4D74">
              <w:rPr>
                <w:rFonts w:cs="Tahoma"/>
                <w:b/>
                <w:color w:val="000000"/>
                <w:lang w:val="pt-BR"/>
              </w:rPr>
              <w:t>Média de Gasto de SA Anual</w:t>
            </w:r>
          </w:p>
        </w:tc>
        <w:tc>
          <w:tcPr>
            <w:tcW w:w="2520" w:type="dxa"/>
            <w:shd w:val="clear" w:color="auto" w:fill="FABF8F"/>
          </w:tcPr>
          <w:p w:rsidR="008B1196" w:rsidRPr="00EB4D74" w:rsidRDefault="008B1196" w:rsidP="00EA30FC">
            <w:pPr>
              <w:jc w:val="center"/>
              <w:rPr>
                <w:rFonts w:cs="Tahoma"/>
                <w:color w:val="000000"/>
                <w:szCs w:val="18"/>
              </w:rPr>
            </w:pPr>
            <w:r w:rsidRPr="00EB4D74">
              <w:rPr>
                <w:rFonts w:cs="Tahoma"/>
                <w:b/>
                <w:color w:val="000000"/>
                <w:lang w:val="pt-BR"/>
              </w:rPr>
              <w:t>Contatos de suporte permitidos</w:t>
            </w:r>
          </w:p>
        </w:tc>
      </w:tr>
      <w:tr w:rsidR="008B1196" w:rsidRPr="00EB4D74" w:rsidTr="00EA30FC">
        <w:tc>
          <w:tcPr>
            <w:tcW w:w="2160" w:type="dxa"/>
          </w:tcPr>
          <w:p w:rsidR="008B1196" w:rsidRPr="00EB4D74" w:rsidRDefault="008B1196" w:rsidP="00EA30FC">
            <w:pPr>
              <w:jc w:val="center"/>
              <w:rPr>
                <w:rFonts w:cs="Tahoma"/>
                <w:color w:val="000000"/>
                <w:szCs w:val="18"/>
              </w:rPr>
            </w:pPr>
            <w:r w:rsidRPr="00EB4D74">
              <w:rPr>
                <w:rFonts w:cs="Tahoma"/>
                <w:color w:val="000000"/>
                <w:szCs w:val="18"/>
              </w:rPr>
              <w:t>$250</w:t>
            </w:r>
            <w:r>
              <w:rPr>
                <w:rFonts w:cs="Tahoma"/>
                <w:color w:val="000000"/>
                <w:szCs w:val="18"/>
              </w:rPr>
              <w:t>.</w:t>
            </w:r>
            <w:r w:rsidRPr="00EB4D74">
              <w:rPr>
                <w:rFonts w:cs="Tahoma"/>
                <w:color w:val="000000"/>
                <w:szCs w:val="18"/>
              </w:rPr>
              <w:t>000 - $374</w:t>
            </w:r>
            <w:r>
              <w:rPr>
                <w:rFonts w:cs="Tahoma"/>
                <w:color w:val="000000"/>
                <w:szCs w:val="18"/>
              </w:rPr>
              <w:t>.</w:t>
            </w:r>
            <w:r w:rsidRPr="00EB4D74">
              <w:rPr>
                <w:rFonts w:cs="Tahoma"/>
                <w:color w:val="000000"/>
                <w:szCs w:val="18"/>
              </w:rPr>
              <w:t>999</w:t>
            </w:r>
          </w:p>
        </w:tc>
        <w:tc>
          <w:tcPr>
            <w:tcW w:w="2520" w:type="dxa"/>
          </w:tcPr>
          <w:p w:rsidR="008B1196" w:rsidRPr="00EB4D74" w:rsidRDefault="008B1196" w:rsidP="00EA30FC">
            <w:pPr>
              <w:jc w:val="center"/>
              <w:rPr>
                <w:rFonts w:cs="Tahoma"/>
                <w:color w:val="000000"/>
                <w:szCs w:val="18"/>
              </w:rPr>
            </w:pPr>
            <w:r w:rsidRPr="00EB4D74">
              <w:rPr>
                <w:rFonts w:cs="Tahoma"/>
                <w:color w:val="000000"/>
                <w:szCs w:val="18"/>
              </w:rPr>
              <w:t>4</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$375</w:t>
            </w:r>
            <w:r>
              <w:rPr>
                <w:rFonts w:cs="Tahoma"/>
                <w:szCs w:val="18"/>
              </w:rPr>
              <w:t>.</w:t>
            </w:r>
            <w:r w:rsidRPr="00EB4D74">
              <w:rPr>
                <w:rFonts w:cs="Tahoma"/>
                <w:szCs w:val="18"/>
              </w:rPr>
              <w:t>000 - $499</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5</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$500</w:t>
            </w:r>
            <w:r>
              <w:rPr>
                <w:rFonts w:cs="Tahoma"/>
                <w:szCs w:val="18"/>
              </w:rPr>
              <w:t>.</w:t>
            </w:r>
            <w:r w:rsidRPr="00EB4D74">
              <w:rPr>
                <w:rFonts w:cs="Tahoma"/>
                <w:szCs w:val="18"/>
              </w:rPr>
              <w:t>000 - $624</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6</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$625</w:t>
            </w:r>
            <w:r>
              <w:rPr>
                <w:rFonts w:cs="Tahoma"/>
                <w:szCs w:val="18"/>
              </w:rPr>
              <w:t>.</w:t>
            </w:r>
            <w:r w:rsidRPr="00EB4D74">
              <w:rPr>
                <w:rFonts w:cs="Tahoma"/>
                <w:szCs w:val="18"/>
              </w:rPr>
              <w:t>000 - $749</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7</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$750</w:t>
            </w:r>
            <w:r>
              <w:rPr>
                <w:rFonts w:cs="Tahoma"/>
                <w:szCs w:val="18"/>
              </w:rPr>
              <w:t>.</w:t>
            </w:r>
            <w:r w:rsidRPr="00EB4D74">
              <w:rPr>
                <w:rFonts w:cs="Tahoma"/>
                <w:szCs w:val="18"/>
              </w:rPr>
              <w:t>000 - $874</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8</w:t>
            </w:r>
          </w:p>
        </w:tc>
      </w:tr>
    </w:tbl>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lang w:val="it-IT"/>
        </w:rPr>
      </w:pPr>
      <w:r w:rsidRPr="00EB4D74">
        <w:rPr>
          <w:rFonts w:cs="Tahoma"/>
          <w:lang w:val="pt-BR"/>
        </w:rPr>
        <w:lastRenderedPageBreak/>
        <w:t>A seguinte tabela se aplica a clientes que possuam licenças para PDW:</w:t>
      </w:r>
    </w:p>
    <w:p w:rsidR="008B1196" w:rsidRPr="00EB4D74" w:rsidRDefault="008B1196" w:rsidP="008B1196">
      <w:pPr>
        <w:rPr>
          <w:rFonts w:cs="Tahoma"/>
          <w:lang w:val="it-IT"/>
        </w:rPr>
      </w:pPr>
    </w:p>
    <w:tbl>
      <w:tblPr>
        <w:tblW w:w="0" w:type="auto"/>
        <w:tblInd w:w="22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8B1196" w:rsidRPr="00EB4D74" w:rsidTr="00EA30FC">
        <w:tc>
          <w:tcPr>
            <w:tcW w:w="2160" w:type="dxa"/>
            <w:shd w:val="clear" w:color="auto" w:fill="FABF8F"/>
          </w:tcPr>
          <w:p w:rsidR="008B1196" w:rsidRPr="00EB4D74" w:rsidRDefault="008B1196" w:rsidP="00EA30FC">
            <w:pPr>
              <w:jc w:val="center"/>
              <w:rPr>
                <w:rFonts w:cs="Tahoma"/>
                <w:color w:val="000000"/>
                <w:szCs w:val="18"/>
                <w:lang w:val="it-IT"/>
              </w:rPr>
            </w:pPr>
            <w:r w:rsidRPr="00EB4D74">
              <w:rPr>
                <w:rFonts w:cs="Tahoma"/>
                <w:b/>
                <w:color w:val="000000"/>
                <w:lang w:val="pt-BR"/>
              </w:rPr>
              <w:t>Média de Gasto de SA Anual</w:t>
            </w:r>
          </w:p>
        </w:tc>
        <w:tc>
          <w:tcPr>
            <w:tcW w:w="2520" w:type="dxa"/>
            <w:shd w:val="clear" w:color="auto" w:fill="FABF8F"/>
          </w:tcPr>
          <w:p w:rsidR="008B1196" w:rsidRPr="00EB4D74" w:rsidRDefault="008B1196" w:rsidP="00EA30FC">
            <w:pPr>
              <w:jc w:val="center"/>
              <w:rPr>
                <w:rFonts w:cs="Tahoma"/>
                <w:color w:val="000000"/>
                <w:szCs w:val="18"/>
              </w:rPr>
            </w:pPr>
            <w:r w:rsidRPr="00EB4D74">
              <w:rPr>
                <w:rFonts w:cs="Tahoma"/>
                <w:b/>
                <w:color w:val="000000"/>
                <w:lang w:val="pt-BR"/>
              </w:rPr>
              <w:t>Contatos de suporte permitidos</w:t>
            </w:r>
          </w:p>
        </w:tc>
      </w:tr>
      <w:tr w:rsidR="008B1196" w:rsidRPr="00EB4D74" w:rsidTr="00EA30FC">
        <w:tc>
          <w:tcPr>
            <w:tcW w:w="2160" w:type="dxa"/>
          </w:tcPr>
          <w:p w:rsidR="008B1196" w:rsidRPr="00EB4D74" w:rsidRDefault="008B1196" w:rsidP="00EA30FC">
            <w:pPr>
              <w:jc w:val="center"/>
              <w:rPr>
                <w:rFonts w:cs="Tahoma"/>
                <w:color w:val="000000"/>
                <w:szCs w:val="18"/>
              </w:rPr>
            </w:pPr>
            <w:r w:rsidRPr="00EB4D74">
              <w:rPr>
                <w:rFonts w:cs="Tahoma"/>
                <w:color w:val="000000"/>
              </w:rPr>
              <w:t>$</w:t>
            </w:r>
            <w:r w:rsidRPr="00EB4D74">
              <w:rPr>
                <w:rFonts w:eastAsia="Times New Roman" w:cs="Tahoma"/>
                <w:color w:val="000000"/>
              </w:rPr>
              <w:t>0</w:t>
            </w:r>
            <w:r w:rsidRPr="00EB4D74">
              <w:rPr>
                <w:rFonts w:cs="Tahoma"/>
                <w:color w:val="000000"/>
              </w:rPr>
              <w:t xml:space="preserve"> - $374</w:t>
            </w:r>
            <w:r>
              <w:rPr>
                <w:rFonts w:cs="Tahoma"/>
                <w:color w:val="000000"/>
              </w:rPr>
              <w:t>.</w:t>
            </w:r>
            <w:r w:rsidRPr="00EB4D74">
              <w:rPr>
                <w:rFonts w:cs="Tahoma"/>
                <w:color w:val="000000"/>
              </w:rPr>
              <w:t>999</w:t>
            </w:r>
          </w:p>
        </w:tc>
        <w:tc>
          <w:tcPr>
            <w:tcW w:w="2520" w:type="dxa"/>
          </w:tcPr>
          <w:p w:rsidR="008B1196" w:rsidRPr="00EB4D74" w:rsidRDefault="008B1196" w:rsidP="00EA30FC">
            <w:pPr>
              <w:jc w:val="center"/>
              <w:rPr>
                <w:rFonts w:cs="Tahoma"/>
                <w:color w:val="000000"/>
                <w:szCs w:val="18"/>
              </w:rPr>
            </w:pPr>
            <w:r w:rsidRPr="00EB4D74">
              <w:rPr>
                <w:rFonts w:cs="Tahoma"/>
                <w:color w:val="000000"/>
                <w:szCs w:val="18"/>
              </w:rPr>
              <w:t>4</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$375</w:t>
            </w:r>
            <w:r>
              <w:rPr>
                <w:rFonts w:cs="Tahoma"/>
                <w:szCs w:val="18"/>
              </w:rPr>
              <w:t>.</w:t>
            </w:r>
            <w:r w:rsidRPr="00EB4D74">
              <w:rPr>
                <w:rFonts w:cs="Tahoma"/>
                <w:szCs w:val="18"/>
              </w:rPr>
              <w:t>000 - $49</w:t>
            </w:r>
            <w:r>
              <w:rPr>
                <w:rFonts w:cs="Tahoma"/>
                <w:szCs w:val="18"/>
              </w:rPr>
              <w:t>9.</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5</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$500</w:t>
            </w:r>
            <w:r>
              <w:rPr>
                <w:rFonts w:cs="Tahoma"/>
                <w:szCs w:val="18"/>
              </w:rPr>
              <w:t>.</w:t>
            </w:r>
            <w:r w:rsidRPr="00EB4D74">
              <w:rPr>
                <w:rFonts w:cs="Tahoma"/>
                <w:szCs w:val="18"/>
              </w:rPr>
              <w:t>000 - $624</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6</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$625</w:t>
            </w:r>
            <w:r>
              <w:rPr>
                <w:rFonts w:cs="Tahoma"/>
                <w:szCs w:val="18"/>
              </w:rPr>
              <w:t>.</w:t>
            </w:r>
            <w:r w:rsidRPr="00EB4D74">
              <w:rPr>
                <w:rFonts w:cs="Tahoma"/>
                <w:szCs w:val="18"/>
              </w:rPr>
              <w:t>000 - $749</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7</w:t>
            </w:r>
          </w:p>
        </w:tc>
      </w:tr>
      <w:tr w:rsidR="008B1196" w:rsidRPr="00EB4D74" w:rsidTr="00EA30FC">
        <w:tc>
          <w:tcPr>
            <w:tcW w:w="2160" w:type="dxa"/>
          </w:tcPr>
          <w:p w:rsidR="008B1196" w:rsidRPr="00EB4D74" w:rsidRDefault="008B1196" w:rsidP="00EA30FC">
            <w:pPr>
              <w:jc w:val="center"/>
              <w:rPr>
                <w:rFonts w:cs="Tahoma"/>
                <w:szCs w:val="18"/>
              </w:rPr>
            </w:pPr>
            <w:r w:rsidRPr="00EB4D74">
              <w:rPr>
                <w:rFonts w:cs="Tahoma"/>
                <w:szCs w:val="18"/>
              </w:rPr>
              <w:t>$750</w:t>
            </w:r>
            <w:r>
              <w:rPr>
                <w:rFonts w:cs="Tahoma"/>
                <w:szCs w:val="18"/>
              </w:rPr>
              <w:t>.</w:t>
            </w:r>
            <w:r w:rsidRPr="00EB4D74">
              <w:rPr>
                <w:rFonts w:cs="Tahoma"/>
                <w:szCs w:val="18"/>
              </w:rPr>
              <w:t>000 - $874</w:t>
            </w:r>
            <w:r>
              <w:rPr>
                <w:rFonts w:cs="Tahoma"/>
                <w:szCs w:val="18"/>
              </w:rPr>
              <w:t>.</w:t>
            </w:r>
            <w:r w:rsidRPr="00EB4D74">
              <w:rPr>
                <w:rFonts w:cs="Tahoma"/>
                <w:szCs w:val="18"/>
              </w:rPr>
              <w:t>999</w:t>
            </w:r>
          </w:p>
        </w:tc>
        <w:tc>
          <w:tcPr>
            <w:tcW w:w="2520" w:type="dxa"/>
          </w:tcPr>
          <w:p w:rsidR="008B1196" w:rsidRPr="00EB4D74" w:rsidRDefault="008B1196" w:rsidP="00EA30FC">
            <w:pPr>
              <w:jc w:val="center"/>
              <w:rPr>
                <w:rFonts w:cs="Tahoma"/>
                <w:szCs w:val="18"/>
              </w:rPr>
            </w:pPr>
            <w:r w:rsidRPr="00EB4D74">
              <w:rPr>
                <w:rFonts w:cs="Tahoma"/>
                <w:szCs w:val="18"/>
              </w:rPr>
              <w:t>8</w:t>
            </w:r>
          </w:p>
        </w:tc>
      </w:tr>
    </w:tbl>
    <w:p w:rsidR="008B1196" w:rsidRPr="00EB4D74" w:rsidRDefault="008B1196" w:rsidP="008B1196">
      <w:pPr>
        <w:jc w:val="both"/>
        <w:rPr>
          <w:rFonts w:cs="Tahoma"/>
        </w:rPr>
      </w:pPr>
    </w:p>
    <w:p w:rsidR="008B1196" w:rsidRPr="00EB4D74" w:rsidRDefault="008B1196" w:rsidP="008B1196">
      <w:pPr>
        <w:jc w:val="both"/>
        <w:rPr>
          <w:rFonts w:cs="Tahoma"/>
          <w:lang w:val="it-IT"/>
        </w:rPr>
      </w:pPr>
      <w:r w:rsidRPr="00EB4D74">
        <w:rPr>
          <w:rFonts w:cs="Tahoma"/>
          <w:szCs w:val="18"/>
          <w:lang w:val="pt-BR"/>
        </w:rPr>
        <w:t>As solicitações de suporte devem ser iniciadas via telefone ou Web por um contato designado do cliente e seguir o procedimento descrito no Contrato de Serviços Premier do cliente.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8B1196" w:rsidRPr="00EB4D74" w:rsidRDefault="008B1196" w:rsidP="008B1196">
      <w:pPr>
        <w:pStyle w:val="Heading3"/>
        <w:rPr>
          <w:rFonts w:ascii="Tahoma" w:hAnsi="Tahoma" w:cs="Tahoma"/>
          <w:sz w:val="18"/>
          <w:szCs w:val="18"/>
          <w:lang w:val="it-IT"/>
        </w:rPr>
      </w:pPr>
    </w:p>
    <w:p w:rsidR="008B1196" w:rsidRPr="00EB4D74" w:rsidRDefault="008B1196" w:rsidP="008B1196">
      <w:pPr>
        <w:pStyle w:val="Heading3"/>
        <w:rPr>
          <w:rFonts w:ascii="Tahoma" w:hAnsi="Tahoma" w:cs="Tahoma"/>
          <w:lang w:val="it-IT"/>
        </w:rPr>
      </w:pPr>
      <w:bookmarkStart w:id="865" w:name="_Toc336338238"/>
      <w:bookmarkStart w:id="866" w:name="_Toc342914875"/>
      <w:bookmarkEnd w:id="865"/>
      <w:r w:rsidRPr="00EB4D74">
        <w:rPr>
          <w:rFonts w:ascii="Tahoma" w:hAnsi="Tahoma" w:cs="Tahoma"/>
          <w:color w:val="000000"/>
          <w:lang w:val="pt-BR"/>
        </w:rPr>
        <w:t>System Center Advisor</w:t>
      </w:r>
      <w:bookmarkEnd w:id="866"/>
    </w:p>
    <w:p w:rsidR="008B1196" w:rsidRPr="00EB4D74" w:rsidRDefault="008B1196" w:rsidP="008B1196">
      <w:pPr>
        <w:rPr>
          <w:rFonts w:cs="Tahoma"/>
          <w:lang w:val="it-IT"/>
        </w:rPr>
      </w:pPr>
    </w:p>
    <w:p w:rsidR="008B1196" w:rsidRPr="00EB4D74" w:rsidRDefault="008B1196" w:rsidP="008B1196">
      <w:pPr>
        <w:rPr>
          <w:rFonts w:cs="Tahoma"/>
          <w:lang w:val="pt-BR"/>
        </w:rPr>
      </w:pPr>
      <w:r w:rsidRPr="00EB4D74">
        <w:rPr>
          <w:rFonts w:cs="Tahoma"/>
          <w:lang w:val="pt-BR"/>
        </w:rPr>
        <w:t>Os clientes com cobertura de Software Assurance ativa para licenças de software para as edições do Windows Server, SQL Server, Exchange Server e SharePoint Server identificadas na tabela a seguir estão qualificados para usar o System Center Advisor conforme definido nos Direitos de Uso do Produto.</w:t>
      </w:r>
    </w:p>
    <w:p w:rsidR="008B1196" w:rsidRPr="00EB4D74" w:rsidRDefault="008B1196" w:rsidP="008B1196">
      <w:pPr>
        <w:rPr>
          <w:rFonts w:cs="Tahoma"/>
          <w:lang w:val="it-IT"/>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8B1196" w:rsidRPr="00EB4D74" w:rsidTr="00EA30FC">
        <w:trPr>
          <w:tblHeader/>
        </w:trPr>
        <w:tc>
          <w:tcPr>
            <w:tcW w:w="3760" w:type="dxa"/>
            <w:gridSpan w:val="2"/>
            <w:shd w:val="clear" w:color="auto" w:fill="FABF8F"/>
          </w:tcPr>
          <w:p w:rsidR="008B1196" w:rsidRPr="00EB4D74" w:rsidRDefault="008B1196" w:rsidP="00EA30FC">
            <w:pPr>
              <w:spacing w:after="200" w:line="276" w:lineRule="auto"/>
              <w:jc w:val="center"/>
              <w:rPr>
                <w:rFonts w:cs="Tahoma"/>
                <w:b/>
                <w:bCs/>
                <w:color w:val="000000"/>
                <w:szCs w:val="18"/>
                <w:lang w:eastAsia="ja-JP"/>
              </w:rPr>
            </w:pPr>
            <w:r w:rsidRPr="00EB4D74">
              <w:rPr>
                <w:rFonts w:cs="Tahoma"/>
                <w:b/>
                <w:bCs/>
                <w:color w:val="000000"/>
                <w:szCs w:val="18"/>
                <w:lang w:val="pt-BR" w:eastAsia="ja-JP"/>
              </w:rPr>
              <w:t>Software* para Servidores Qualificado</w:t>
            </w:r>
          </w:p>
        </w:tc>
        <w:tc>
          <w:tcPr>
            <w:tcW w:w="1774" w:type="dxa"/>
            <w:shd w:val="clear" w:color="auto" w:fill="FABF8F"/>
          </w:tcPr>
          <w:p w:rsidR="008B1196" w:rsidRPr="00EB4D74" w:rsidRDefault="008B1196" w:rsidP="00EA30FC">
            <w:pPr>
              <w:spacing w:after="200" w:line="276" w:lineRule="auto"/>
              <w:jc w:val="center"/>
              <w:rPr>
                <w:rFonts w:cs="Tahoma"/>
                <w:b/>
                <w:bCs/>
                <w:color w:val="000000"/>
                <w:szCs w:val="18"/>
                <w:lang w:eastAsia="ja-JP"/>
              </w:rPr>
            </w:pPr>
          </w:p>
        </w:tc>
        <w:tc>
          <w:tcPr>
            <w:tcW w:w="1830" w:type="dxa"/>
            <w:shd w:val="clear" w:color="auto" w:fill="FABF8F"/>
          </w:tcPr>
          <w:p w:rsidR="008B1196" w:rsidRPr="00EB4D74" w:rsidRDefault="008B1196" w:rsidP="00EA30FC">
            <w:pPr>
              <w:spacing w:after="200" w:line="276" w:lineRule="auto"/>
              <w:jc w:val="center"/>
              <w:rPr>
                <w:rFonts w:cs="Tahoma"/>
                <w:b/>
                <w:bCs/>
                <w:color w:val="000000"/>
                <w:szCs w:val="18"/>
                <w:lang w:eastAsia="ja-JP"/>
              </w:rPr>
            </w:pPr>
          </w:p>
        </w:tc>
        <w:tc>
          <w:tcPr>
            <w:tcW w:w="1474" w:type="dxa"/>
            <w:shd w:val="clear" w:color="auto" w:fill="FABF8F"/>
          </w:tcPr>
          <w:p w:rsidR="008B1196" w:rsidRPr="00EB4D74" w:rsidRDefault="008B1196" w:rsidP="00EA30FC">
            <w:pPr>
              <w:spacing w:after="200" w:line="276" w:lineRule="auto"/>
              <w:jc w:val="center"/>
              <w:rPr>
                <w:rFonts w:cs="Tahoma"/>
                <w:b/>
                <w:bCs/>
                <w:color w:val="000000"/>
                <w:szCs w:val="18"/>
                <w:lang w:eastAsia="ja-JP"/>
              </w:rPr>
            </w:pPr>
          </w:p>
        </w:tc>
      </w:tr>
      <w:tr w:rsidR="008B1196" w:rsidRPr="00EB4D74" w:rsidTr="00EA30FC">
        <w:trPr>
          <w:tblHeader/>
        </w:trPr>
        <w:tc>
          <w:tcPr>
            <w:tcW w:w="1912" w:type="dxa"/>
            <w:shd w:val="clear" w:color="auto" w:fill="FABF8F"/>
          </w:tcPr>
          <w:p w:rsidR="008B1196" w:rsidRPr="00EB4D74" w:rsidRDefault="008B1196" w:rsidP="00EA30FC">
            <w:pPr>
              <w:spacing w:after="200" w:line="276" w:lineRule="auto"/>
              <w:jc w:val="center"/>
              <w:rPr>
                <w:rFonts w:cs="Tahoma"/>
                <w:color w:val="000000"/>
                <w:szCs w:val="18"/>
                <w:lang w:eastAsia="ja-JP"/>
              </w:rPr>
            </w:pPr>
            <w:r w:rsidRPr="00EB4D74">
              <w:rPr>
                <w:rFonts w:cs="Tahoma"/>
                <w:b/>
                <w:color w:val="000000"/>
                <w:lang w:val="pt-BR"/>
              </w:rPr>
              <w:t>Windows Server</w:t>
            </w:r>
          </w:p>
        </w:tc>
        <w:tc>
          <w:tcPr>
            <w:tcW w:w="1848" w:type="dxa"/>
            <w:shd w:val="clear" w:color="auto" w:fill="FABF8F"/>
          </w:tcPr>
          <w:p w:rsidR="008B1196" w:rsidRPr="00EB4D74" w:rsidRDefault="008B1196" w:rsidP="00EA30FC">
            <w:pPr>
              <w:spacing w:after="200" w:line="276" w:lineRule="auto"/>
              <w:jc w:val="center"/>
              <w:rPr>
                <w:rFonts w:cs="Tahoma"/>
                <w:color w:val="000000"/>
                <w:szCs w:val="18"/>
                <w:lang w:eastAsia="ja-JP"/>
              </w:rPr>
            </w:pPr>
            <w:r w:rsidRPr="00EB4D74">
              <w:rPr>
                <w:rFonts w:cs="Tahoma"/>
                <w:b/>
                <w:color w:val="000000"/>
                <w:lang w:val="pt-BR"/>
              </w:rPr>
              <w:t>SQL Server</w:t>
            </w:r>
          </w:p>
        </w:tc>
        <w:tc>
          <w:tcPr>
            <w:tcW w:w="1774" w:type="dxa"/>
            <w:shd w:val="clear" w:color="auto" w:fill="FABF8F"/>
          </w:tcPr>
          <w:p w:rsidR="008B1196" w:rsidRPr="00EB4D74" w:rsidRDefault="008B1196" w:rsidP="00EA30FC">
            <w:pPr>
              <w:spacing w:after="200" w:line="276" w:lineRule="auto"/>
              <w:jc w:val="center"/>
              <w:rPr>
                <w:rFonts w:cs="Tahoma"/>
                <w:b/>
                <w:bCs/>
                <w:color w:val="000000"/>
                <w:szCs w:val="18"/>
                <w:lang w:eastAsia="ja-JP"/>
              </w:rPr>
            </w:pPr>
            <w:r w:rsidRPr="00EB4D74">
              <w:rPr>
                <w:rFonts w:cs="Tahoma"/>
                <w:b/>
                <w:color w:val="000000"/>
                <w:lang w:val="pt-BR"/>
              </w:rPr>
              <w:t>Exchange Server</w:t>
            </w:r>
          </w:p>
        </w:tc>
        <w:tc>
          <w:tcPr>
            <w:tcW w:w="1830" w:type="dxa"/>
            <w:shd w:val="clear" w:color="auto" w:fill="FABF8F"/>
          </w:tcPr>
          <w:p w:rsidR="008B1196" w:rsidRPr="00EB4D74" w:rsidRDefault="008B1196" w:rsidP="00EA30FC">
            <w:pPr>
              <w:spacing w:after="200" w:line="276" w:lineRule="auto"/>
              <w:jc w:val="center"/>
              <w:rPr>
                <w:rFonts w:cs="Tahoma"/>
                <w:b/>
                <w:bCs/>
                <w:color w:val="000000"/>
                <w:szCs w:val="18"/>
                <w:lang w:eastAsia="ja-JP"/>
              </w:rPr>
            </w:pPr>
            <w:r w:rsidRPr="00EB4D74">
              <w:rPr>
                <w:rFonts w:cs="Tahoma"/>
                <w:b/>
                <w:color w:val="000000"/>
                <w:lang w:val="pt-BR"/>
              </w:rPr>
              <w:t>SharePoint Server</w:t>
            </w:r>
          </w:p>
        </w:tc>
        <w:tc>
          <w:tcPr>
            <w:tcW w:w="1474" w:type="dxa"/>
            <w:shd w:val="clear" w:color="auto" w:fill="FABF8F"/>
          </w:tcPr>
          <w:p w:rsidR="008B1196" w:rsidRPr="00EB4D74" w:rsidRDefault="008B1196" w:rsidP="00EA30FC">
            <w:pPr>
              <w:spacing w:after="200" w:line="276" w:lineRule="auto"/>
              <w:jc w:val="center"/>
              <w:rPr>
                <w:rFonts w:cs="Tahoma"/>
                <w:b/>
                <w:bCs/>
                <w:color w:val="000000"/>
                <w:szCs w:val="18"/>
                <w:lang w:eastAsia="ja-JP"/>
              </w:rPr>
            </w:pPr>
            <w:r w:rsidRPr="00EB4D74">
              <w:rPr>
                <w:rFonts w:cs="Tahoma"/>
                <w:b/>
                <w:color w:val="000000"/>
                <w:lang w:val="pt-BR"/>
              </w:rPr>
              <w:t>Lync Server</w:t>
            </w:r>
          </w:p>
        </w:tc>
      </w:tr>
      <w:tr w:rsidR="008B1196" w:rsidRPr="00EB4D74" w:rsidTr="00EA30FC">
        <w:tc>
          <w:tcPr>
            <w:tcW w:w="1912"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szCs w:val="18"/>
                <w:lang w:val="pt-BR" w:eastAsia="ja-JP"/>
              </w:rPr>
              <w:t>Windows Server Datacenter</w:t>
            </w:r>
          </w:p>
        </w:tc>
        <w:tc>
          <w:tcPr>
            <w:tcW w:w="1848"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szCs w:val="18"/>
                <w:lang w:val="pt-BR" w:eastAsia="ja-JP"/>
              </w:rPr>
              <w:t>Data Warehouse em Paralelo do SQL Server</w:t>
            </w:r>
          </w:p>
        </w:tc>
        <w:tc>
          <w:tcPr>
            <w:tcW w:w="1774"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Exchange Small Business Server</w:t>
            </w:r>
          </w:p>
        </w:tc>
        <w:tc>
          <w:tcPr>
            <w:tcW w:w="1830"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SharePoint Server Enterprise para Sites da Internet</w:t>
            </w:r>
          </w:p>
        </w:tc>
        <w:tc>
          <w:tcPr>
            <w:tcW w:w="1474"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Lync Server 2010 Enterprise Edition</w:t>
            </w:r>
          </w:p>
        </w:tc>
      </w:tr>
      <w:tr w:rsidR="008B1196" w:rsidRPr="00EB4D74" w:rsidTr="00EA30FC">
        <w:tc>
          <w:tcPr>
            <w:tcW w:w="1912" w:type="dxa"/>
          </w:tcPr>
          <w:p w:rsidR="008B1196" w:rsidRPr="00EB4D74" w:rsidRDefault="008B1196" w:rsidP="00EA30FC">
            <w:pPr>
              <w:spacing w:after="200" w:line="276" w:lineRule="auto"/>
              <w:jc w:val="center"/>
              <w:rPr>
                <w:rFonts w:cs="Tahoma"/>
                <w:szCs w:val="18"/>
              </w:rPr>
            </w:pPr>
            <w:r w:rsidRPr="00EB4D74">
              <w:rPr>
                <w:rFonts w:cs="Tahoma"/>
                <w:color w:val="000000"/>
                <w:lang w:val="pt-BR"/>
              </w:rPr>
              <w:t>Windows Server Enterprise</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color w:val="000000"/>
                <w:lang w:val="pt-BR"/>
              </w:rPr>
              <w:t>SQL Server Datacenter</w:t>
            </w:r>
          </w:p>
        </w:tc>
        <w:tc>
          <w:tcPr>
            <w:tcW w:w="1774"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Exchange Server Enterprise</w:t>
            </w:r>
          </w:p>
        </w:tc>
        <w:tc>
          <w:tcPr>
            <w:tcW w:w="1830"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SharePoint Server Standard para Sites de Internet</w:t>
            </w:r>
          </w:p>
        </w:tc>
        <w:tc>
          <w:tcPr>
            <w:tcW w:w="1474"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Lync Server 2010 Standard Edition</w:t>
            </w: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color w:val="000000"/>
                <w:lang w:val="pt-BR"/>
              </w:rPr>
              <w:t>Windows Server Standard</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SQL Server Enterprise</w:t>
            </w:r>
          </w:p>
        </w:tc>
        <w:tc>
          <w:tcPr>
            <w:tcW w:w="1774"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Exchange Server Standard</w:t>
            </w:r>
          </w:p>
        </w:tc>
        <w:tc>
          <w:tcPr>
            <w:tcW w:w="1830" w:type="dxa"/>
          </w:tcPr>
          <w:p w:rsidR="008B1196" w:rsidRPr="00EB4D74" w:rsidRDefault="008B1196" w:rsidP="00EA30FC">
            <w:pPr>
              <w:spacing w:after="200" w:line="276" w:lineRule="auto"/>
              <w:jc w:val="center"/>
              <w:rPr>
                <w:rFonts w:cs="Tahoma"/>
                <w:color w:val="000000"/>
                <w:szCs w:val="18"/>
                <w:lang w:eastAsia="ja-JP"/>
              </w:rPr>
            </w:pPr>
            <w:r w:rsidRPr="00EB4D74">
              <w:rPr>
                <w:rFonts w:cs="Tahoma"/>
                <w:color w:val="000000"/>
                <w:lang w:val="pt-BR"/>
              </w:rPr>
              <w:t>SharePoint Server</w:t>
            </w:r>
          </w:p>
        </w:tc>
        <w:tc>
          <w:tcPr>
            <w:tcW w:w="1474" w:type="dxa"/>
          </w:tcPr>
          <w:p w:rsidR="008B1196" w:rsidRPr="00EB4D74" w:rsidRDefault="008B1196" w:rsidP="00EA30FC">
            <w:pPr>
              <w:spacing w:after="200" w:line="276" w:lineRule="auto"/>
              <w:jc w:val="center"/>
              <w:rPr>
                <w:rFonts w:cs="Tahoma"/>
                <w:color w:val="000000"/>
                <w:szCs w:val="18"/>
                <w:lang w:eastAsia="ja-JP"/>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Complemento do Windows Small Business Server Premium</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SQL Server Standard</w:t>
            </w:r>
          </w:p>
        </w:tc>
        <w:tc>
          <w:tcPr>
            <w:tcW w:w="1774" w:type="dxa"/>
          </w:tcPr>
          <w:p w:rsidR="008B1196" w:rsidRPr="00EB4D74" w:rsidRDefault="008B1196" w:rsidP="00EA30FC">
            <w:pPr>
              <w:spacing w:after="200" w:line="276" w:lineRule="auto"/>
              <w:jc w:val="center"/>
              <w:rPr>
                <w:rFonts w:cs="Tahoma"/>
                <w:szCs w:val="18"/>
                <w:lang w:eastAsia="ja-JP"/>
              </w:rPr>
            </w:pPr>
          </w:p>
        </w:tc>
        <w:tc>
          <w:tcPr>
            <w:tcW w:w="1830" w:type="dxa"/>
          </w:tcPr>
          <w:p w:rsidR="008B1196" w:rsidRPr="00EB4D74" w:rsidRDefault="008B1196" w:rsidP="00EA30FC">
            <w:pPr>
              <w:spacing w:after="200" w:line="276" w:lineRule="auto"/>
              <w:jc w:val="center"/>
              <w:rPr>
                <w:rFonts w:cs="Tahoma"/>
                <w:szCs w:val="18"/>
                <w:lang w:eastAsia="ja-JP"/>
              </w:rPr>
            </w:pPr>
          </w:p>
        </w:tc>
        <w:tc>
          <w:tcPr>
            <w:tcW w:w="1474" w:type="dxa"/>
          </w:tcPr>
          <w:p w:rsidR="008B1196" w:rsidRPr="00EB4D74" w:rsidRDefault="008B1196" w:rsidP="00EA30FC">
            <w:pPr>
              <w:spacing w:after="200" w:line="276" w:lineRule="auto"/>
              <w:jc w:val="center"/>
              <w:rPr>
                <w:rFonts w:cs="Tahoma"/>
                <w:szCs w:val="18"/>
                <w:lang w:eastAsia="ja-JP"/>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Windows Small Business Server Standard</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SQL Server Workgroup</w:t>
            </w:r>
          </w:p>
        </w:tc>
        <w:tc>
          <w:tcPr>
            <w:tcW w:w="1774" w:type="dxa"/>
          </w:tcPr>
          <w:p w:rsidR="008B1196" w:rsidRPr="00EB4D74" w:rsidRDefault="008B1196" w:rsidP="00EA30FC">
            <w:pPr>
              <w:spacing w:after="200" w:line="276" w:lineRule="auto"/>
              <w:jc w:val="center"/>
              <w:rPr>
                <w:rFonts w:cs="Tahoma"/>
                <w:szCs w:val="18"/>
                <w:lang w:eastAsia="ja-JP"/>
              </w:rPr>
            </w:pPr>
          </w:p>
        </w:tc>
        <w:tc>
          <w:tcPr>
            <w:tcW w:w="1830" w:type="dxa"/>
          </w:tcPr>
          <w:p w:rsidR="008B1196" w:rsidRPr="00EB4D74" w:rsidRDefault="008B1196" w:rsidP="00EA30FC">
            <w:pPr>
              <w:spacing w:after="200" w:line="276" w:lineRule="auto"/>
              <w:jc w:val="center"/>
              <w:rPr>
                <w:rFonts w:cs="Tahoma"/>
                <w:szCs w:val="18"/>
                <w:lang w:eastAsia="ja-JP"/>
              </w:rPr>
            </w:pPr>
          </w:p>
        </w:tc>
        <w:tc>
          <w:tcPr>
            <w:tcW w:w="1474" w:type="dxa"/>
          </w:tcPr>
          <w:p w:rsidR="008B1196" w:rsidRPr="00EB4D74" w:rsidRDefault="008B1196" w:rsidP="00EA30FC">
            <w:pPr>
              <w:spacing w:after="200" w:line="276" w:lineRule="auto"/>
              <w:jc w:val="center"/>
              <w:rPr>
                <w:rFonts w:cs="Tahoma"/>
                <w:szCs w:val="18"/>
                <w:lang w:eastAsia="ja-JP"/>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Windows Small Business Server Essentials</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SQL Server Small Business</w:t>
            </w:r>
          </w:p>
        </w:tc>
        <w:tc>
          <w:tcPr>
            <w:tcW w:w="1774" w:type="dxa"/>
          </w:tcPr>
          <w:p w:rsidR="008B1196" w:rsidRPr="00EB4D74" w:rsidRDefault="008B1196" w:rsidP="00EA30FC">
            <w:pPr>
              <w:spacing w:after="200" w:line="276" w:lineRule="auto"/>
              <w:jc w:val="center"/>
              <w:rPr>
                <w:rFonts w:cs="Tahoma"/>
                <w:szCs w:val="18"/>
                <w:lang w:eastAsia="ja-JP"/>
              </w:rPr>
            </w:pPr>
          </w:p>
        </w:tc>
        <w:tc>
          <w:tcPr>
            <w:tcW w:w="1830" w:type="dxa"/>
          </w:tcPr>
          <w:p w:rsidR="008B1196" w:rsidRPr="00EB4D74" w:rsidRDefault="008B1196" w:rsidP="00EA30FC">
            <w:pPr>
              <w:spacing w:after="200" w:line="276" w:lineRule="auto"/>
              <w:jc w:val="center"/>
              <w:rPr>
                <w:rFonts w:cs="Tahoma"/>
                <w:szCs w:val="18"/>
                <w:lang w:eastAsia="ja-JP"/>
              </w:rPr>
            </w:pPr>
          </w:p>
        </w:tc>
        <w:tc>
          <w:tcPr>
            <w:tcW w:w="1474" w:type="dxa"/>
          </w:tcPr>
          <w:p w:rsidR="008B1196" w:rsidRPr="00EB4D74" w:rsidRDefault="008B1196" w:rsidP="00EA30FC">
            <w:pPr>
              <w:spacing w:after="200" w:line="276" w:lineRule="auto"/>
              <w:jc w:val="center"/>
              <w:rPr>
                <w:rFonts w:cs="Tahoma"/>
                <w:szCs w:val="18"/>
                <w:lang w:eastAsia="ja-JP"/>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Windows Web Server</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SQL Server Web</w:t>
            </w:r>
          </w:p>
        </w:tc>
        <w:tc>
          <w:tcPr>
            <w:tcW w:w="1774" w:type="dxa"/>
          </w:tcPr>
          <w:p w:rsidR="008B1196" w:rsidRPr="00EB4D74" w:rsidRDefault="008B1196" w:rsidP="00EA30FC">
            <w:pPr>
              <w:spacing w:after="200" w:line="276" w:lineRule="auto"/>
              <w:jc w:val="center"/>
              <w:rPr>
                <w:rFonts w:cs="Tahoma"/>
                <w:szCs w:val="18"/>
                <w:lang w:eastAsia="ja-JP"/>
              </w:rPr>
            </w:pPr>
          </w:p>
        </w:tc>
        <w:tc>
          <w:tcPr>
            <w:tcW w:w="1830" w:type="dxa"/>
          </w:tcPr>
          <w:p w:rsidR="008B1196" w:rsidRPr="00EB4D74" w:rsidRDefault="008B1196" w:rsidP="00EA30FC">
            <w:pPr>
              <w:spacing w:after="200" w:line="276" w:lineRule="auto"/>
              <w:jc w:val="center"/>
              <w:rPr>
                <w:rFonts w:cs="Tahoma"/>
                <w:szCs w:val="18"/>
                <w:lang w:eastAsia="ja-JP"/>
              </w:rPr>
            </w:pPr>
          </w:p>
        </w:tc>
        <w:tc>
          <w:tcPr>
            <w:tcW w:w="1474" w:type="dxa"/>
          </w:tcPr>
          <w:p w:rsidR="008B1196" w:rsidRPr="00EB4D74" w:rsidRDefault="008B1196" w:rsidP="00EA30FC">
            <w:pPr>
              <w:spacing w:after="200" w:line="276" w:lineRule="auto"/>
              <w:jc w:val="center"/>
              <w:rPr>
                <w:rFonts w:cs="Tahoma"/>
                <w:szCs w:val="18"/>
                <w:lang w:eastAsia="ja-JP"/>
              </w:rPr>
            </w:pPr>
          </w:p>
        </w:tc>
      </w:tr>
      <w:tr w:rsidR="008B1196" w:rsidRPr="00EB4D74" w:rsidTr="00EA30FC">
        <w:trPr>
          <w:cantSplit/>
        </w:trPr>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lastRenderedPageBreak/>
              <w:t>Windows HPC Server Suite</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SQL Server Developer</w:t>
            </w:r>
          </w:p>
        </w:tc>
        <w:tc>
          <w:tcPr>
            <w:tcW w:w="1774" w:type="dxa"/>
          </w:tcPr>
          <w:p w:rsidR="008B1196" w:rsidRPr="00EB4D74" w:rsidRDefault="008B1196" w:rsidP="00EA30FC">
            <w:pPr>
              <w:spacing w:after="200" w:line="276" w:lineRule="auto"/>
              <w:jc w:val="center"/>
              <w:rPr>
                <w:rFonts w:cs="Tahoma"/>
                <w:szCs w:val="18"/>
                <w:lang w:eastAsia="ja-JP"/>
              </w:rPr>
            </w:pPr>
          </w:p>
        </w:tc>
        <w:tc>
          <w:tcPr>
            <w:tcW w:w="1830" w:type="dxa"/>
          </w:tcPr>
          <w:p w:rsidR="008B1196" w:rsidRPr="00EB4D74" w:rsidRDefault="008B1196" w:rsidP="00EA30FC">
            <w:pPr>
              <w:spacing w:after="200" w:line="276" w:lineRule="auto"/>
              <w:jc w:val="center"/>
              <w:rPr>
                <w:rFonts w:cs="Tahoma"/>
                <w:szCs w:val="18"/>
                <w:lang w:eastAsia="ja-JP"/>
              </w:rPr>
            </w:pPr>
          </w:p>
        </w:tc>
        <w:tc>
          <w:tcPr>
            <w:tcW w:w="1474" w:type="dxa"/>
          </w:tcPr>
          <w:p w:rsidR="008B1196" w:rsidRPr="00EB4D74" w:rsidRDefault="008B1196" w:rsidP="00EA30FC">
            <w:pPr>
              <w:spacing w:after="200" w:line="276" w:lineRule="auto"/>
              <w:jc w:val="center"/>
              <w:rPr>
                <w:rFonts w:cs="Tahoma"/>
                <w:szCs w:val="18"/>
                <w:lang w:eastAsia="ja-JP"/>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Windows Server HPC Edition</w:t>
            </w:r>
          </w:p>
        </w:tc>
        <w:tc>
          <w:tcPr>
            <w:tcW w:w="1848" w:type="dxa"/>
          </w:tcPr>
          <w:p w:rsidR="008B1196" w:rsidRPr="00EB4D74" w:rsidRDefault="008B1196" w:rsidP="00EA30FC">
            <w:pPr>
              <w:spacing w:after="200" w:line="276" w:lineRule="auto"/>
              <w:jc w:val="center"/>
              <w:rPr>
                <w:rFonts w:cs="Tahoma"/>
                <w:szCs w:val="18"/>
                <w:lang w:eastAsia="ja-JP"/>
              </w:rPr>
            </w:pPr>
            <w:r w:rsidRPr="00EB4D74">
              <w:rPr>
                <w:rFonts w:cs="Tahoma"/>
                <w:lang w:val="pt-BR"/>
              </w:rPr>
              <w:t>SQL Server Business Intelligence</w:t>
            </w:r>
          </w:p>
        </w:tc>
        <w:tc>
          <w:tcPr>
            <w:tcW w:w="1774" w:type="dxa"/>
          </w:tcPr>
          <w:p w:rsidR="008B1196" w:rsidRPr="00EB4D74" w:rsidRDefault="008B1196" w:rsidP="00EA30FC">
            <w:pPr>
              <w:spacing w:after="200" w:line="276" w:lineRule="auto"/>
              <w:jc w:val="center"/>
              <w:rPr>
                <w:rFonts w:cs="Tahoma"/>
                <w:szCs w:val="18"/>
                <w:lang w:eastAsia="ja-JP"/>
              </w:rPr>
            </w:pPr>
          </w:p>
        </w:tc>
        <w:tc>
          <w:tcPr>
            <w:tcW w:w="1830" w:type="dxa"/>
          </w:tcPr>
          <w:p w:rsidR="008B1196" w:rsidRPr="00EB4D74" w:rsidRDefault="008B1196" w:rsidP="00EA30FC">
            <w:pPr>
              <w:spacing w:after="200" w:line="276" w:lineRule="auto"/>
              <w:jc w:val="center"/>
              <w:rPr>
                <w:rFonts w:cs="Tahoma"/>
                <w:szCs w:val="18"/>
                <w:lang w:eastAsia="ja-JP"/>
              </w:rPr>
            </w:pPr>
          </w:p>
        </w:tc>
        <w:tc>
          <w:tcPr>
            <w:tcW w:w="1474" w:type="dxa"/>
          </w:tcPr>
          <w:p w:rsidR="008B1196" w:rsidRPr="00EB4D74" w:rsidRDefault="008B1196" w:rsidP="00EA30FC">
            <w:pPr>
              <w:spacing w:after="200" w:line="276" w:lineRule="auto"/>
              <w:jc w:val="center"/>
              <w:rPr>
                <w:rFonts w:cs="Tahoma"/>
                <w:szCs w:val="18"/>
                <w:lang w:eastAsia="ja-JP"/>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Core Infrastructure Server Suite Datacenter</w:t>
            </w:r>
          </w:p>
        </w:tc>
        <w:tc>
          <w:tcPr>
            <w:tcW w:w="1848" w:type="dxa"/>
          </w:tcPr>
          <w:p w:rsidR="008B1196" w:rsidRPr="00EB4D74" w:rsidRDefault="008B1196" w:rsidP="00EA30FC">
            <w:pPr>
              <w:spacing w:after="200" w:line="276" w:lineRule="auto"/>
              <w:jc w:val="center"/>
              <w:rPr>
                <w:rFonts w:cs="Tahoma"/>
                <w:szCs w:val="18"/>
              </w:rPr>
            </w:pPr>
          </w:p>
        </w:tc>
        <w:tc>
          <w:tcPr>
            <w:tcW w:w="1774" w:type="dxa"/>
          </w:tcPr>
          <w:p w:rsidR="008B1196" w:rsidRPr="00EB4D74" w:rsidRDefault="008B1196" w:rsidP="00EA30FC">
            <w:pPr>
              <w:spacing w:after="200" w:line="276" w:lineRule="auto"/>
              <w:jc w:val="center"/>
              <w:rPr>
                <w:rFonts w:cs="Tahoma"/>
                <w:szCs w:val="18"/>
              </w:rPr>
            </w:pPr>
          </w:p>
        </w:tc>
        <w:tc>
          <w:tcPr>
            <w:tcW w:w="1830" w:type="dxa"/>
          </w:tcPr>
          <w:p w:rsidR="008B1196" w:rsidRPr="00EB4D74" w:rsidRDefault="008B1196" w:rsidP="00EA30FC">
            <w:pPr>
              <w:spacing w:after="200" w:line="276" w:lineRule="auto"/>
              <w:jc w:val="center"/>
              <w:rPr>
                <w:rFonts w:cs="Tahoma"/>
                <w:szCs w:val="18"/>
              </w:rPr>
            </w:pPr>
          </w:p>
        </w:tc>
        <w:tc>
          <w:tcPr>
            <w:tcW w:w="1474" w:type="dxa"/>
          </w:tcPr>
          <w:p w:rsidR="008B1196" w:rsidRPr="00EB4D74" w:rsidRDefault="008B1196" w:rsidP="00EA30FC">
            <w:pPr>
              <w:spacing w:after="200" w:line="276" w:lineRule="auto"/>
              <w:jc w:val="center"/>
              <w:rPr>
                <w:rFonts w:cs="Tahoma"/>
                <w:szCs w:val="18"/>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Core Infrastructure Server Suite Enterprise</w:t>
            </w:r>
          </w:p>
        </w:tc>
        <w:tc>
          <w:tcPr>
            <w:tcW w:w="1848" w:type="dxa"/>
          </w:tcPr>
          <w:p w:rsidR="008B1196" w:rsidRPr="00EB4D74" w:rsidRDefault="008B1196" w:rsidP="00EA30FC">
            <w:pPr>
              <w:spacing w:after="200" w:line="276" w:lineRule="auto"/>
              <w:jc w:val="center"/>
              <w:rPr>
                <w:rFonts w:cs="Tahoma"/>
                <w:szCs w:val="18"/>
              </w:rPr>
            </w:pPr>
          </w:p>
        </w:tc>
        <w:tc>
          <w:tcPr>
            <w:tcW w:w="1774" w:type="dxa"/>
          </w:tcPr>
          <w:p w:rsidR="008B1196" w:rsidRPr="00EB4D74" w:rsidRDefault="008B1196" w:rsidP="00EA30FC">
            <w:pPr>
              <w:spacing w:after="200" w:line="276" w:lineRule="auto"/>
              <w:jc w:val="center"/>
              <w:rPr>
                <w:rFonts w:cs="Tahoma"/>
                <w:szCs w:val="18"/>
              </w:rPr>
            </w:pPr>
          </w:p>
        </w:tc>
        <w:tc>
          <w:tcPr>
            <w:tcW w:w="1830" w:type="dxa"/>
          </w:tcPr>
          <w:p w:rsidR="008B1196" w:rsidRPr="00EB4D74" w:rsidRDefault="008B1196" w:rsidP="00EA30FC">
            <w:pPr>
              <w:spacing w:after="200" w:line="276" w:lineRule="auto"/>
              <w:jc w:val="center"/>
              <w:rPr>
                <w:rFonts w:cs="Tahoma"/>
                <w:szCs w:val="18"/>
              </w:rPr>
            </w:pPr>
          </w:p>
        </w:tc>
        <w:tc>
          <w:tcPr>
            <w:tcW w:w="1474" w:type="dxa"/>
          </w:tcPr>
          <w:p w:rsidR="008B1196" w:rsidRPr="00EB4D74" w:rsidRDefault="008B1196" w:rsidP="00EA30FC">
            <w:pPr>
              <w:spacing w:after="200" w:line="276" w:lineRule="auto"/>
              <w:jc w:val="center"/>
              <w:rPr>
                <w:rFonts w:cs="Tahoma"/>
                <w:szCs w:val="18"/>
              </w:rPr>
            </w:pPr>
          </w:p>
        </w:tc>
      </w:tr>
      <w:tr w:rsidR="008B1196" w:rsidRPr="00EB4D74" w:rsidTr="00EA30FC">
        <w:tc>
          <w:tcPr>
            <w:tcW w:w="1912" w:type="dxa"/>
          </w:tcPr>
          <w:p w:rsidR="008B1196" w:rsidRPr="00EB4D74" w:rsidRDefault="008B1196" w:rsidP="00EA30FC">
            <w:pPr>
              <w:spacing w:after="200" w:line="276" w:lineRule="auto"/>
              <w:jc w:val="center"/>
              <w:rPr>
                <w:rFonts w:cs="Tahoma"/>
                <w:szCs w:val="18"/>
                <w:lang w:eastAsia="ja-JP"/>
              </w:rPr>
            </w:pPr>
            <w:r w:rsidRPr="00EB4D74">
              <w:rPr>
                <w:rFonts w:cs="Tahoma"/>
                <w:szCs w:val="18"/>
                <w:lang w:val="pt-BR" w:eastAsia="ja-JP"/>
              </w:rPr>
              <w:t>Core Infrastructure Server Suite Standard</w:t>
            </w:r>
          </w:p>
        </w:tc>
        <w:tc>
          <w:tcPr>
            <w:tcW w:w="1848" w:type="dxa"/>
          </w:tcPr>
          <w:p w:rsidR="008B1196" w:rsidRPr="00EB4D74" w:rsidRDefault="008B1196" w:rsidP="00EA30FC">
            <w:pPr>
              <w:spacing w:after="200" w:line="276" w:lineRule="auto"/>
              <w:jc w:val="center"/>
              <w:rPr>
                <w:rFonts w:cs="Tahoma"/>
                <w:szCs w:val="18"/>
              </w:rPr>
            </w:pPr>
          </w:p>
        </w:tc>
        <w:tc>
          <w:tcPr>
            <w:tcW w:w="1774" w:type="dxa"/>
          </w:tcPr>
          <w:p w:rsidR="008B1196" w:rsidRPr="00EB4D74" w:rsidRDefault="008B1196" w:rsidP="00EA30FC">
            <w:pPr>
              <w:spacing w:after="200" w:line="276" w:lineRule="auto"/>
              <w:jc w:val="center"/>
              <w:rPr>
                <w:rFonts w:cs="Tahoma"/>
                <w:szCs w:val="18"/>
              </w:rPr>
            </w:pPr>
          </w:p>
        </w:tc>
        <w:tc>
          <w:tcPr>
            <w:tcW w:w="1830" w:type="dxa"/>
          </w:tcPr>
          <w:p w:rsidR="008B1196" w:rsidRPr="00EB4D74" w:rsidRDefault="008B1196" w:rsidP="00EA30FC">
            <w:pPr>
              <w:spacing w:after="200" w:line="276" w:lineRule="auto"/>
              <w:jc w:val="center"/>
              <w:rPr>
                <w:rFonts w:cs="Tahoma"/>
                <w:szCs w:val="18"/>
              </w:rPr>
            </w:pPr>
          </w:p>
        </w:tc>
        <w:tc>
          <w:tcPr>
            <w:tcW w:w="1474" w:type="dxa"/>
          </w:tcPr>
          <w:p w:rsidR="008B1196" w:rsidRPr="00EB4D74" w:rsidRDefault="008B1196" w:rsidP="00EA30FC">
            <w:pPr>
              <w:spacing w:after="200" w:line="276" w:lineRule="auto"/>
              <w:jc w:val="center"/>
              <w:rPr>
                <w:rFonts w:cs="Tahoma"/>
                <w:szCs w:val="18"/>
              </w:rPr>
            </w:pPr>
          </w:p>
        </w:tc>
      </w:tr>
    </w:tbl>
    <w:p w:rsidR="008B1196" w:rsidRPr="00EB4D74" w:rsidRDefault="008B1196" w:rsidP="008B1196">
      <w:pPr>
        <w:rPr>
          <w:rFonts w:cs="Tahoma"/>
        </w:rPr>
      </w:pPr>
    </w:p>
    <w:p w:rsidR="008B1196" w:rsidRPr="00EB4D74" w:rsidRDefault="008B1196" w:rsidP="008B1196">
      <w:pPr>
        <w:rPr>
          <w:rFonts w:cs="Tahoma"/>
          <w:lang w:val="pt-BR"/>
        </w:rPr>
      </w:pPr>
      <w:r w:rsidRPr="00EB4D74">
        <w:rPr>
          <w:rFonts w:cs="Tahoma"/>
          <w:bCs/>
          <w:szCs w:val="18"/>
          <w:lang w:val="pt-BR"/>
        </w:rPr>
        <w:t xml:space="preserve">*A cobertura de Software Assurance para CALs do Software para Servidores Qualificado não qualifica os clientes para o benefícios do Software Assurance do System Center Advisor. </w:t>
      </w:r>
      <w:r w:rsidRPr="00EB4D74">
        <w:rPr>
          <w:rFonts w:cs="Tahoma"/>
          <w:lang w:val="pt-BR"/>
        </w:rPr>
        <w:t>Os clientes devem ter cobertura nas licenças de software de acordo com as quais o Software do Servidor Qualificado está em execução.</w:t>
      </w:r>
    </w:p>
    <w:p w:rsidR="008B1196" w:rsidRPr="00EB4D74" w:rsidRDefault="008B1196" w:rsidP="008B1196">
      <w:pPr>
        <w:rPr>
          <w:rFonts w:cs="Tahoma"/>
          <w:lang w:val="pt-BR"/>
        </w:rPr>
      </w:pPr>
    </w:p>
    <w:p w:rsidR="008B1196" w:rsidRPr="00EB4D74" w:rsidRDefault="008B1196" w:rsidP="008B1196">
      <w:pPr>
        <w:rPr>
          <w:rFonts w:cs="Tahoma"/>
          <w:lang w:val="it-IT"/>
        </w:rPr>
      </w:pPr>
      <w:r w:rsidRPr="00EB4D74">
        <w:rPr>
          <w:rFonts w:cs="Tahoma"/>
          <w:lang w:val="pt-BR"/>
        </w:rPr>
        <w:t>Os clientes com cobertura de Software Assurance ativa para Licenças de Gerenciamento identificadas na tabela a seguir estão qualificados para usar o System Center Advisor conforme definido nos Direitos de Uso do Produto.</w:t>
      </w:r>
    </w:p>
    <w:p w:rsidR="008B1196" w:rsidRPr="00EB4D74" w:rsidRDefault="008B1196" w:rsidP="008B1196">
      <w:pPr>
        <w:outlineLvl w:val="2"/>
        <w:rPr>
          <w:rFonts w:cs="Tahoma"/>
          <w:lang w:val="it-IT"/>
        </w:rPr>
      </w:pPr>
    </w:p>
    <w:tbl>
      <w:tblPr>
        <w:tblW w:w="0" w:type="auto"/>
        <w:tblInd w:w="7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tblGrid>
      <w:tr w:rsidR="008B1196" w:rsidRPr="00EB4D74" w:rsidTr="00EA30FC">
        <w:tc>
          <w:tcPr>
            <w:tcW w:w="4500" w:type="dxa"/>
            <w:shd w:val="clear" w:color="auto" w:fill="FABF8F"/>
          </w:tcPr>
          <w:p w:rsidR="008B1196" w:rsidRPr="00EB4D74" w:rsidRDefault="008B1196" w:rsidP="00EA30FC">
            <w:pPr>
              <w:spacing w:after="200" w:line="276" w:lineRule="auto"/>
              <w:jc w:val="center"/>
              <w:rPr>
                <w:rFonts w:cs="Tahoma"/>
                <w:b/>
                <w:color w:val="000000"/>
                <w:szCs w:val="18"/>
                <w:lang w:val="it-IT" w:eastAsia="ja-JP"/>
              </w:rPr>
            </w:pPr>
            <w:r w:rsidRPr="00EB4D74">
              <w:rPr>
                <w:rFonts w:cs="Tahoma"/>
                <w:b/>
                <w:color w:val="000000"/>
                <w:szCs w:val="18"/>
                <w:lang w:val="pt-BR" w:eastAsia="ja-JP"/>
              </w:rPr>
              <w:t>Licenças de Gerenciamento de Qualificação</w:t>
            </w:r>
          </w:p>
        </w:tc>
      </w:tr>
      <w:tr w:rsidR="008B1196" w:rsidRPr="00EB4D74" w:rsidTr="00EA30FC">
        <w:tc>
          <w:tcPr>
            <w:tcW w:w="4500" w:type="dxa"/>
          </w:tcPr>
          <w:p w:rsidR="008B1196" w:rsidRPr="00EB4D74" w:rsidRDefault="008B1196" w:rsidP="00EA30FC">
            <w:pPr>
              <w:spacing w:after="60"/>
              <w:jc w:val="center"/>
              <w:rPr>
                <w:rFonts w:cs="Tahoma"/>
                <w:color w:val="000000"/>
                <w:szCs w:val="18"/>
                <w:lang w:eastAsia="ja-JP"/>
              </w:rPr>
            </w:pPr>
            <w:r w:rsidRPr="00EB4D74">
              <w:rPr>
                <w:rFonts w:cs="Tahoma"/>
                <w:color w:val="000000"/>
                <w:szCs w:val="18"/>
                <w:lang w:val="pt-BR" w:eastAsia="ja-JP"/>
              </w:rPr>
              <w:t>Licença de Gerenciamento do System Center 2012 Datacenter Server</w:t>
            </w:r>
          </w:p>
        </w:tc>
      </w:tr>
      <w:tr w:rsidR="008B1196" w:rsidRPr="00EB4D74" w:rsidTr="00EA30FC">
        <w:tc>
          <w:tcPr>
            <w:tcW w:w="4500" w:type="dxa"/>
          </w:tcPr>
          <w:p w:rsidR="008B1196" w:rsidRPr="00EB4D74" w:rsidRDefault="008B1196" w:rsidP="00EA30FC">
            <w:pPr>
              <w:spacing w:after="60" w:line="276" w:lineRule="auto"/>
              <w:jc w:val="center"/>
              <w:rPr>
                <w:rFonts w:cs="Tahoma"/>
                <w:szCs w:val="18"/>
              </w:rPr>
            </w:pPr>
            <w:r w:rsidRPr="00EB4D74">
              <w:rPr>
                <w:rFonts w:cs="Tahoma"/>
                <w:color w:val="000000"/>
                <w:lang w:val="pt-BR"/>
              </w:rPr>
              <w:t>Licença de Gerenciamento do System Center 2012 Standard Server</w:t>
            </w:r>
          </w:p>
        </w:tc>
      </w:tr>
    </w:tbl>
    <w:p w:rsidR="008B1196" w:rsidRPr="00EB4D74" w:rsidRDefault="008B1196" w:rsidP="008B1196">
      <w:pPr>
        <w:rPr>
          <w:rFonts w:cs="Tahoma"/>
        </w:rPr>
      </w:pPr>
      <w:bookmarkStart w:id="867" w:name="_Toc336338239"/>
    </w:p>
    <w:p w:rsidR="008B1196" w:rsidRPr="00EB4D74" w:rsidRDefault="008B1196" w:rsidP="008B1196">
      <w:pPr>
        <w:pStyle w:val="Heading3"/>
        <w:rPr>
          <w:rFonts w:ascii="Tahoma" w:hAnsi="Tahoma" w:cs="Tahoma"/>
          <w:lang w:val="it-IT"/>
        </w:rPr>
      </w:pPr>
      <w:bookmarkStart w:id="868" w:name="_Toc342914876"/>
      <w:bookmarkEnd w:id="867"/>
      <w:r w:rsidRPr="00EB4D74">
        <w:rPr>
          <w:rFonts w:ascii="Tahoma" w:hAnsi="Tahoma" w:cs="Tahoma"/>
          <w:lang w:val="pt-BR"/>
        </w:rPr>
        <w:t>Backup Passivo para Recuperação de Desastres</w:t>
      </w:r>
      <w:bookmarkEnd w:id="868"/>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Os clientes com Software Assurance para produtos de servidor qualificados e CALs relacionadas estão qualificados para licenças de servidor complementares desses produtos com fins de recuperação de desastre (DR).</w:t>
      </w:r>
    </w:p>
    <w:p w:rsidR="008B1196" w:rsidRPr="00EB4D74" w:rsidRDefault="008B1196" w:rsidP="008B1196">
      <w:pPr>
        <w:rPr>
          <w:rFonts w:cs="Tahoma"/>
          <w:lang w:val="it-IT"/>
        </w:rPr>
      </w:pPr>
    </w:p>
    <w:p w:rsidR="008B1196" w:rsidRPr="00EB4D74" w:rsidRDefault="008B1196" w:rsidP="008B1196">
      <w:pPr>
        <w:pStyle w:val="AppendixFlushBulletedList"/>
        <w:tabs>
          <w:tab w:val="clear" w:pos="360"/>
          <w:tab w:val="num" w:pos="0"/>
        </w:tabs>
        <w:ind w:left="0" w:firstLine="0"/>
        <w:rPr>
          <w:rFonts w:ascii="Tahoma" w:hAnsi="Tahoma" w:cs="Tahoma"/>
          <w:lang w:val="pt-BR"/>
        </w:rPr>
      </w:pPr>
      <w:r w:rsidRPr="00EB4D74">
        <w:rPr>
          <w:rFonts w:ascii="Tahoma" w:hAnsi="Tahoma" w:cs="Tahoma"/>
          <w:sz w:val="18"/>
          <w:szCs w:val="18"/>
          <w:lang w:val="pt-BR"/>
        </w:rPr>
        <w:t xml:space="preserve">Para cada licença de servidor qualificado (i) que um cliente tiver registrado no SA e (ii) para a qual o cliente possuir todas as CALs relacionadas (se exigido pelo produto) registradas no SA, ele poderá ter uma segunda licença de servidor sob a qual poderá implantar o mesmo produto em um servidor de backup “passivo” apenas para fins de DR durante o prazo de sua cobertura do Software Assurance. </w:t>
      </w:r>
      <w:r w:rsidRPr="00EB4D74">
        <w:rPr>
          <w:rFonts w:ascii="Tahoma" w:hAnsi="Tahoma" w:cs="Tahoma"/>
          <w:sz w:val="18"/>
          <w:lang w:val="pt-BR"/>
        </w:rPr>
        <w:t>A implantação e o uso do software sob as licenças de DR pelos clientes estão sujeitos aos termos e condições de seus contratos de licença.</w:t>
      </w:r>
    </w:p>
    <w:p w:rsidR="008B1196" w:rsidRPr="00EB4D74" w:rsidRDefault="008B1196" w:rsidP="008B1196">
      <w:pPr>
        <w:pStyle w:val="AppendixBodyText"/>
        <w:spacing w:after="0"/>
        <w:rPr>
          <w:rFonts w:ascii="Tahoma" w:hAnsi="Tahoma" w:cs="Tahoma"/>
          <w:sz w:val="18"/>
          <w:szCs w:val="18"/>
          <w:lang w:val="pt-BR"/>
        </w:rPr>
      </w:pPr>
    </w:p>
    <w:p w:rsidR="008B1196" w:rsidRPr="00EB4D74" w:rsidRDefault="008B1196" w:rsidP="008B1196">
      <w:pPr>
        <w:pStyle w:val="Heading3"/>
        <w:rPr>
          <w:rFonts w:ascii="Tahoma" w:hAnsi="Tahoma" w:cs="Tahoma"/>
          <w:lang w:val="it-IT"/>
        </w:rPr>
      </w:pPr>
      <w:bookmarkStart w:id="869" w:name="_Toc336338240"/>
      <w:bookmarkStart w:id="870" w:name="_Toc342914877"/>
      <w:bookmarkEnd w:id="869"/>
      <w:r w:rsidRPr="00EB4D74">
        <w:rPr>
          <w:rFonts w:ascii="Tahoma" w:hAnsi="Tahoma" w:cs="Tahoma"/>
          <w:lang w:val="pt-BR"/>
        </w:rPr>
        <w:t>Serviços de Assinatura do TechNet SA</w:t>
      </w:r>
      <w:bookmarkEnd w:id="870"/>
    </w:p>
    <w:p w:rsidR="008B1196" w:rsidRPr="00EB4D74" w:rsidRDefault="008B1196" w:rsidP="008B1196">
      <w:pPr>
        <w:rPr>
          <w:rFonts w:cs="Tahoma"/>
          <w:lang w:val="it-IT"/>
        </w:rPr>
      </w:pPr>
    </w:p>
    <w:p w:rsidR="008B1196" w:rsidRPr="00EB4D74" w:rsidRDefault="008B1196" w:rsidP="008B1196">
      <w:pPr>
        <w:pStyle w:val="AppendixBodyText"/>
        <w:spacing w:after="0"/>
        <w:rPr>
          <w:rFonts w:ascii="Tahoma" w:hAnsi="Tahoma" w:cs="Tahoma"/>
        </w:rPr>
      </w:pPr>
      <w:r w:rsidRPr="00EB4D74">
        <w:rPr>
          <w:rFonts w:ascii="Tahoma" w:hAnsi="Tahoma" w:cs="Tahoma"/>
          <w:sz w:val="18"/>
          <w:lang w:val="pt-BR"/>
        </w:rPr>
        <w:t>Os clientes com Software Assurance para produtos qualificados em qualquer pool de servidores de produtos estão qualificados para o suporte de Serviços de Assinatura do TechNet SA durante o prazo da cobertura do Software Assurance. Isso fornece aos profissionais de TI respostas a questões técnicas de colegas do setor. Os profissionais de suporte da Microsoft monitoram os grupos de notícias a fim de ajudar a garantir a precisão. Os clientes qualificados recebem IDs de Usuário que fornecem acesso aos serviços online.</w:t>
      </w: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lang w:val="pt-BR"/>
        </w:rPr>
        <w:lastRenderedPageBreak/>
        <w:t>Os clientes receberão uma ID de Usuário para cada produto qualificado com cobertura do Software Assurance, conforme mostrado a seguir:</w:t>
      </w:r>
    </w:p>
    <w:p w:rsidR="008B1196" w:rsidRPr="00EB4D74" w:rsidRDefault="008B1196" w:rsidP="008B1196">
      <w:pPr>
        <w:pStyle w:val="AppendixBodyText"/>
        <w:spacing w:after="0"/>
        <w:rPr>
          <w:rFonts w:ascii="Tahoma" w:hAnsi="Tahoma" w:cs="Tahoma"/>
          <w:sz w:val="18"/>
          <w:szCs w:val="18"/>
          <w:lang w:val="it-IT"/>
        </w:rPr>
      </w:pPr>
    </w:p>
    <w:tbl>
      <w:tblPr>
        <w:tblW w:w="7288" w:type="dxa"/>
        <w:tblInd w:w="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8B1196" w:rsidRPr="00EB4D74" w:rsidTr="00EA30FC">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Pool de Produtos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Open License, Open Value Subscription – Soluções Educacionais, Open Value e Academic com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8B1196" w:rsidRPr="00EB4D74" w:rsidRDefault="008B1196" w:rsidP="00EA30FC">
            <w:pPr>
              <w:pStyle w:val="AppendixTableHeadings"/>
              <w:rPr>
                <w:rFonts w:ascii="Tahoma" w:hAnsi="Tahoma" w:cs="Tahoma"/>
                <w:sz w:val="20"/>
                <w:szCs w:val="20"/>
              </w:rPr>
            </w:pPr>
            <w:r w:rsidRPr="00EB4D74">
              <w:rPr>
                <w:rFonts w:ascii="Tahoma" w:hAnsi="Tahoma" w:cs="Tahoma"/>
                <w:sz w:val="20"/>
                <w:szCs w:val="20"/>
                <w:lang w:val="pt-BR"/>
              </w:rPr>
              <w:t>Select/Select Plus/Contrato Enterprise</w:t>
            </w:r>
          </w:p>
        </w:tc>
      </w:tr>
      <w:tr w:rsidR="008B1196" w:rsidRPr="00EB4D74" w:rsidTr="00EA30FC">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Pool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1 ID de Usuário por</w:t>
            </w:r>
          </w:p>
          <w:p w:rsidR="008B1196" w:rsidRPr="00EB4D74" w:rsidRDefault="008B1196" w:rsidP="00EA30FC">
            <w:pPr>
              <w:pStyle w:val="AppendixTableText"/>
              <w:rPr>
                <w:rFonts w:ascii="Tahoma" w:hAnsi="Tahoma" w:cs="Tahoma"/>
              </w:rPr>
            </w:pPr>
            <w:r w:rsidRPr="00EB4D74">
              <w:rPr>
                <w:rFonts w:ascii="Tahoma" w:hAnsi="Tahoma" w:cs="Tahoma"/>
                <w:lang w:val="pt-BR"/>
              </w:rPr>
              <w:t>Licença de Servidor</w:t>
            </w:r>
          </w:p>
          <w:p w:rsidR="008B1196" w:rsidRPr="00EB4D74" w:rsidRDefault="008B1196" w:rsidP="00EA30FC">
            <w:pPr>
              <w:pStyle w:val="AppendixTableText"/>
              <w:rPr>
                <w:rFonts w:ascii="Tahoma" w:hAnsi="Tahoma" w:cs="Tahoma"/>
              </w:rPr>
            </w:pPr>
            <w:r w:rsidRPr="00EB4D74">
              <w:rPr>
                <w:rFonts w:ascii="Tahoma" w:hAnsi="Tahoma" w:cs="Tahoma"/>
                <w:lang w:val="pt-BR"/>
              </w:rPr>
              <w:t>(após 5 requisitos de SA de Servidor serem atendidos)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8B1196" w:rsidRPr="00EB4D74" w:rsidRDefault="008B1196" w:rsidP="00EA30FC">
            <w:pPr>
              <w:pStyle w:val="AppendixTableText"/>
              <w:rPr>
                <w:rFonts w:ascii="Tahoma" w:hAnsi="Tahoma" w:cs="Tahoma"/>
              </w:rPr>
            </w:pPr>
            <w:r w:rsidRPr="00EB4D74">
              <w:rPr>
                <w:rFonts w:ascii="Tahoma" w:hAnsi="Tahoma" w:cs="Tahoma"/>
                <w:lang w:val="pt-BR"/>
              </w:rPr>
              <w:t>1 ID de Usuário por</w:t>
            </w:r>
          </w:p>
          <w:p w:rsidR="008B1196" w:rsidRPr="00EB4D74" w:rsidRDefault="008B1196" w:rsidP="00EA30FC">
            <w:pPr>
              <w:pStyle w:val="AppendixTableText"/>
              <w:rPr>
                <w:rFonts w:ascii="Tahoma" w:hAnsi="Tahoma" w:cs="Tahoma"/>
              </w:rPr>
            </w:pPr>
            <w:r w:rsidRPr="00EB4D74">
              <w:rPr>
                <w:rFonts w:ascii="Tahoma" w:hAnsi="Tahoma" w:cs="Tahoma"/>
                <w:lang w:val="pt-BR"/>
              </w:rPr>
              <w:t>Licença de Servidor</w:t>
            </w:r>
          </w:p>
        </w:tc>
      </w:tr>
    </w:tbl>
    <w:p w:rsidR="008B1196" w:rsidRPr="00EB4D74" w:rsidRDefault="008B1196" w:rsidP="008B1196">
      <w:pPr>
        <w:pStyle w:val="AppendixBodyText"/>
        <w:spacing w:after="0"/>
        <w:rPr>
          <w:rFonts w:ascii="Tahoma" w:hAnsi="Tahoma" w:cs="Tahoma"/>
        </w:rPr>
      </w:pPr>
    </w:p>
    <w:p w:rsidR="008B1196" w:rsidRPr="00EB4D74" w:rsidRDefault="008B1196" w:rsidP="008B1196">
      <w:pPr>
        <w:pStyle w:val="AppendixBodyText"/>
        <w:spacing w:after="0"/>
        <w:rPr>
          <w:rFonts w:ascii="Tahoma" w:hAnsi="Tahoma" w:cs="Tahoma"/>
        </w:rPr>
      </w:pPr>
    </w:p>
    <w:tbl>
      <w:tblPr>
        <w:tblW w:w="9351"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080"/>
        <w:gridCol w:w="1145"/>
        <w:gridCol w:w="1440"/>
        <w:gridCol w:w="1303"/>
        <w:gridCol w:w="1485"/>
        <w:gridCol w:w="1305"/>
        <w:gridCol w:w="1593"/>
      </w:tblGrid>
      <w:tr w:rsidR="008B1196" w:rsidRPr="00EB4D74" w:rsidTr="00EA30FC">
        <w:trPr>
          <w:trHeight w:val="178"/>
        </w:trPr>
        <w:tc>
          <w:tcPr>
            <w:tcW w:w="1080" w:type="dxa"/>
            <w:shd w:val="clear" w:color="auto" w:fill="FFCC99"/>
            <w:vAlign w:val="center"/>
          </w:tcPr>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szCs w:val="20"/>
                <w:lang w:val="pt-BR"/>
              </w:rPr>
              <w:t>Pool de Produtos</w:t>
            </w:r>
          </w:p>
        </w:tc>
        <w:tc>
          <w:tcPr>
            <w:tcW w:w="1145" w:type="dxa"/>
            <w:shd w:val="clear" w:color="auto" w:fill="FFCC99"/>
            <w:vAlign w:val="center"/>
          </w:tcPr>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lang w:val="pt-BR"/>
              </w:rPr>
              <w:t>Open Value com SAM</w:t>
            </w:r>
          </w:p>
        </w:tc>
        <w:tc>
          <w:tcPr>
            <w:tcW w:w="1440" w:type="dxa"/>
            <w:shd w:val="clear" w:color="auto" w:fill="FFCC99"/>
            <w:vAlign w:val="center"/>
          </w:tcPr>
          <w:p w:rsidR="008B1196" w:rsidRPr="00EB4D74" w:rsidRDefault="008B1196" w:rsidP="00EA30FC">
            <w:pPr>
              <w:pStyle w:val="AppendixTableHeadings"/>
              <w:keepNext/>
              <w:spacing w:line="240" w:lineRule="auto"/>
              <w:rPr>
                <w:rFonts w:ascii="Tahoma" w:hAnsi="Tahoma" w:cs="Tahoma"/>
              </w:rPr>
            </w:pPr>
            <w:r w:rsidRPr="00EB4D74">
              <w:rPr>
                <w:rFonts w:ascii="Tahoma" w:hAnsi="Tahoma" w:cs="Tahoma"/>
                <w:sz w:val="20"/>
                <w:lang w:val="pt-BR"/>
              </w:rPr>
              <w:t>SAM</w:t>
            </w:r>
          </w:p>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szCs w:val="20"/>
              </w:rPr>
              <w:t>250-2</w:t>
            </w:r>
            <w:r>
              <w:rPr>
                <w:rFonts w:ascii="Tahoma" w:hAnsi="Tahoma" w:cs="Tahoma"/>
                <w:sz w:val="20"/>
                <w:szCs w:val="20"/>
              </w:rPr>
              <w:t>.</w:t>
            </w:r>
            <w:r w:rsidRPr="00EB4D74">
              <w:rPr>
                <w:rFonts w:ascii="Tahoma" w:hAnsi="Tahoma" w:cs="Tahoma"/>
                <w:sz w:val="20"/>
                <w:szCs w:val="20"/>
              </w:rPr>
              <w:t xml:space="preserve">399 </w:t>
            </w:r>
          </w:p>
        </w:tc>
        <w:tc>
          <w:tcPr>
            <w:tcW w:w="1303" w:type="dxa"/>
            <w:shd w:val="clear" w:color="auto" w:fill="FFCC99"/>
            <w:vAlign w:val="center"/>
          </w:tcPr>
          <w:p w:rsidR="008B1196" w:rsidRPr="00EB4D74" w:rsidRDefault="008B1196" w:rsidP="00EA30FC">
            <w:pPr>
              <w:pStyle w:val="AppendixTableHeadings"/>
              <w:keepNext/>
              <w:spacing w:line="240" w:lineRule="auto"/>
              <w:rPr>
                <w:rFonts w:ascii="Tahoma" w:hAnsi="Tahoma" w:cs="Tahoma"/>
              </w:rPr>
            </w:pPr>
            <w:r w:rsidRPr="00EB4D74">
              <w:rPr>
                <w:rFonts w:ascii="Tahoma" w:hAnsi="Tahoma" w:cs="Tahoma"/>
                <w:sz w:val="20"/>
                <w:lang w:val="pt-BR"/>
              </w:rPr>
              <w:t>SAM</w:t>
            </w:r>
          </w:p>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szCs w:val="20"/>
              </w:rPr>
              <w:t>2</w:t>
            </w:r>
            <w:r>
              <w:rPr>
                <w:rFonts w:ascii="Tahoma" w:hAnsi="Tahoma" w:cs="Tahoma"/>
                <w:sz w:val="20"/>
                <w:szCs w:val="20"/>
              </w:rPr>
              <w:t>.</w:t>
            </w:r>
            <w:r w:rsidRPr="00EB4D74">
              <w:rPr>
                <w:rFonts w:ascii="Tahoma" w:hAnsi="Tahoma" w:cs="Tahoma"/>
                <w:sz w:val="20"/>
                <w:szCs w:val="20"/>
              </w:rPr>
              <w:t>400-5</w:t>
            </w:r>
            <w:r>
              <w:rPr>
                <w:rFonts w:ascii="Tahoma" w:hAnsi="Tahoma" w:cs="Tahoma"/>
                <w:sz w:val="20"/>
                <w:szCs w:val="20"/>
              </w:rPr>
              <w:t>.</w:t>
            </w:r>
            <w:r w:rsidRPr="00EB4D74">
              <w:rPr>
                <w:rFonts w:ascii="Tahoma" w:hAnsi="Tahoma" w:cs="Tahoma"/>
                <w:sz w:val="20"/>
                <w:szCs w:val="20"/>
              </w:rPr>
              <w:t>999</w:t>
            </w:r>
          </w:p>
        </w:tc>
        <w:tc>
          <w:tcPr>
            <w:tcW w:w="1485" w:type="dxa"/>
            <w:shd w:val="clear" w:color="auto" w:fill="FFCC99"/>
            <w:vAlign w:val="center"/>
          </w:tcPr>
          <w:p w:rsidR="008B1196" w:rsidRPr="00EB4D74" w:rsidRDefault="008B1196" w:rsidP="00EA30FC">
            <w:pPr>
              <w:pStyle w:val="AppendixTableHeadings"/>
              <w:keepNext/>
              <w:spacing w:line="240" w:lineRule="auto"/>
              <w:rPr>
                <w:rFonts w:ascii="Tahoma" w:hAnsi="Tahoma" w:cs="Tahoma"/>
              </w:rPr>
            </w:pPr>
            <w:r w:rsidRPr="00EB4D74">
              <w:rPr>
                <w:rFonts w:ascii="Tahoma" w:hAnsi="Tahoma" w:cs="Tahoma"/>
                <w:sz w:val="20"/>
                <w:lang w:val="pt-BR"/>
              </w:rPr>
              <w:t>SAM</w:t>
            </w:r>
          </w:p>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szCs w:val="20"/>
              </w:rPr>
              <w:t>6</w:t>
            </w:r>
            <w:r>
              <w:rPr>
                <w:rFonts w:ascii="Tahoma" w:hAnsi="Tahoma" w:cs="Tahoma"/>
                <w:sz w:val="20"/>
                <w:szCs w:val="20"/>
              </w:rPr>
              <w:t>.</w:t>
            </w:r>
            <w:r w:rsidRPr="00EB4D74">
              <w:rPr>
                <w:rFonts w:ascii="Tahoma" w:hAnsi="Tahoma" w:cs="Tahoma"/>
                <w:sz w:val="20"/>
                <w:szCs w:val="20"/>
              </w:rPr>
              <w:t>000-14</w:t>
            </w:r>
            <w:r>
              <w:rPr>
                <w:rFonts w:ascii="Tahoma" w:hAnsi="Tahoma" w:cs="Tahoma"/>
                <w:sz w:val="20"/>
                <w:szCs w:val="20"/>
              </w:rPr>
              <w:t>.</w:t>
            </w:r>
            <w:r w:rsidRPr="00EB4D74">
              <w:rPr>
                <w:rFonts w:ascii="Tahoma" w:hAnsi="Tahoma" w:cs="Tahoma"/>
                <w:sz w:val="20"/>
                <w:szCs w:val="20"/>
              </w:rPr>
              <w:t>999</w:t>
            </w:r>
          </w:p>
        </w:tc>
        <w:tc>
          <w:tcPr>
            <w:tcW w:w="1305" w:type="dxa"/>
            <w:shd w:val="clear" w:color="auto" w:fill="FFCC99"/>
            <w:vAlign w:val="center"/>
          </w:tcPr>
          <w:p w:rsidR="008B1196" w:rsidRPr="00EB4D74" w:rsidRDefault="008B1196" w:rsidP="00EA30FC">
            <w:pPr>
              <w:pStyle w:val="AppendixTableHeadings"/>
              <w:keepNext/>
              <w:spacing w:line="240" w:lineRule="auto"/>
              <w:rPr>
                <w:rFonts w:ascii="Tahoma" w:hAnsi="Tahoma" w:cs="Tahoma"/>
              </w:rPr>
            </w:pPr>
            <w:r w:rsidRPr="00EB4D74">
              <w:rPr>
                <w:rFonts w:ascii="Tahoma" w:hAnsi="Tahoma" w:cs="Tahoma"/>
                <w:sz w:val="20"/>
                <w:lang w:val="pt-BR"/>
              </w:rPr>
              <w:t>SAM</w:t>
            </w:r>
          </w:p>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szCs w:val="20"/>
              </w:rPr>
              <w:t>15</w:t>
            </w:r>
            <w:r>
              <w:rPr>
                <w:rFonts w:ascii="Tahoma" w:hAnsi="Tahoma" w:cs="Tahoma"/>
                <w:sz w:val="20"/>
                <w:szCs w:val="20"/>
              </w:rPr>
              <w:t>.</w:t>
            </w:r>
            <w:r w:rsidRPr="00EB4D74">
              <w:rPr>
                <w:rFonts w:ascii="Tahoma" w:hAnsi="Tahoma" w:cs="Tahoma"/>
                <w:sz w:val="20"/>
                <w:szCs w:val="20"/>
              </w:rPr>
              <w:t>000+</w:t>
            </w:r>
          </w:p>
        </w:tc>
        <w:tc>
          <w:tcPr>
            <w:tcW w:w="1593" w:type="dxa"/>
            <w:shd w:val="clear" w:color="auto" w:fill="FFCC99"/>
            <w:vAlign w:val="center"/>
          </w:tcPr>
          <w:p w:rsidR="008B1196" w:rsidRPr="00EB4D74" w:rsidRDefault="008B1196" w:rsidP="00EA30FC">
            <w:pPr>
              <w:pStyle w:val="AppendixTableHeadings"/>
              <w:keepNext/>
              <w:spacing w:line="240" w:lineRule="auto"/>
              <w:rPr>
                <w:rFonts w:ascii="Tahoma" w:hAnsi="Tahoma" w:cs="Tahoma"/>
                <w:sz w:val="20"/>
                <w:szCs w:val="20"/>
              </w:rPr>
            </w:pPr>
            <w:r w:rsidRPr="00EB4D74">
              <w:rPr>
                <w:rFonts w:ascii="Tahoma" w:hAnsi="Tahoma" w:cs="Tahoma"/>
                <w:sz w:val="20"/>
                <w:szCs w:val="20"/>
                <w:lang w:val="pt-BR"/>
              </w:rPr>
              <w:t>Academic Select/Select Plus para Academic/</w:t>
            </w:r>
            <w:r w:rsidRPr="00EB4D74">
              <w:rPr>
                <w:rFonts w:ascii="Tahoma" w:hAnsi="Tahoma" w:cs="Tahoma"/>
                <w:sz w:val="20"/>
                <w:szCs w:val="20"/>
                <w:lang w:val="pt-BR"/>
              </w:rPr>
              <w:br/>
              <w:t>Open com SAM</w:t>
            </w:r>
          </w:p>
        </w:tc>
      </w:tr>
      <w:tr w:rsidR="008B1196" w:rsidRPr="00EB4D74" w:rsidTr="00EA30FC">
        <w:trPr>
          <w:trHeight w:val="236"/>
        </w:trPr>
        <w:tc>
          <w:tcPr>
            <w:tcW w:w="1080" w:type="dxa"/>
            <w:vAlign w:val="center"/>
          </w:tcPr>
          <w:p w:rsidR="008B1196" w:rsidRPr="00EB4D74" w:rsidRDefault="008B1196" w:rsidP="00EA30FC">
            <w:pPr>
              <w:pStyle w:val="AppendixTableText"/>
              <w:keepNext/>
              <w:spacing w:line="240" w:lineRule="auto"/>
              <w:rPr>
                <w:rFonts w:ascii="Tahoma" w:hAnsi="Tahoma" w:cs="Tahoma"/>
              </w:rPr>
            </w:pPr>
            <w:r w:rsidRPr="00EB4D74">
              <w:rPr>
                <w:rFonts w:ascii="Tahoma" w:hAnsi="Tahoma" w:cs="Tahoma"/>
                <w:lang w:val="pt-BR"/>
              </w:rPr>
              <w:t>Pool de Aplicativos</w:t>
            </w:r>
          </w:p>
        </w:tc>
        <w:tc>
          <w:tcPr>
            <w:tcW w:w="1145"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1 ID de Usuário por contrato</w:t>
            </w:r>
          </w:p>
        </w:tc>
        <w:tc>
          <w:tcPr>
            <w:tcW w:w="1440"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2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303"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5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485"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10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305"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20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593"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1 ID de Usuário por registro/contrato</w:t>
            </w:r>
          </w:p>
        </w:tc>
      </w:tr>
      <w:tr w:rsidR="008B1196" w:rsidRPr="00EB4D74" w:rsidTr="00EA30FC">
        <w:trPr>
          <w:trHeight w:val="236"/>
        </w:trPr>
        <w:tc>
          <w:tcPr>
            <w:tcW w:w="1080" w:type="dxa"/>
            <w:vAlign w:val="center"/>
          </w:tcPr>
          <w:p w:rsidR="008B1196" w:rsidRPr="00EB4D74" w:rsidRDefault="008B1196" w:rsidP="00EA30FC">
            <w:pPr>
              <w:pStyle w:val="AppendixTableText"/>
              <w:keepNext/>
              <w:spacing w:line="240" w:lineRule="auto"/>
              <w:rPr>
                <w:rFonts w:ascii="Tahoma" w:hAnsi="Tahoma" w:cs="Tahoma"/>
              </w:rPr>
            </w:pPr>
            <w:r w:rsidRPr="00EB4D74">
              <w:rPr>
                <w:rFonts w:ascii="Tahoma" w:hAnsi="Tahoma" w:cs="Tahoma"/>
                <w:lang w:val="pt-BR"/>
              </w:rPr>
              <w:t>Pool de Sistemas</w:t>
            </w:r>
          </w:p>
        </w:tc>
        <w:tc>
          <w:tcPr>
            <w:tcW w:w="1145"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1 ID de Usuário por contrato</w:t>
            </w:r>
          </w:p>
        </w:tc>
        <w:tc>
          <w:tcPr>
            <w:tcW w:w="1440"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2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303"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3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485"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5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305"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10 IDs de Usuário por</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Registro</w:t>
            </w:r>
          </w:p>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Qualificado</w:t>
            </w:r>
          </w:p>
        </w:tc>
        <w:tc>
          <w:tcPr>
            <w:tcW w:w="1593" w:type="dxa"/>
            <w:vAlign w:val="center"/>
          </w:tcPr>
          <w:p w:rsidR="008B1196" w:rsidRPr="00EB4D74" w:rsidRDefault="008B1196" w:rsidP="00EA30FC">
            <w:pPr>
              <w:pStyle w:val="AppendixTableText"/>
              <w:keepNext/>
              <w:spacing w:line="240" w:lineRule="auto"/>
              <w:rPr>
                <w:rFonts w:ascii="Tahoma" w:hAnsi="Tahoma" w:cs="Tahoma"/>
                <w:lang w:val="it-IT"/>
              </w:rPr>
            </w:pPr>
            <w:r w:rsidRPr="00EB4D74">
              <w:rPr>
                <w:rFonts w:ascii="Tahoma" w:hAnsi="Tahoma" w:cs="Tahoma"/>
                <w:lang w:val="pt-BR"/>
              </w:rPr>
              <w:t>1 ID de Usuário por registro/contrato</w:t>
            </w:r>
          </w:p>
        </w:tc>
      </w:tr>
    </w:tbl>
    <w:p w:rsidR="008B1196" w:rsidRPr="00EB4D74" w:rsidRDefault="008B1196" w:rsidP="008B1196">
      <w:pPr>
        <w:pStyle w:val="AppendixTableText"/>
        <w:spacing w:line="240" w:lineRule="auto"/>
        <w:jc w:val="left"/>
        <w:rPr>
          <w:rFonts w:ascii="Tahoma" w:hAnsi="Tahoma" w:cs="Tahoma"/>
          <w:lang w:val="pt-BR"/>
        </w:rPr>
      </w:pP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sz w:val="18"/>
          <w:szCs w:val="18"/>
          <w:lang w:val="pt-BR"/>
        </w:rPr>
        <w:t xml:space="preserve">Cada ID de Usuário qualifica um indivíduo para registrar e obter acesso ao site de serviços online apenas para Assinantes, o que inclui, mas não se limita a: </w:t>
      </w:r>
      <w:r w:rsidRPr="00EB4D74">
        <w:rPr>
          <w:rFonts w:ascii="Tahoma" w:hAnsi="Tahoma" w:cs="Tahoma"/>
          <w:sz w:val="18"/>
          <w:lang w:val="pt-BR"/>
        </w:rPr>
        <w:t>Atendimento via Chat, Grupos de Notícias Gerenciados e conteúdos premium.</w:t>
      </w:r>
    </w:p>
    <w:p w:rsidR="008B1196" w:rsidRPr="00EB4D74" w:rsidRDefault="008B1196" w:rsidP="008B1196">
      <w:pPr>
        <w:pStyle w:val="AppendixFlushBulletedList"/>
        <w:tabs>
          <w:tab w:val="clear" w:pos="360"/>
          <w:tab w:val="num" w:pos="0"/>
        </w:tabs>
        <w:ind w:left="0" w:firstLine="0"/>
        <w:rPr>
          <w:rFonts w:ascii="Tahoma" w:hAnsi="Tahoma" w:cs="Tahoma"/>
          <w:sz w:val="18"/>
          <w:szCs w:val="18"/>
          <w:lang w:val="it-IT"/>
        </w:rPr>
      </w:pP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sz w:val="18"/>
          <w:lang w:val="pt-BR"/>
        </w:rPr>
        <w:t>Os clientes de Licença Open, Open Value, Open Value Subscription – Soluções Educacionais, Licença Academic Select e Select Plus para Academic devem adquirir o Software Assurance para um mínimo de cinco licenças de servidor para produtos qualificados com a finalidade de se qualificarem para esse benefício.</w:t>
      </w:r>
    </w:p>
    <w:p w:rsidR="008B1196" w:rsidRPr="00EB4D74" w:rsidRDefault="008B1196" w:rsidP="008B1196">
      <w:pPr>
        <w:pStyle w:val="AppendixFlushBulletedList"/>
        <w:tabs>
          <w:tab w:val="clear" w:pos="360"/>
          <w:tab w:val="num" w:pos="0"/>
        </w:tabs>
        <w:ind w:left="0" w:firstLine="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lang w:val="pt-BR"/>
        </w:rPr>
        <w:t>O uso de software dos Serviços de Assinatura do TechNet SA pelos clientes está sujeito aos termos e condições de seu contrato de licença.</w:t>
      </w:r>
    </w:p>
    <w:p w:rsidR="008B1196" w:rsidRPr="00EB4D74" w:rsidRDefault="008B1196" w:rsidP="008B1196">
      <w:pPr>
        <w:pStyle w:val="Heading3"/>
        <w:rPr>
          <w:rFonts w:ascii="Tahoma" w:hAnsi="Tahoma" w:cs="Tahoma"/>
          <w:sz w:val="18"/>
          <w:szCs w:val="18"/>
          <w:lang w:val="it-IT"/>
        </w:rPr>
      </w:pPr>
    </w:p>
    <w:p w:rsidR="008B1196" w:rsidRPr="00EB4D74" w:rsidRDefault="008B1196" w:rsidP="008B1196">
      <w:pPr>
        <w:pStyle w:val="Heading3"/>
        <w:rPr>
          <w:rFonts w:ascii="Tahoma" w:hAnsi="Tahoma" w:cs="Tahoma"/>
        </w:rPr>
      </w:pPr>
      <w:bookmarkStart w:id="871" w:name="_Toc336338241"/>
      <w:bookmarkStart w:id="872" w:name="_Toc342914878"/>
      <w:bookmarkEnd w:id="871"/>
      <w:r w:rsidRPr="00EB4D74">
        <w:rPr>
          <w:rFonts w:ascii="Tahoma" w:hAnsi="Tahoma" w:cs="Tahoma"/>
          <w:lang w:val="pt-BR"/>
        </w:rPr>
        <w:t>TechNet Plus Direct</w:t>
      </w:r>
      <w:bookmarkEnd w:id="872"/>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AppendixBodyText"/>
        <w:spacing w:after="0"/>
        <w:rPr>
          <w:rFonts w:ascii="Tahoma" w:hAnsi="Tahoma" w:cs="Tahoma"/>
        </w:rPr>
      </w:pPr>
      <w:r w:rsidRPr="00EB4D74">
        <w:rPr>
          <w:rFonts w:ascii="Tahoma" w:hAnsi="Tahoma" w:cs="Tahoma"/>
          <w:sz w:val="18"/>
          <w:lang w:val="pt-BR"/>
        </w:rPr>
        <w:t>Os clientes com Software Assurance para produtos qualificados no pool de servidores estão qualificados para uma Assinatura do TechNet Plus Direct durante o prazo de suas coberturas do Software Assurance. Isso fornece aos profissionais de TI acesso ao conteúdo do TechNet Plus Direct, o que inclui a Base de Dados de Conhecimento Microsoft, treinamentos técnicos, downloads, patches de segurança, service packs e artigos como fazer. Além disso, os clientes também receberão os seguintes benefícios:</w:t>
      </w:r>
    </w:p>
    <w:p w:rsidR="008B1196" w:rsidRPr="00EB4D74" w:rsidRDefault="008B1196" w:rsidP="008B1196">
      <w:pPr>
        <w:pStyle w:val="AppendixBodyText"/>
        <w:spacing w:after="0"/>
        <w:rPr>
          <w:rFonts w:ascii="Tahoma" w:hAnsi="Tahoma" w:cs="Tahoma"/>
          <w:sz w:val="18"/>
          <w:szCs w:val="18"/>
        </w:rPr>
      </w:pPr>
    </w:p>
    <w:p w:rsidR="008B1196" w:rsidRPr="00EB4D74" w:rsidRDefault="008B1196" w:rsidP="008B1196">
      <w:pPr>
        <w:pStyle w:val="AppendixFlushBulletedList"/>
        <w:numPr>
          <w:ilvl w:val="0"/>
          <w:numId w:val="62"/>
        </w:numPr>
        <w:spacing w:after="60"/>
        <w:ind w:left="1440"/>
        <w:rPr>
          <w:rFonts w:ascii="Tahoma" w:hAnsi="Tahoma" w:cs="Tahoma"/>
        </w:rPr>
      </w:pPr>
      <w:r w:rsidRPr="00EB4D74">
        <w:rPr>
          <w:rFonts w:ascii="Tahoma" w:hAnsi="Tahoma" w:cs="Tahoma"/>
          <w:sz w:val="18"/>
          <w:szCs w:val="18"/>
          <w:lang w:val="pt-BR"/>
        </w:rPr>
        <w:t>Acesso para baixar softwares de versão completa licenciados para fins de avaliação; inclui sistemas operacionais e servidores da Microsoft e software do Office System.</w:t>
      </w:r>
    </w:p>
    <w:p w:rsidR="008B1196" w:rsidRPr="00EB4D74" w:rsidRDefault="008B1196" w:rsidP="008B1196">
      <w:pPr>
        <w:pStyle w:val="AppendixFlushBulletedList"/>
        <w:numPr>
          <w:ilvl w:val="0"/>
          <w:numId w:val="62"/>
        </w:numPr>
        <w:spacing w:after="60"/>
        <w:ind w:left="1440"/>
        <w:rPr>
          <w:rFonts w:ascii="Tahoma" w:hAnsi="Tahoma" w:cs="Tahoma"/>
          <w:lang w:val="it-IT"/>
        </w:rPr>
      </w:pPr>
      <w:r w:rsidRPr="00EB4D74">
        <w:rPr>
          <w:rFonts w:ascii="Tahoma" w:hAnsi="Tahoma" w:cs="Tahoma"/>
          <w:sz w:val="18"/>
          <w:lang w:val="pt-BR"/>
        </w:rPr>
        <w:t>Acesso para baixar software Beta — versões de pré-lançamento de software da Microsoft.</w:t>
      </w:r>
    </w:p>
    <w:p w:rsidR="008B1196" w:rsidRPr="00EB4D74" w:rsidRDefault="008B1196" w:rsidP="008B1196">
      <w:pPr>
        <w:pStyle w:val="AppendixFlushBulletedList"/>
        <w:numPr>
          <w:ilvl w:val="0"/>
          <w:numId w:val="62"/>
        </w:numPr>
        <w:spacing w:after="60"/>
        <w:ind w:left="1440"/>
        <w:rPr>
          <w:rFonts w:ascii="Tahoma" w:hAnsi="Tahoma" w:cs="Tahoma"/>
          <w:lang w:val="it-IT"/>
        </w:rPr>
      </w:pPr>
      <w:r w:rsidRPr="00EB4D74">
        <w:rPr>
          <w:rFonts w:ascii="Tahoma" w:hAnsi="Tahoma" w:cs="Tahoma"/>
          <w:sz w:val="18"/>
          <w:szCs w:val="18"/>
          <w:lang w:val="pt-BR"/>
        </w:rPr>
        <w:t>Dois (2) incidentes de suporte técnico complementares por ano e 20% de desconto para incidentes de suporte por telefone adicionais adquiridos por um cliente.</w:t>
      </w:r>
    </w:p>
    <w:p w:rsidR="008B1196" w:rsidRPr="00EB4D74" w:rsidRDefault="008B1196" w:rsidP="008B1196">
      <w:pPr>
        <w:pStyle w:val="AppendixFlushBulletedList"/>
        <w:numPr>
          <w:ilvl w:val="0"/>
          <w:numId w:val="62"/>
        </w:numPr>
        <w:spacing w:after="60"/>
        <w:ind w:left="1440"/>
        <w:rPr>
          <w:rFonts w:ascii="Tahoma" w:hAnsi="Tahoma" w:cs="Tahoma"/>
          <w:lang w:val="it-IT"/>
        </w:rPr>
      </w:pPr>
      <w:r w:rsidRPr="00EB4D74">
        <w:rPr>
          <w:rFonts w:ascii="Tahoma" w:hAnsi="Tahoma" w:cs="Tahoma"/>
          <w:sz w:val="18"/>
          <w:szCs w:val="18"/>
          <w:lang w:val="pt-BR"/>
        </w:rPr>
        <w:t>Suporte a Grupos de Notícias Gerenciados Ilimitado e serviço de Atendimento via Chat.</w:t>
      </w: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sz w:val="18"/>
          <w:szCs w:val="18"/>
          <w:lang w:val="it-IT"/>
        </w:rPr>
      </w:pPr>
    </w:p>
    <w:p w:rsidR="008B1196" w:rsidRPr="00EB4D74" w:rsidRDefault="008B1196" w:rsidP="008B1196">
      <w:pPr>
        <w:pStyle w:val="AppendixBodyText"/>
        <w:spacing w:after="0"/>
        <w:rPr>
          <w:rFonts w:ascii="Tahoma" w:hAnsi="Tahoma" w:cs="Tahoma"/>
          <w:lang w:val="it-IT"/>
        </w:rPr>
      </w:pPr>
      <w:r w:rsidRPr="00EB4D74">
        <w:rPr>
          <w:rFonts w:ascii="Tahoma" w:hAnsi="Tahoma" w:cs="Tahoma"/>
          <w:sz w:val="18"/>
          <w:lang w:val="pt-BR"/>
        </w:rPr>
        <w:lastRenderedPageBreak/>
        <w:t>Os clientes qualificados recebem uma assinatura por registro qualificado, conforme mostrado a seguir:</w:t>
      </w:r>
    </w:p>
    <w:p w:rsidR="008B1196" w:rsidRPr="00EB4D74" w:rsidRDefault="008B1196" w:rsidP="008B1196">
      <w:pPr>
        <w:pStyle w:val="AppendixBodyText"/>
        <w:tabs>
          <w:tab w:val="left" w:pos="1425"/>
        </w:tabs>
        <w:spacing w:after="0"/>
        <w:rPr>
          <w:rFonts w:ascii="Tahoma" w:hAnsi="Tahoma" w:cs="Tahoma"/>
          <w:sz w:val="18"/>
          <w:szCs w:val="18"/>
          <w:lang w:val="it-IT"/>
        </w:rPr>
      </w:pPr>
    </w:p>
    <w:tbl>
      <w:tblPr>
        <w:tblW w:w="0" w:type="auto"/>
        <w:tblInd w:w="99" w:type="dxa"/>
        <w:tblCellMar>
          <w:left w:w="0" w:type="dxa"/>
          <w:right w:w="0" w:type="dxa"/>
        </w:tblCellMar>
        <w:tblLook w:val="0000" w:firstRow="0" w:lastRow="0" w:firstColumn="0" w:lastColumn="0" w:noHBand="0" w:noVBand="0"/>
      </w:tblPr>
      <w:tblGrid>
        <w:gridCol w:w="1244"/>
        <w:gridCol w:w="1830"/>
        <w:gridCol w:w="2003"/>
        <w:gridCol w:w="2098"/>
        <w:gridCol w:w="2284"/>
      </w:tblGrid>
      <w:tr w:rsidR="008B1196" w:rsidRPr="00EB4D74" w:rsidTr="00EA30FC">
        <w:trPr>
          <w:trHeight w:val="460"/>
        </w:trPr>
        <w:tc>
          <w:tcPr>
            <w:tcW w:w="124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B1196" w:rsidRPr="00EB4D74" w:rsidRDefault="008B1196" w:rsidP="00EA30FC">
            <w:pPr>
              <w:jc w:val="center"/>
              <w:rPr>
                <w:rFonts w:cs="Tahoma"/>
                <w:b/>
                <w:bCs/>
                <w:color w:val="000000"/>
                <w:sz w:val="20"/>
                <w:szCs w:val="20"/>
                <w:highlight w:val="yellow"/>
              </w:rPr>
            </w:pPr>
            <w:r w:rsidRPr="00EB4D74">
              <w:rPr>
                <w:rFonts w:cs="Tahoma"/>
                <w:b/>
                <w:color w:val="000000"/>
                <w:sz w:val="20"/>
                <w:lang w:val="pt-BR"/>
              </w:rPr>
              <w:t>Produto</w:t>
            </w:r>
          </w:p>
        </w:tc>
        <w:tc>
          <w:tcPr>
            <w:tcW w:w="183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B1196" w:rsidRPr="00EB4D74" w:rsidRDefault="008B1196" w:rsidP="00EA30FC">
            <w:pPr>
              <w:jc w:val="center"/>
              <w:rPr>
                <w:rFonts w:cs="Tahoma"/>
                <w:b/>
                <w:bCs/>
                <w:color w:val="000000"/>
                <w:sz w:val="20"/>
                <w:szCs w:val="20"/>
                <w:highlight w:val="yellow"/>
              </w:rPr>
            </w:pPr>
            <w:r w:rsidRPr="00EB4D74">
              <w:rPr>
                <w:rFonts w:cs="Tahoma"/>
                <w:b/>
                <w:color w:val="000000"/>
                <w:sz w:val="20"/>
                <w:lang w:val="pt-BR"/>
              </w:rPr>
              <w:t>Licença Open</w:t>
            </w:r>
          </w:p>
        </w:tc>
        <w:tc>
          <w:tcPr>
            <w:tcW w:w="20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8B1196" w:rsidRPr="00EB4D74" w:rsidRDefault="008B1196" w:rsidP="00EA30FC">
            <w:pPr>
              <w:jc w:val="center"/>
              <w:rPr>
                <w:rFonts w:cs="Tahoma"/>
                <w:b/>
                <w:bCs/>
                <w:color w:val="000000"/>
                <w:sz w:val="20"/>
                <w:szCs w:val="20"/>
                <w:highlight w:val="yellow"/>
              </w:rPr>
            </w:pPr>
            <w:r w:rsidRPr="00EB4D74">
              <w:rPr>
                <w:rFonts w:cs="Tahoma"/>
                <w:b/>
                <w:color w:val="000000"/>
                <w:sz w:val="20"/>
                <w:lang w:val="pt-BR"/>
              </w:rPr>
              <w:t>Open Value</w:t>
            </w:r>
          </w:p>
        </w:tc>
        <w:tc>
          <w:tcPr>
            <w:tcW w:w="2098" w:type="dxa"/>
            <w:tcBorders>
              <w:top w:val="single" w:sz="8" w:space="0" w:color="auto"/>
              <w:left w:val="nil"/>
              <w:bottom w:val="single" w:sz="8" w:space="0" w:color="auto"/>
              <w:right w:val="single" w:sz="8" w:space="0" w:color="auto"/>
            </w:tcBorders>
            <w:shd w:val="clear" w:color="auto" w:fill="FFCC99"/>
            <w:vAlign w:val="center"/>
          </w:tcPr>
          <w:p w:rsidR="008B1196" w:rsidRPr="00EB4D74" w:rsidRDefault="008B1196" w:rsidP="00EA30FC">
            <w:pPr>
              <w:jc w:val="center"/>
              <w:rPr>
                <w:rFonts w:cs="Tahoma"/>
                <w:b/>
                <w:bCs/>
                <w:color w:val="000000"/>
                <w:sz w:val="20"/>
                <w:szCs w:val="20"/>
              </w:rPr>
            </w:pPr>
            <w:r w:rsidRPr="00EB4D74">
              <w:rPr>
                <w:rFonts w:cs="Tahoma"/>
                <w:b/>
                <w:bCs/>
                <w:color w:val="000000"/>
                <w:sz w:val="20"/>
                <w:szCs w:val="20"/>
                <w:lang w:val="pt-BR"/>
              </w:rPr>
              <w:t>Academic</w:t>
            </w:r>
          </w:p>
        </w:tc>
        <w:tc>
          <w:tcPr>
            <w:tcW w:w="2284"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8B1196" w:rsidRPr="00EB4D74" w:rsidRDefault="008B1196" w:rsidP="00EA30FC">
            <w:pPr>
              <w:jc w:val="center"/>
              <w:rPr>
                <w:rFonts w:cs="Tahoma"/>
                <w:b/>
                <w:bCs/>
                <w:color w:val="000000"/>
                <w:sz w:val="20"/>
                <w:szCs w:val="20"/>
                <w:highlight w:val="yellow"/>
              </w:rPr>
            </w:pPr>
            <w:r w:rsidRPr="00EB4D74">
              <w:rPr>
                <w:rFonts w:cs="Tahoma"/>
                <w:b/>
                <w:color w:val="000000"/>
                <w:sz w:val="20"/>
                <w:lang w:val="pt-BR"/>
              </w:rPr>
              <w:t>Select (diferente de Academic)/Select Plus (diferente de Academic)/Contrato Enterprise</w:t>
            </w:r>
          </w:p>
        </w:tc>
      </w:tr>
      <w:tr w:rsidR="008B1196" w:rsidRPr="00EB4D74" w:rsidTr="00EA30FC">
        <w:trPr>
          <w:trHeight w:val="50"/>
        </w:trPr>
        <w:tc>
          <w:tcPr>
            <w:tcW w:w="1244"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B1196" w:rsidRPr="00EB4D74" w:rsidRDefault="008B1196" w:rsidP="00EA30FC">
            <w:pPr>
              <w:rPr>
                <w:rFonts w:cs="Tahoma"/>
                <w:color w:val="000000"/>
                <w:szCs w:val="18"/>
                <w:highlight w:val="yellow"/>
              </w:rPr>
            </w:pPr>
            <w:r w:rsidRPr="00EB4D74">
              <w:rPr>
                <w:rFonts w:cs="Tahoma"/>
                <w:b/>
                <w:color w:val="000000"/>
                <w:lang w:val="pt-BR"/>
              </w:rPr>
              <w:t>Licenças de Servidor</w:t>
            </w:r>
          </w:p>
        </w:tc>
        <w:tc>
          <w:tcPr>
            <w:tcW w:w="1830" w:type="dxa"/>
            <w:tcBorders>
              <w:top w:val="nil"/>
              <w:left w:val="nil"/>
              <w:bottom w:val="single" w:sz="8" w:space="0" w:color="auto"/>
              <w:right w:val="single" w:sz="8" w:space="0" w:color="auto"/>
            </w:tcBorders>
            <w:tcMar>
              <w:top w:w="0" w:type="dxa"/>
              <w:left w:w="99" w:type="dxa"/>
              <w:bottom w:w="0" w:type="dxa"/>
              <w:right w:w="99" w:type="dxa"/>
            </w:tcMar>
            <w:vAlign w:val="center"/>
          </w:tcPr>
          <w:p w:rsidR="008B1196" w:rsidRPr="00EB4D74" w:rsidRDefault="008B1196" w:rsidP="00EA30FC">
            <w:pPr>
              <w:jc w:val="center"/>
              <w:rPr>
                <w:rFonts w:cs="Tahoma"/>
                <w:color w:val="000000"/>
                <w:szCs w:val="18"/>
                <w:highlight w:val="yellow"/>
              </w:rPr>
            </w:pPr>
            <w:r w:rsidRPr="00EB4D74">
              <w:rPr>
                <w:rFonts w:cs="Tahoma"/>
                <w:color w:val="000000"/>
                <w:lang w:val="pt-BR"/>
              </w:rPr>
              <w:t>N/D</w:t>
            </w:r>
          </w:p>
        </w:tc>
        <w:tc>
          <w:tcPr>
            <w:tcW w:w="2003" w:type="dxa"/>
            <w:tcBorders>
              <w:top w:val="nil"/>
              <w:left w:val="nil"/>
              <w:bottom w:val="single" w:sz="8" w:space="0" w:color="auto"/>
              <w:right w:val="single" w:sz="8" w:space="0" w:color="auto"/>
            </w:tcBorders>
            <w:tcMar>
              <w:top w:w="0" w:type="dxa"/>
              <w:left w:w="99" w:type="dxa"/>
              <w:bottom w:w="0" w:type="dxa"/>
              <w:right w:w="99" w:type="dxa"/>
            </w:tcMar>
            <w:vAlign w:val="center"/>
          </w:tcPr>
          <w:p w:rsidR="008B1196" w:rsidRPr="00EB4D74" w:rsidRDefault="008B1196" w:rsidP="00EA30FC">
            <w:pPr>
              <w:jc w:val="center"/>
              <w:rPr>
                <w:rFonts w:cs="Tahoma"/>
                <w:color w:val="000000"/>
                <w:szCs w:val="18"/>
                <w:highlight w:val="yellow"/>
              </w:rPr>
            </w:pPr>
            <w:r w:rsidRPr="00EB4D74">
              <w:rPr>
                <w:rFonts w:cs="Tahoma"/>
                <w:color w:val="000000"/>
                <w:lang w:val="pt-BR"/>
              </w:rPr>
              <w:t>1 assinatura por registro</w:t>
            </w:r>
          </w:p>
        </w:tc>
        <w:tc>
          <w:tcPr>
            <w:tcW w:w="2098" w:type="dxa"/>
            <w:tcBorders>
              <w:top w:val="single" w:sz="8" w:space="0" w:color="auto"/>
              <w:left w:val="nil"/>
              <w:bottom w:val="single" w:sz="8" w:space="0" w:color="auto"/>
              <w:right w:val="single" w:sz="8" w:space="0" w:color="auto"/>
            </w:tcBorders>
          </w:tcPr>
          <w:p w:rsidR="008B1196" w:rsidRPr="00EB4D74" w:rsidRDefault="008B1196" w:rsidP="00EA30FC">
            <w:pPr>
              <w:ind w:left="360"/>
              <w:rPr>
                <w:rFonts w:cs="Tahoma"/>
                <w:color w:val="000000"/>
                <w:szCs w:val="18"/>
              </w:rPr>
            </w:pPr>
            <w:r w:rsidRPr="00EB4D74">
              <w:rPr>
                <w:rFonts w:cs="Tahoma"/>
                <w:color w:val="000000"/>
                <w:szCs w:val="18"/>
                <w:lang w:val="pt-BR"/>
              </w:rPr>
              <w:t>1 assinatura por registro “</w:t>
            </w:r>
          </w:p>
        </w:tc>
        <w:tc>
          <w:tcPr>
            <w:tcW w:w="2284"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8B1196" w:rsidRPr="00EB4D74" w:rsidRDefault="008B1196" w:rsidP="00EA30FC">
            <w:pPr>
              <w:rPr>
                <w:rFonts w:cs="Tahoma"/>
                <w:color w:val="000000"/>
                <w:szCs w:val="18"/>
              </w:rPr>
            </w:pPr>
            <w:r w:rsidRPr="00EB4D74">
              <w:rPr>
                <w:rFonts w:cs="Tahoma"/>
                <w:color w:val="000000"/>
                <w:szCs w:val="18"/>
                <w:lang w:val="pt-BR"/>
              </w:rPr>
              <w:t>1 assinatura por registro</w:t>
            </w:r>
          </w:p>
        </w:tc>
      </w:tr>
    </w:tbl>
    <w:p w:rsidR="008B1196" w:rsidRPr="00EB4D74" w:rsidRDefault="008B1196" w:rsidP="008B1196">
      <w:pPr>
        <w:tabs>
          <w:tab w:val="num" w:pos="0"/>
        </w:tabs>
        <w:rPr>
          <w:rFonts w:cs="Tahoma"/>
          <w:lang w:val="it-IT"/>
        </w:rPr>
      </w:pPr>
      <w:r w:rsidRPr="00EB4D74">
        <w:rPr>
          <w:rFonts w:cs="Tahoma"/>
          <w:i/>
          <w:color w:val="000000"/>
          <w:sz w:val="16"/>
          <w:szCs w:val="16"/>
          <w:lang w:val="it-IT"/>
        </w:rPr>
        <w:t xml:space="preserve">* </w:t>
      </w:r>
      <w:r w:rsidRPr="00EB4D74">
        <w:rPr>
          <w:rFonts w:cs="Tahoma"/>
          <w:i/>
          <w:color w:val="000000"/>
          <w:sz w:val="16"/>
          <w:lang w:val="pt-BR"/>
        </w:rPr>
        <w:t>Se o cliente tiver uma cobertura ativa do SA para cinco licenças de software de servidor</w:t>
      </w:r>
    </w:p>
    <w:p w:rsidR="008B1196" w:rsidRPr="00EB4D74" w:rsidRDefault="008B1196" w:rsidP="008B1196">
      <w:pPr>
        <w:pStyle w:val="AppendixFlushBulletedList"/>
        <w:tabs>
          <w:tab w:val="clear" w:pos="360"/>
          <w:tab w:val="num" w:pos="0"/>
        </w:tabs>
        <w:ind w:left="0" w:firstLine="0"/>
        <w:rPr>
          <w:rFonts w:ascii="Tahoma" w:hAnsi="Tahoma" w:cs="Tahoma"/>
          <w:sz w:val="16"/>
          <w:szCs w:val="16"/>
          <w:lang w:val="it-IT"/>
        </w:rPr>
      </w:pP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color w:val="000000"/>
          <w:sz w:val="18"/>
          <w:lang w:val="pt-BR"/>
        </w:rPr>
        <w:t>O uso de software, software de pré-lançamento e de avaliação do TechNet Plus Direct pelos clientes está sujeito aos termos e condições de seus contratos de licença.</w:t>
      </w: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color w:val="000000"/>
          <w:sz w:val="18"/>
          <w:szCs w:val="18"/>
          <w:lang w:val="pt-BR"/>
        </w:rPr>
        <w:t>O software de versão completa licenciado não possui uma bomba relógio e destina-se apenas para fins de avaliação – ela não deve ser usado em ambientes de produção.</w:t>
      </w:r>
    </w:p>
    <w:p w:rsidR="008B1196" w:rsidRPr="00EB4D74" w:rsidRDefault="008B1196" w:rsidP="008B1196">
      <w:pPr>
        <w:pStyle w:val="AppendixFlushBulletedList"/>
        <w:tabs>
          <w:tab w:val="clear" w:pos="360"/>
          <w:tab w:val="num" w:pos="0"/>
        </w:tabs>
        <w:ind w:left="0" w:firstLine="0"/>
        <w:rPr>
          <w:rFonts w:ascii="Tahoma" w:hAnsi="Tahoma" w:cs="Tahoma"/>
          <w:sz w:val="18"/>
          <w:szCs w:val="18"/>
          <w:lang w:val="it-IT"/>
        </w:rPr>
      </w:pPr>
    </w:p>
    <w:p w:rsidR="008B1196" w:rsidRPr="00EB4D74" w:rsidRDefault="008B1196" w:rsidP="008B1196">
      <w:pPr>
        <w:pStyle w:val="AppendixFlushBulletedList"/>
        <w:tabs>
          <w:tab w:val="clear" w:pos="360"/>
          <w:tab w:val="num" w:pos="0"/>
        </w:tabs>
        <w:ind w:left="0" w:firstLine="0"/>
        <w:rPr>
          <w:rFonts w:ascii="Tahoma" w:hAnsi="Tahoma" w:cs="Tahoma"/>
          <w:spacing w:val="-2"/>
          <w:lang w:val="pt-BR"/>
        </w:rPr>
      </w:pPr>
      <w:r w:rsidRPr="00EB4D74">
        <w:rPr>
          <w:rFonts w:ascii="Tahoma" w:hAnsi="Tahoma" w:cs="Tahoma"/>
          <w:color w:val="000000"/>
          <w:spacing w:val="-2"/>
          <w:sz w:val="18"/>
          <w:lang w:val="pt-BR"/>
        </w:rPr>
        <w:t xml:space="preserve">Os clientes do SA têm direito de compartilhar o conteúdo técnico dentro da organização, como a base de conhecimento, os treinamentos técnicos, os downloads, os service packs e os patches de segurança. Entretanto, os benefícios a seguir são exclusivos do principal assinante e não podem ser compartilhados: </w:t>
      </w:r>
      <w:r w:rsidRPr="00EB4D74">
        <w:rPr>
          <w:rFonts w:ascii="Tahoma" w:hAnsi="Tahoma" w:cs="Tahoma"/>
          <w:color w:val="000000"/>
          <w:spacing w:val="-2"/>
          <w:sz w:val="18"/>
          <w:szCs w:val="18"/>
          <w:lang w:val="pt-BR"/>
        </w:rPr>
        <w:t>software de versão completa para fins de avaliação, software beta, incidentes de suporte técnico e descontos, grupos de notícias gerenciados e atendimento via chat, além de outros serviços premium disponibilizados apenas por meio do site do TechNet Plus Direct.</w:t>
      </w:r>
    </w:p>
    <w:p w:rsidR="008B1196" w:rsidRPr="00EB4D74" w:rsidRDefault="008B1196" w:rsidP="008B1196">
      <w:pPr>
        <w:pStyle w:val="AppendixFlushBulletedList"/>
        <w:tabs>
          <w:tab w:val="clear" w:pos="360"/>
          <w:tab w:val="num" w:pos="0"/>
        </w:tabs>
        <w:ind w:left="0" w:firstLine="0"/>
        <w:rPr>
          <w:rFonts w:ascii="Tahoma" w:hAnsi="Tahoma" w:cs="Tahoma"/>
          <w:sz w:val="18"/>
          <w:szCs w:val="18"/>
          <w:lang w:val="pt-BR"/>
        </w:rPr>
      </w:pPr>
    </w:p>
    <w:p w:rsidR="008B1196" w:rsidRPr="00EB4D74" w:rsidRDefault="008B1196" w:rsidP="008B1196">
      <w:pPr>
        <w:pStyle w:val="AppendixFlushBulletedList"/>
        <w:tabs>
          <w:tab w:val="clear" w:pos="360"/>
          <w:tab w:val="num" w:pos="0"/>
        </w:tabs>
        <w:ind w:left="0" w:firstLine="0"/>
        <w:rPr>
          <w:rFonts w:ascii="Tahoma" w:hAnsi="Tahoma" w:cs="Tahoma"/>
        </w:rPr>
      </w:pPr>
      <w:r w:rsidRPr="00EB4D74">
        <w:rPr>
          <w:rFonts w:ascii="Tahoma" w:hAnsi="Tahoma" w:cs="Tahoma"/>
          <w:color w:val="000000"/>
          <w:sz w:val="18"/>
          <w:lang w:val="pt-BR"/>
        </w:rPr>
        <w:t>Nem todos os serviços e benefícios do TechNet Plus Direct estão disponíveis em todos os países/regiões.</w:t>
      </w:r>
    </w:p>
    <w:p w:rsidR="008B1196" w:rsidRPr="00EB4D74" w:rsidRDefault="008B1196" w:rsidP="008B1196">
      <w:pPr>
        <w:pStyle w:val="AppendixFlushBulletedList"/>
        <w:tabs>
          <w:tab w:val="clear" w:pos="360"/>
          <w:tab w:val="num" w:pos="0"/>
        </w:tabs>
        <w:ind w:left="0" w:firstLine="0"/>
        <w:rPr>
          <w:rFonts w:ascii="Tahoma" w:hAnsi="Tahoma" w:cs="Tahoma"/>
          <w:sz w:val="18"/>
          <w:szCs w:val="18"/>
        </w:rPr>
      </w:pP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color w:val="000000"/>
          <w:sz w:val="18"/>
          <w:lang w:val="pt-BR"/>
        </w:rPr>
        <w:t xml:space="preserve">Visite o site </w:t>
      </w:r>
      <w:hyperlink r:id="rId20" w:history="1">
        <w:r w:rsidRPr="00EB4D74">
          <w:rPr>
            <w:rStyle w:val="Hyperlink"/>
            <w:rFonts w:ascii="Tahoma" w:hAnsi="Tahoma" w:cs="Tahoma"/>
            <w:color w:val="000000"/>
            <w:sz w:val="18"/>
            <w:szCs w:val="18"/>
            <w:lang w:val="it-IT"/>
          </w:rPr>
          <w:t>http://www.microsoft.com/technet/subscription</w:t>
        </w:r>
      </w:hyperlink>
      <w:r w:rsidRPr="00EB4D74">
        <w:rPr>
          <w:rFonts w:ascii="Tahoma" w:hAnsi="Tahoma" w:cs="Tahoma"/>
          <w:color w:val="000000"/>
          <w:sz w:val="18"/>
          <w:lang w:val="pt-BR"/>
        </w:rPr>
        <w:t xml:space="preserve"> para obter mais informações sobre disponibilidade por país/região.</w:t>
      </w:r>
    </w:p>
    <w:p w:rsidR="008B1196" w:rsidRPr="00EB4D74" w:rsidRDefault="008B1196" w:rsidP="008B1196">
      <w:pPr>
        <w:pStyle w:val="AppendixFlushBulletedList"/>
        <w:tabs>
          <w:tab w:val="clear" w:pos="360"/>
          <w:tab w:val="num" w:pos="0"/>
        </w:tabs>
        <w:ind w:left="0" w:firstLine="0"/>
        <w:rPr>
          <w:rFonts w:ascii="Tahoma" w:hAnsi="Tahoma" w:cs="Tahoma"/>
          <w:lang w:val="it-IT"/>
        </w:rPr>
      </w:pPr>
      <w:r w:rsidRPr="00EB4D74">
        <w:rPr>
          <w:rFonts w:ascii="Tahoma" w:hAnsi="Tahoma" w:cs="Tahoma"/>
          <w:color w:val="000000"/>
          <w:sz w:val="18"/>
          <w:lang w:val="pt-BR"/>
        </w:rPr>
        <w:t>Os direitos de uso de software, software de pré-lançamento e de avaliação do TechNet Plus Direct pelos clientes se encerram no término de suas coberturas do Software Assurance.</w:t>
      </w:r>
    </w:p>
    <w:p w:rsidR="008B1196" w:rsidRPr="00EB4D74" w:rsidRDefault="008B1196" w:rsidP="008B1196">
      <w:pPr>
        <w:pStyle w:val="Heading3"/>
        <w:tabs>
          <w:tab w:val="num" w:pos="0"/>
        </w:tabs>
        <w:rPr>
          <w:rFonts w:ascii="Tahoma" w:hAnsi="Tahoma" w:cs="Tahoma"/>
          <w:lang w:val="it-IT"/>
        </w:rPr>
      </w:pPr>
    </w:p>
    <w:p w:rsidR="008B1196" w:rsidRPr="00EB4D74" w:rsidRDefault="008B1196" w:rsidP="008B1196">
      <w:pPr>
        <w:pStyle w:val="Heading3"/>
        <w:tabs>
          <w:tab w:val="num" w:pos="0"/>
        </w:tabs>
        <w:rPr>
          <w:rFonts w:ascii="Tahoma" w:hAnsi="Tahoma" w:cs="Tahoma"/>
          <w:lang w:val="pt-BR"/>
        </w:rPr>
      </w:pPr>
      <w:bookmarkStart w:id="873" w:name="_Toc336338242"/>
      <w:bookmarkStart w:id="874" w:name="_Toc342914879"/>
      <w:bookmarkEnd w:id="873"/>
      <w:r w:rsidRPr="00EB4D74">
        <w:rPr>
          <w:rFonts w:ascii="Tahoma" w:hAnsi="Tahoma" w:cs="Tahoma"/>
          <w:lang w:val="pt-BR"/>
        </w:rPr>
        <w:t>Mobilidade de Licença por meio do Software Assurance.</w:t>
      </w:r>
      <w:bookmarkEnd w:id="874"/>
    </w:p>
    <w:p w:rsidR="008B1196" w:rsidRPr="00EB4D74" w:rsidRDefault="008B1196" w:rsidP="008B1196">
      <w:pPr>
        <w:rPr>
          <w:sz w:val="16"/>
          <w:szCs w:val="20"/>
          <w:lang w:val="pt-BR"/>
        </w:rPr>
      </w:pPr>
    </w:p>
    <w:p w:rsidR="008B1196" w:rsidRPr="00EB4D74" w:rsidRDefault="008B1196" w:rsidP="008B1196">
      <w:pPr>
        <w:rPr>
          <w:rFonts w:cs="Tahoma"/>
          <w:lang w:val="pt-BR"/>
        </w:rPr>
      </w:pPr>
      <w:bookmarkStart w:id="875" w:name="_Toc294048012"/>
      <w:bookmarkStart w:id="876" w:name="_Toc294048569"/>
      <w:bookmarkStart w:id="877" w:name="_Toc294092640"/>
      <w:bookmarkStart w:id="878" w:name="_Toc295819320"/>
      <w:bookmarkStart w:id="879" w:name="_Toc298795971"/>
      <w:bookmarkStart w:id="880" w:name="_Toc299369847"/>
      <w:bookmarkStart w:id="881" w:name="_Toc300391558"/>
      <w:bookmarkStart w:id="882" w:name="_Toc301939835"/>
      <w:bookmarkStart w:id="883" w:name="_Toc304801232"/>
      <w:bookmarkStart w:id="884" w:name="_Toc312399280"/>
      <w:bookmarkStart w:id="885" w:name="_Toc315289087"/>
      <w:bookmarkStart w:id="886" w:name="_Toc317591243"/>
      <w:bookmarkStart w:id="887" w:name="_Toc325313196"/>
      <w:bookmarkStart w:id="888" w:name="_Toc325609219"/>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r w:rsidRPr="00EB4D74">
        <w:rPr>
          <w:rFonts w:cs="Tahoma"/>
          <w:lang w:val="pt-BR"/>
        </w:rPr>
        <w:t>A Mobilidade de Licença por meio do Software Assurance permite mover-se entre determinadas licenças nas instalações cobertas por Software Assurance para servidores compartilhados por terceiros.</w:t>
      </w:r>
    </w:p>
    <w:p w:rsidR="008B1196" w:rsidRPr="00EB4D74" w:rsidRDefault="008B1196" w:rsidP="008B1196">
      <w:pPr>
        <w:rPr>
          <w:rFonts w:cs="Tahoma"/>
          <w:sz w:val="16"/>
          <w:szCs w:val="20"/>
          <w:lang w:val="pt-BR"/>
        </w:rPr>
      </w:pPr>
    </w:p>
    <w:p w:rsidR="008B1196" w:rsidRPr="00EB4D74" w:rsidRDefault="008B1196" w:rsidP="008B1196">
      <w:pPr>
        <w:rPr>
          <w:rFonts w:cs="Tahoma"/>
          <w:lang w:val="it-IT"/>
        </w:rPr>
      </w:pPr>
      <w:bookmarkStart w:id="889" w:name="_Toc294048013"/>
      <w:bookmarkStart w:id="890" w:name="_Toc294048570"/>
      <w:bookmarkStart w:id="891" w:name="_Toc294092641"/>
      <w:bookmarkStart w:id="892" w:name="_Toc295819321"/>
      <w:bookmarkStart w:id="893" w:name="_Toc298795972"/>
      <w:bookmarkStart w:id="894" w:name="_Toc299369848"/>
      <w:bookmarkStart w:id="895" w:name="_Toc300391559"/>
      <w:bookmarkStart w:id="896" w:name="_Toc301939836"/>
      <w:bookmarkStart w:id="897" w:name="_Toc304801233"/>
      <w:bookmarkStart w:id="898" w:name="_Toc307350402"/>
      <w:bookmarkStart w:id="899" w:name="_Toc308429813"/>
      <w:bookmarkStart w:id="900" w:name="_Toc312399281"/>
      <w:bookmarkStart w:id="901" w:name="_Toc315289088"/>
      <w:bookmarkStart w:id="902" w:name="_Toc317591244"/>
      <w:bookmarkStart w:id="903" w:name="_Toc323034197"/>
      <w:bookmarkStart w:id="904" w:name="_Toc325313197"/>
      <w:bookmarkStart w:id="905" w:name="_Toc325609220"/>
      <w:r w:rsidRPr="00EB4D74">
        <w:rPr>
          <w:rFonts w:cs="Tahoma"/>
          <w:lang w:val="pt-BR"/>
        </w:rPr>
        <w:t xml:space="preserve">Todos os Produtos qualificados no momento para “Mobilidade de Licenças nos Farms de Servidores”, conforme definidos nos Direitos de Uso do Produto (PUR) e cobertos por Software Assurance, estão qualificados para a Mobilidade de Licença por meio do Software Assurance. </w:t>
      </w:r>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r w:rsidRPr="00EB4D74">
        <w:rPr>
          <w:rFonts w:cs="Tahoma"/>
          <w:lang w:val="pt-BR"/>
        </w:rPr>
        <w:t>Além disso, os seguintes Produtos também estão qualificados para Mobilidade de Licenças por meio de Software Assurance:</w:t>
      </w:r>
    </w:p>
    <w:p w:rsidR="008B1196" w:rsidRPr="00EB4D74" w:rsidRDefault="008B1196" w:rsidP="008B1196">
      <w:pPr>
        <w:rPr>
          <w:rFonts w:cs="Tahoma"/>
          <w:sz w:val="16"/>
          <w:szCs w:val="20"/>
          <w:lang w:val="it-IT"/>
        </w:rPr>
      </w:pPr>
    </w:p>
    <w:p w:rsidR="008B1196" w:rsidRPr="00EB4D74" w:rsidRDefault="008B1196" w:rsidP="008B1196">
      <w:pPr>
        <w:numPr>
          <w:ilvl w:val="0"/>
          <w:numId w:val="46"/>
        </w:numPr>
        <w:spacing w:after="60"/>
        <w:ind w:left="1440"/>
        <w:rPr>
          <w:rFonts w:cs="Tahoma"/>
        </w:rPr>
      </w:pPr>
      <w:bookmarkStart w:id="906" w:name="_Toc294048014"/>
      <w:bookmarkStart w:id="907" w:name="_Toc294048571"/>
      <w:bookmarkStart w:id="908" w:name="_Toc294092642"/>
      <w:bookmarkStart w:id="909" w:name="_Toc295819322"/>
      <w:bookmarkStart w:id="910" w:name="_Toc298795973"/>
      <w:bookmarkStart w:id="911" w:name="_Toc299369849"/>
      <w:bookmarkStart w:id="912" w:name="_Toc300391560"/>
      <w:bookmarkStart w:id="913" w:name="_Toc301939837"/>
      <w:bookmarkStart w:id="914" w:name="_Toc304801234"/>
      <w:bookmarkStart w:id="915" w:name="_Toc307350403"/>
      <w:bookmarkStart w:id="916" w:name="_Toc308429814"/>
      <w:bookmarkStart w:id="917" w:name="_Toc312399282"/>
      <w:bookmarkStart w:id="918" w:name="_Toc315289089"/>
      <w:bookmarkStart w:id="919" w:name="_Toc317591245"/>
      <w:bookmarkStart w:id="920" w:name="_Toc323034198"/>
      <w:bookmarkStart w:id="921" w:name="_Toc325313198"/>
      <w:bookmarkStart w:id="922" w:name="_Toc325609221"/>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r w:rsidRPr="00EB4D74">
        <w:rPr>
          <w:rFonts w:cs="Tahoma"/>
          <w:lang w:val="pt-BR"/>
        </w:rPr>
        <w:t>SQL Server Standard – Por Processador e Servidor/CAL (licenças do servidor e processador somente) com Software Assurance</w:t>
      </w:r>
    </w:p>
    <w:p w:rsidR="008B1196" w:rsidRPr="00EB4D74" w:rsidRDefault="008B1196" w:rsidP="008B1196">
      <w:pPr>
        <w:numPr>
          <w:ilvl w:val="0"/>
          <w:numId w:val="46"/>
        </w:numPr>
        <w:spacing w:after="60"/>
        <w:ind w:left="1440"/>
        <w:rPr>
          <w:rFonts w:cs="Tahoma"/>
        </w:rPr>
      </w:pPr>
      <w:bookmarkStart w:id="923" w:name="_Toc294048015"/>
      <w:bookmarkStart w:id="924" w:name="_Toc294048572"/>
      <w:bookmarkStart w:id="925" w:name="_Toc294092643"/>
      <w:bookmarkStart w:id="926" w:name="_Toc295819323"/>
      <w:bookmarkStart w:id="927" w:name="_Toc298795974"/>
      <w:bookmarkStart w:id="928" w:name="_Toc299369850"/>
      <w:bookmarkStart w:id="929" w:name="_Toc300391561"/>
      <w:bookmarkStart w:id="930" w:name="_Toc301939838"/>
      <w:bookmarkStart w:id="931" w:name="_Toc304801235"/>
      <w:bookmarkStart w:id="932" w:name="_Toc307350404"/>
      <w:bookmarkStart w:id="933" w:name="_Toc308429815"/>
      <w:bookmarkStart w:id="934" w:name="_Toc312399283"/>
      <w:bookmarkStart w:id="935" w:name="_Toc315289090"/>
      <w:bookmarkStart w:id="936" w:name="_Toc317591246"/>
      <w:bookmarkStart w:id="937" w:name="_Toc323034199"/>
      <w:bookmarkStart w:id="938" w:name="_Toc325313199"/>
      <w:bookmarkStart w:id="939" w:name="_Toc3256092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r w:rsidRPr="00EB4D74">
        <w:rPr>
          <w:rFonts w:cs="Tahoma"/>
          <w:lang w:val="pt-BR"/>
        </w:rPr>
        <w:t>System Center – todas as Licenças de Gerenciamento do Servidor (MLs), inclusive SMSE e SMSD com Software Assurance, e System Center 2012 Standard e Datacenter com Software Assurance</w:t>
      </w:r>
    </w:p>
    <w:p w:rsidR="008B1196" w:rsidRPr="00EB4D74" w:rsidRDefault="008B1196" w:rsidP="008B1196">
      <w:pPr>
        <w:rPr>
          <w:rFonts w:cs="Tahoma"/>
        </w:rPr>
      </w:pPr>
    </w:p>
    <w:p w:rsidR="008B1196" w:rsidRPr="00EB4D74" w:rsidRDefault="008B1196" w:rsidP="008B1196">
      <w:pPr>
        <w:rPr>
          <w:rFonts w:cs="Tahoma"/>
        </w:rPr>
      </w:pPr>
      <w:r w:rsidRPr="00EB4D74">
        <w:rPr>
          <w:rFonts w:cs="Tahoma"/>
          <w:lang w:val="pt-BR"/>
        </w:rPr>
        <w:t>Para usar a Mobilidade de Licenças por meio do Software Assurance, os clientes devem:</w:t>
      </w:r>
    </w:p>
    <w:p w:rsidR="008B1196" w:rsidRPr="00EB4D74" w:rsidRDefault="008B1196" w:rsidP="008B1196">
      <w:pPr>
        <w:rPr>
          <w:rFonts w:cs="Tahoma"/>
        </w:rPr>
      </w:pPr>
    </w:p>
    <w:p w:rsidR="008B1196" w:rsidRPr="00EB4D74" w:rsidRDefault="008B1196" w:rsidP="008B1196">
      <w:pPr>
        <w:numPr>
          <w:ilvl w:val="0"/>
          <w:numId w:val="36"/>
        </w:numPr>
        <w:spacing w:after="60"/>
        <w:ind w:left="1440"/>
        <w:rPr>
          <w:rFonts w:cs="Tahoma"/>
          <w:spacing w:val="-2"/>
        </w:rPr>
      </w:pPr>
      <w:bookmarkStart w:id="940" w:name="_Toc294048017"/>
      <w:bookmarkStart w:id="941" w:name="_Toc294048574"/>
      <w:bookmarkStart w:id="942" w:name="_Toc294092645"/>
      <w:bookmarkStart w:id="943" w:name="_Toc295819325"/>
      <w:bookmarkStart w:id="944" w:name="_Toc298795976"/>
      <w:bookmarkStart w:id="945" w:name="_Toc299369852"/>
      <w:bookmarkStart w:id="946" w:name="_Toc300391563"/>
      <w:bookmarkStart w:id="947" w:name="_Toc301939840"/>
      <w:bookmarkStart w:id="948" w:name="_Toc304801237"/>
      <w:bookmarkStart w:id="949" w:name="_Toc307350406"/>
      <w:bookmarkStart w:id="950" w:name="_Toc308429817"/>
      <w:bookmarkStart w:id="951" w:name="_Toc312399285"/>
      <w:bookmarkStart w:id="952" w:name="_Toc315289092"/>
      <w:bookmarkStart w:id="953" w:name="_Toc317591248"/>
      <w:bookmarkStart w:id="954" w:name="_Toc323034201"/>
      <w:bookmarkStart w:id="955" w:name="_Toc325313201"/>
      <w:bookmarkStart w:id="956" w:name="_Toc325609224"/>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r w:rsidRPr="00EB4D74">
        <w:rPr>
          <w:rFonts w:cs="Tahoma"/>
          <w:spacing w:val="-2"/>
          <w:lang w:val="pt-BR"/>
        </w:rPr>
        <w:t>Manter a cobertura de Software Assurance para as licenças sob as quais eles executam o software ou gerenciam os ambientes do sistema operacional em servidores compartilhados por terceiros, bem como todas as CALs correspondentes, as licenças de External Connector e licenças de gerenciamento;</w:t>
      </w:r>
    </w:p>
    <w:p w:rsidR="008B1196" w:rsidRPr="00EB4D74" w:rsidRDefault="008B1196" w:rsidP="008B1196">
      <w:pPr>
        <w:numPr>
          <w:ilvl w:val="0"/>
          <w:numId w:val="36"/>
        </w:numPr>
        <w:spacing w:after="60"/>
        <w:ind w:left="1440"/>
        <w:rPr>
          <w:rFonts w:cs="Tahoma"/>
          <w:spacing w:val="-6"/>
          <w:lang w:val="it-IT"/>
        </w:rPr>
      </w:pPr>
      <w:bookmarkStart w:id="957" w:name="_Toc294048018"/>
      <w:bookmarkStart w:id="958" w:name="_Toc294048575"/>
      <w:bookmarkStart w:id="959" w:name="_Toc294092646"/>
      <w:bookmarkStart w:id="960" w:name="_Toc295819326"/>
      <w:bookmarkStart w:id="961" w:name="_Toc298795977"/>
      <w:bookmarkStart w:id="962" w:name="_Toc299369853"/>
      <w:bookmarkStart w:id="963" w:name="_Toc300391564"/>
      <w:bookmarkStart w:id="964" w:name="_Toc301939841"/>
      <w:bookmarkStart w:id="965" w:name="_Toc304801238"/>
      <w:bookmarkStart w:id="966" w:name="_Toc307350407"/>
      <w:bookmarkStart w:id="967" w:name="_Toc308429818"/>
      <w:bookmarkStart w:id="968" w:name="_Toc312399286"/>
      <w:bookmarkStart w:id="969" w:name="_Toc315289093"/>
      <w:bookmarkStart w:id="970" w:name="_Toc317591249"/>
      <w:bookmarkStart w:id="971" w:name="_Toc323034202"/>
      <w:bookmarkStart w:id="972" w:name="_Toc325313202"/>
      <w:bookmarkStart w:id="973" w:name="_Toc325609225"/>
      <w:r w:rsidRPr="00EB4D74">
        <w:rPr>
          <w:rFonts w:cs="Tahoma"/>
          <w:spacing w:val="-6"/>
          <w:lang w:val="pt-BR"/>
        </w:rPr>
        <w:t xml:space="preserve">Qualquer atualização de Licença adquirida por meio do Software Assurance substitui a Licença subjacente. </w:t>
      </w:r>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r w:rsidRPr="00EB4D74">
        <w:rPr>
          <w:rFonts w:cs="Tahoma"/>
          <w:spacing w:val="-6"/>
          <w:lang w:val="pt-BR"/>
        </w:rPr>
        <w:t>Uma lista de Mobilidade de Licenças qualificada por meio de Parceiros do Software Assurance está disponível no site http://www.microsoft.com/licensing/software-assurance/license-mobility e</w:t>
      </w:r>
    </w:p>
    <w:p w:rsidR="008B1196" w:rsidRPr="00EB4D74" w:rsidRDefault="008B1196" w:rsidP="008B1196">
      <w:pPr>
        <w:numPr>
          <w:ilvl w:val="0"/>
          <w:numId w:val="36"/>
        </w:numPr>
        <w:spacing w:after="60"/>
        <w:ind w:left="1440"/>
        <w:rPr>
          <w:rFonts w:cs="Tahoma"/>
          <w:lang w:val="it-IT"/>
        </w:rPr>
      </w:pPr>
      <w:bookmarkStart w:id="974" w:name="_Toc294048019"/>
      <w:bookmarkStart w:id="975" w:name="_Toc294048576"/>
      <w:bookmarkStart w:id="976" w:name="_Toc294092647"/>
      <w:bookmarkStart w:id="977" w:name="_Toc295819327"/>
      <w:bookmarkStart w:id="978" w:name="_Toc298795978"/>
      <w:bookmarkStart w:id="979" w:name="_Toc299369854"/>
      <w:bookmarkStart w:id="980" w:name="_Toc300391565"/>
      <w:bookmarkStart w:id="981" w:name="_Toc301939842"/>
      <w:bookmarkStart w:id="982" w:name="_Toc304801239"/>
      <w:bookmarkStart w:id="983" w:name="_Toc307350408"/>
      <w:bookmarkStart w:id="984" w:name="_Toc308429819"/>
      <w:bookmarkStart w:id="985" w:name="_Toc312399287"/>
      <w:bookmarkStart w:id="986" w:name="_Toc315289094"/>
      <w:bookmarkStart w:id="987" w:name="_Toc317591250"/>
      <w:bookmarkStart w:id="988" w:name="_Toc323034203"/>
      <w:bookmarkStart w:id="989" w:name="_Toc325313203"/>
      <w:bookmarkStart w:id="990" w:name="_Toc325609226"/>
      <w:r w:rsidRPr="00EB4D74">
        <w:rPr>
          <w:rFonts w:cs="Tahoma"/>
          <w:lang w:val="pt-BR"/>
        </w:rPr>
        <w:t xml:space="preserve">Completar e enviar o formulário de Validação de Mobilidade de Licenças com cada Parceiro de Mobilidade de Licenças por meio do Software Assurance que executará o software licenciado dos clientes nos servidores compartilhados dos parceiros. </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r w:rsidRPr="00EB4D74">
        <w:rPr>
          <w:rFonts w:cs="Tahoma"/>
          <w:lang w:val="pt-BR"/>
        </w:rPr>
        <w:t>O formulário de Validação de Mobilidade de Licenças estará disponível para os clientes pelo Parceiro Qualificado da Mobilidade de Licenças por meio de Software Assurance.</w:t>
      </w:r>
    </w:p>
    <w:p w:rsidR="008B1196" w:rsidRPr="00EB4D74" w:rsidRDefault="008B1196" w:rsidP="008B1196">
      <w:pPr>
        <w:rPr>
          <w:rFonts w:cs="Tahoma"/>
        </w:rPr>
      </w:pPr>
      <w:bookmarkStart w:id="991" w:name="_Toc294048020"/>
      <w:bookmarkStart w:id="992" w:name="_Toc294048577"/>
      <w:bookmarkStart w:id="993" w:name="_Toc294092648"/>
      <w:bookmarkStart w:id="994" w:name="_Toc295819328"/>
      <w:bookmarkStart w:id="995" w:name="_Toc298795979"/>
      <w:bookmarkStart w:id="996" w:name="_Toc299369855"/>
      <w:bookmarkStart w:id="997" w:name="_Toc300391566"/>
      <w:bookmarkStart w:id="998" w:name="_Toc301939843"/>
      <w:bookmarkStart w:id="999" w:name="_Toc304801240"/>
      <w:bookmarkStart w:id="1000" w:name="_Toc307350409"/>
      <w:bookmarkStart w:id="1001" w:name="_Toc308429820"/>
      <w:bookmarkStart w:id="1002" w:name="_Toc312399288"/>
      <w:bookmarkStart w:id="1003" w:name="_Toc317591251"/>
      <w:bookmarkStart w:id="1004" w:name="_Toc323034204"/>
      <w:bookmarkStart w:id="1005" w:name="_Toc325313204"/>
      <w:bookmarkStart w:id="1006" w:name="_Toc325609227"/>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r w:rsidRPr="00EB4D74">
        <w:rPr>
          <w:rFonts w:cs="Tahoma"/>
          <w:lang w:val="pt-BR"/>
        </w:rPr>
        <w:lastRenderedPageBreak/>
        <w:t>Os direitos dos clientes de executar o software licenciado e gerenciar OSEs em servidores compartilhados por terceiros expiram com a cobertura do Software Assurance naquelas licenças ou em seu acesso correspondente ou licenças de gerenciamento.</w:t>
      </w:r>
    </w:p>
    <w:p w:rsidR="008B1196" w:rsidRPr="00EB4D74" w:rsidRDefault="008B1196" w:rsidP="008B1196">
      <w:pPr>
        <w:rPr>
          <w:rFonts w:cs="Tahoma"/>
        </w:rPr>
      </w:pPr>
    </w:p>
    <w:p w:rsidR="008B1196" w:rsidRPr="00EB4D74" w:rsidRDefault="008B1196" w:rsidP="008B1196">
      <w:pPr>
        <w:pStyle w:val="Heading3"/>
        <w:tabs>
          <w:tab w:val="num" w:pos="0"/>
        </w:tabs>
        <w:rPr>
          <w:rFonts w:ascii="Tahoma" w:hAnsi="Tahoma" w:cs="Tahoma"/>
        </w:rPr>
      </w:pPr>
      <w:bookmarkStart w:id="1007" w:name="_Toc336338243"/>
      <w:bookmarkStart w:id="1008" w:name="_Toc342914880"/>
      <w:bookmarkEnd w:id="1007"/>
      <w:r w:rsidRPr="00EB4D74">
        <w:rPr>
          <w:rFonts w:ascii="Tahoma" w:hAnsi="Tahoma" w:cs="Tahoma"/>
          <w:lang w:val="pt-BR"/>
        </w:rPr>
        <w:t>Windows Thin PC</w:t>
      </w:r>
      <w:bookmarkEnd w:id="1008"/>
    </w:p>
    <w:p w:rsidR="008B1196" w:rsidRPr="00EB4D74" w:rsidRDefault="008B1196" w:rsidP="008B1196">
      <w:pPr>
        <w:pStyle w:val="Heading3"/>
        <w:rPr>
          <w:rFonts w:ascii="Tahoma" w:hAnsi="Tahoma" w:cs="Tahoma"/>
          <w:sz w:val="18"/>
          <w:szCs w:val="18"/>
        </w:rPr>
      </w:pPr>
    </w:p>
    <w:p w:rsidR="008B1196" w:rsidRPr="00EB4D74" w:rsidRDefault="008B1196" w:rsidP="008B1196">
      <w:pPr>
        <w:rPr>
          <w:rFonts w:cs="Tahoma"/>
          <w:lang w:val="it-IT"/>
        </w:rPr>
      </w:pPr>
      <w:r w:rsidRPr="00EB4D74">
        <w:rPr>
          <w:rFonts w:cs="Tahoma"/>
          <w:lang w:val="pt-BR"/>
        </w:rPr>
        <w:t>Os clientes de Licenciamento por Volume com cobertura do Software Assurance ativa para o sistema operacional Windows Desktop ou licenças ativas para VDA ou Windows Intune (Por Dispositivo) estão qualificados para o benefício. Os clientes que acessam esse benefício de acordo com o VDA devem ter um sistema operacional qualificado instalado em seu dispositivo licenciado de acordo com a tabela de Sistemas Operacionais Qualificados nas Notas do Produto, seção Pool de Sistemas deste documento.</w:t>
      </w:r>
    </w:p>
    <w:p w:rsidR="008B1196" w:rsidRPr="00EB4D74" w:rsidRDefault="008B1196" w:rsidP="008B1196">
      <w:pPr>
        <w:rPr>
          <w:rFonts w:cs="Tahoma"/>
          <w:lang w:val="it-IT"/>
        </w:rPr>
      </w:pPr>
    </w:p>
    <w:p w:rsidR="008B1196" w:rsidRPr="00EB4D74" w:rsidRDefault="008B1196" w:rsidP="008B1196">
      <w:pPr>
        <w:rPr>
          <w:rFonts w:cs="Tahoma"/>
        </w:rPr>
      </w:pPr>
      <w:r w:rsidRPr="00EB4D74">
        <w:rPr>
          <w:rFonts w:cs="Tahoma"/>
          <w:lang w:val="pt-BR"/>
        </w:rPr>
        <w:t>O Windows Thin PC é uma solução de sistema operacional com base no Windows de superfície menor desenvolvido para os clientes que gostariam de adaptar seus PCs com Windows 8 existentes para se conectar a um desktop centralizado sem ter que comprar novo hardware thin client. Os clientes qualificados podem usar o Windows Thin PC no lugar de instâncias do sistema operacional Windows Desktop que têm permissão para serem usados sob a cobertura do Windows Software Assurance, Windows Intune (Por Dispositivo) ou licenças do Windows VDA. O uso do Windows Thin PC pelos clientes está sujeito aos termos e condições de seus contratos de licença.</w:t>
      </w:r>
    </w:p>
    <w:p w:rsidR="008B1196" w:rsidRPr="00EB4D74" w:rsidRDefault="008B1196" w:rsidP="008B1196">
      <w:pPr>
        <w:rPr>
          <w:rFonts w:cs="Tahoma"/>
        </w:rPr>
      </w:pPr>
    </w:p>
    <w:p w:rsidR="008B1196" w:rsidRPr="00EB4D74" w:rsidRDefault="008B1196" w:rsidP="008B1196">
      <w:pPr>
        <w:outlineLvl w:val="2"/>
        <w:rPr>
          <w:rFonts w:cs="Tahoma"/>
          <w:lang w:val="it-IT"/>
        </w:rPr>
      </w:pPr>
      <w:bookmarkStart w:id="1009" w:name="_Toc291204568"/>
      <w:bookmarkEnd w:id="1009"/>
      <w:r w:rsidRPr="00EB4D74">
        <w:rPr>
          <w:rFonts w:cs="Tahoma"/>
          <w:b/>
          <w:sz w:val="20"/>
          <w:lang w:val="pt-BR"/>
        </w:rPr>
        <w:t>Suporte Estendido a Hotfix</w:t>
      </w:r>
    </w:p>
    <w:p w:rsidR="008B1196" w:rsidRPr="00EB4D74" w:rsidRDefault="008B1196" w:rsidP="008B1196">
      <w:pPr>
        <w:outlineLvl w:val="2"/>
        <w:rPr>
          <w:rFonts w:cs="Tahoma"/>
          <w:lang w:val="it-IT"/>
        </w:rPr>
      </w:pPr>
    </w:p>
    <w:p w:rsidR="008B1196" w:rsidRPr="00EB4D74" w:rsidRDefault="008B1196" w:rsidP="008B1196">
      <w:pPr>
        <w:rPr>
          <w:rFonts w:cs="Tahoma"/>
          <w:lang w:val="it-IT"/>
        </w:rPr>
      </w:pPr>
      <w:r w:rsidRPr="00EB4D74">
        <w:rPr>
          <w:rFonts w:cs="Tahoma"/>
          <w:lang w:val="pt-BR"/>
        </w:rPr>
        <w:t>O Suporte Estendido a Hotfix está disponível para os clientes a seguir:</w:t>
      </w:r>
    </w:p>
    <w:p w:rsidR="008B1196" w:rsidRPr="00EB4D74" w:rsidRDefault="008B1196" w:rsidP="008B1196">
      <w:pPr>
        <w:rPr>
          <w:rFonts w:cs="Tahoma"/>
          <w:lang w:val="it-IT"/>
        </w:rPr>
      </w:pPr>
    </w:p>
    <w:p w:rsidR="008B1196" w:rsidRPr="00EB4D74" w:rsidRDefault="008B1196" w:rsidP="008B1196">
      <w:pPr>
        <w:numPr>
          <w:ilvl w:val="0"/>
          <w:numId w:val="31"/>
        </w:numPr>
        <w:spacing w:after="60"/>
        <w:ind w:left="1440"/>
        <w:contextualSpacing/>
        <w:jc w:val="both"/>
        <w:rPr>
          <w:rFonts w:cs="Tahoma"/>
          <w:lang w:val="it-IT"/>
        </w:rPr>
      </w:pPr>
      <w:r w:rsidRPr="00EB4D74">
        <w:rPr>
          <w:rFonts w:eastAsia="Times New Roman" w:cs="Tahoma"/>
          <w:szCs w:val="18"/>
          <w:lang w:val="pt-BR"/>
        </w:rPr>
        <w:t>Os clientes (que não forem de Academic Select, Select Plus para Academic, Contrato para Campus e Contrato School e Open Value Subscription - Soluções Educacionais) com cobertura do Membro do Software Assurance para Pool de Aplicativos estão qualificados para Suporte Estendido a Hotfix dos produtos do pool de Aplicativos.</w:t>
      </w:r>
    </w:p>
    <w:p w:rsidR="008B1196" w:rsidRPr="00EB4D74" w:rsidRDefault="008B1196" w:rsidP="008B1196">
      <w:pPr>
        <w:numPr>
          <w:ilvl w:val="0"/>
          <w:numId w:val="31"/>
        </w:numPr>
        <w:spacing w:after="60"/>
        <w:ind w:left="1440"/>
        <w:jc w:val="both"/>
        <w:rPr>
          <w:rFonts w:cs="Tahoma"/>
          <w:lang w:val="it-IT"/>
        </w:rPr>
      </w:pPr>
      <w:r w:rsidRPr="00EB4D74">
        <w:rPr>
          <w:rFonts w:cs="Tahoma"/>
          <w:lang w:val="pt-BR"/>
        </w:rPr>
        <w:t>Os clientes (que não forem de Licença Academic Select, Select Plus para Academic, Contrato para Campus e Contrato School e Open Value Subscription - Soluções Educacionais) com cobertura do Membro do Software Assurance para pool de Sistemas estão qualificados para Suporte Estendido a Hotfix para sistema operacional de desktop Windows</w:t>
      </w:r>
    </w:p>
    <w:p w:rsidR="008B1196" w:rsidRPr="00EB4D74" w:rsidRDefault="008B1196" w:rsidP="008B1196">
      <w:pPr>
        <w:numPr>
          <w:ilvl w:val="0"/>
          <w:numId w:val="31"/>
        </w:numPr>
        <w:spacing w:after="60"/>
        <w:ind w:left="1440"/>
        <w:jc w:val="both"/>
        <w:rPr>
          <w:rFonts w:cs="Tahoma"/>
          <w:lang w:val="it-IT"/>
        </w:rPr>
      </w:pPr>
      <w:r w:rsidRPr="00EB4D74">
        <w:rPr>
          <w:rFonts w:cs="Tahoma"/>
          <w:lang w:val="pt-BR"/>
        </w:rPr>
        <w:t>Os clientes com assinaturas ativas do Windows Intune (Por Dispositivo) estão qualificados para o Suporte Estendido a Hotfix do sistema operacional de desktop Windows</w:t>
      </w:r>
    </w:p>
    <w:p w:rsidR="008B1196" w:rsidRPr="00EB4D74" w:rsidRDefault="008B1196" w:rsidP="008B1196">
      <w:pPr>
        <w:numPr>
          <w:ilvl w:val="0"/>
          <w:numId w:val="31"/>
        </w:numPr>
        <w:spacing w:after="60"/>
        <w:ind w:left="1440"/>
        <w:contextualSpacing/>
        <w:rPr>
          <w:rFonts w:cs="Tahoma"/>
          <w:lang w:val="it-IT"/>
        </w:rPr>
      </w:pPr>
      <w:r w:rsidRPr="00EB4D74">
        <w:rPr>
          <w:rFonts w:eastAsia="Times New Roman" w:cs="Tahoma"/>
          <w:szCs w:val="18"/>
          <w:lang w:val="pt-BR"/>
        </w:rPr>
        <w:t xml:space="preserve">Os clientes (que não forem do Academic) com Software Assurance em pelo menos um produto de servidor estão qualificados para o Suporte Estendido a Hotfix para produtos de Servidor. </w:t>
      </w:r>
      <w:r w:rsidRPr="00EB4D74">
        <w:rPr>
          <w:rFonts w:cs="Tahoma"/>
          <w:lang w:val="pt-BR"/>
        </w:rPr>
        <w:t>Os produtos de servidor a seguir têm cobertura:</w:t>
      </w:r>
    </w:p>
    <w:p w:rsidR="008B1196" w:rsidRPr="00EB4D74" w:rsidRDefault="008B1196" w:rsidP="008B1196">
      <w:pPr>
        <w:numPr>
          <w:ilvl w:val="2"/>
          <w:numId w:val="31"/>
        </w:numPr>
        <w:spacing w:after="60"/>
        <w:ind w:left="1980"/>
        <w:contextualSpacing/>
        <w:rPr>
          <w:rFonts w:cs="Tahoma"/>
        </w:rPr>
      </w:pPr>
      <w:r w:rsidRPr="00EB4D74">
        <w:rPr>
          <w:rFonts w:cs="Tahoma"/>
          <w:color w:val="000000"/>
          <w:lang w:val="pt-BR"/>
        </w:rPr>
        <w:t>Microsoft Exchange Server, Microsoft SQL Server, System Center 2012 e Windows Server.</w:t>
      </w:r>
    </w:p>
    <w:p w:rsidR="008B1196" w:rsidRPr="00EB4D74" w:rsidRDefault="008B1196" w:rsidP="008B1196">
      <w:pPr>
        <w:spacing w:after="200" w:line="276" w:lineRule="auto"/>
        <w:contextualSpacing/>
        <w:rPr>
          <w:rFonts w:cs="Tahoma"/>
        </w:rPr>
      </w:pPr>
    </w:p>
    <w:p w:rsidR="008B1196" w:rsidRPr="00EB4D74" w:rsidRDefault="008B1196" w:rsidP="008B1196">
      <w:pPr>
        <w:rPr>
          <w:rFonts w:cs="Tahoma"/>
          <w:lang w:val="it-IT"/>
        </w:rPr>
      </w:pPr>
      <w:r w:rsidRPr="00EB4D74">
        <w:rPr>
          <w:rFonts w:cs="Tahoma"/>
          <w:szCs w:val="18"/>
          <w:lang w:val="pt-BR"/>
        </w:rPr>
        <w:t>O Suporte Estendido a Hotfix é um benefício para versões de software mais antigas que fizeram a transição de Suporte Base para Suporte Estendido. As taxas anuais normalmente cobradas como parte de um contrato de Suporte Estendido agora serão canceladas durante o prazo da cobertura do Software Assurance para os clientes qualificados para esse benefício do Software Assurance. Os clientes qualificados para esse benefício não precisam se inscrever no período de 90 dias da transição de um produto para o Suporte Estendido.</w:t>
      </w:r>
    </w:p>
    <w:p w:rsidR="008B1196" w:rsidRPr="00EB4D74" w:rsidRDefault="008B1196" w:rsidP="008B1196">
      <w:pPr>
        <w:rPr>
          <w:rFonts w:cs="Tahoma"/>
          <w:sz w:val="16"/>
          <w:szCs w:val="16"/>
          <w:lang w:val="it-IT"/>
        </w:rPr>
      </w:pPr>
    </w:p>
    <w:p w:rsidR="008B1196" w:rsidRPr="00EB4D74" w:rsidRDefault="008B1196" w:rsidP="008B1196">
      <w:pPr>
        <w:rPr>
          <w:rFonts w:cs="Tahoma"/>
          <w:lang w:val="it-IT"/>
        </w:rPr>
      </w:pPr>
      <w:r w:rsidRPr="00EB4D74">
        <w:rPr>
          <w:rFonts w:cs="Tahoma"/>
          <w:lang w:val="pt-BR"/>
        </w:rPr>
        <w:t>Os clientes são responsáveis pelos valores de Hotfixes individuais. Um contrato de Suporte Premier ou Essential é uma pré-requisito para a qualificação.</w:t>
      </w:r>
    </w:p>
    <w:p w:rsidR="008B1196" w:rsidRPr="00EB4D74" w:rsidRDefault="008B1196" w:rsidP="008B1196">
      <w:pPr>
        <w:pStyle w:val="Heading3"/>
        <w:rPr>
          <w:rFonts w:ascii="Tahoma" w:hAnsi="Tahoma" w:cs="Tahoma"/>
          <w:sz w:val="16"/>
          <w:szCs w:val="16"/>
          <w:lang w:val="it-IT"/>
        </w:rPr>
      </w:pPr>
    </w:p>
    <w:p w:rsidR="008B1196" w:rsidRPr="00EB4D74" w:rsidRDefault="008B1196" w:rsidP="008B1196">
      <w:pPr>
        <w:pStyle w:val="Heading3"/>
        <w:rPr>
          <w:rFonts w:ascii="Tahoma" w:hAnsi="Tahoma" w:cs="Tahoma"/>
        </w:rPr>
      </w:pPr>
      <w:bookmarkStart w:id="1010" w:name="_Toc336338244"/>
      <w:bookmarkStart w:id="1011" w:name="_Toc342914881"/>
      <w:bookmarkEnd w:id="1010"/>
      <w:r w:rsidRPr="00EB4D74">
        <w:rPr>
          <w:rFonts w:ascii="Tahoma" w:hAnsi="Tahoma" w:cs="Tahoma"/>
          <w:lang w:val="pt-BR"/>
        </w:rPr>
        <w:t>Microsoft Desktop Optimization Pack para Software Assurance</w:t>
      </w:r>
      <w:bookmarkEnd w:id="1011"/>
    </w:p>
    <w:p w:rsidR="008B1196" w:rsidRPr="00EB4D74" w:rsidRDefault="008B1196" w:rsidP="008B1196">
      <w:pPr>
        <w:rPr>
          <w:rFonts w:cs="Tahoma"/>
          <w:sz w:val="16"/>
          <w:szCs w:val="16"/>
        </w:rPr>
      </w:pPr>
    </w:p>
    <w:p w:rsidR="008B1196" w:rsidRPr="00EB4D74" w:rsidRDefault="008B1196" w:rsidP="008B1196">
      <w:pPr>
        <w:rPr>
          <w:rFonts w:cs="Tahoma"/>
        </w:rPr>
      </w:pPr>
      <w:r w:rsidRPr="00EB4D74">
        <w:rPr>
          <w:rFonts w:cs="Tahoma"/>
          <w:lang w:val="pt-BR"/>
        </w:rPr>
        <w:t>O Microsoft Desktop Optimization Pack for Software Assurance (MDOP) é uma compra opcional disponível apenas para os clientes que possuem o seguinte:</w:t>
      </w:r>
    </w:p>
    <w:p w:rsidR="008B1196" w:rsidRPr="00EB4D74" w:rsidRDefault="008B1196" w:rsidP="008B1196">
      <w:pPr>
        <w:rPr>
          <w:rFonts w:cs="Tahoma"/>
          <w:sz w:val="16"/>
          <w:szCs w:val="16"/>
        </w:rPr>
      </w:pPr>
    </w:p>
    <w:p w:rsidR="008B1196" w:rsidRPr="00EB4D74" w:rsidRDefault="008B1196" w:rsidP="008B1196">
      <w:pPr>
        <w:numPr>
          <w:ilvl w:val="0"/>
          <w:numId w:val="30"/>
        </w:numPr>
        <w:spacing w:after="60" w:line="276" w:lineRule="auto"/>
        <w:ind w:left="1440" w:hanging="274"/>
        <w:rPr>
          <w:rFonts w:eastAsia="MS PGothic" w:cs="Tahoma"/>
          <w:szCs w:val="18"/>
        </w:rPr>
      </w:pPr>
      <w:r w:rsidRPr="00EB4D74">
        <w:rPr>
          <w:rFonts w:eastAsia="MS PGothic" w:cs="Tahoma"/>
          <w:szCs w:val="18"/>
        </w:rPr>
        <w:t>Software Assurance ativo para suas licenças do sistema operacional de desktop Windows</w:t>
      </w:r>
    </w:p>
    <w:p w:rsidR="008B1196" w:rsidRPr="00EB4D74" w:rsidRDefault="008B1196" w:rsidP="008B1196">
      <w:pPr>
        <w:numPr>
          <w:ilvl w:val="0"/>
          <w:numId w:val="30"/>
        </w:numPr>
        <w:spacing w:after="60" w:line="276" w:lineRule="auto"/>
        <w:ind w:left="1440" w:hanging="274"/>
        <w:rPr>
          <w:rFonts w:eastAsia="MS PGothic" w:cs="Tahoma"/>
          <w:szCs w:val="18"/>
        </w:rPr>
      </w:pPr>
      <w:r w:rsidRPr="00EB4D74">
        <w:rPr>
          <w:rFonts w:eastAsia="MS PGothic" w:cs="Tahoma"/>
          <w:szCs w:val="18"/>
        </w:rPr>
        <w:t>Assinaturas ativas do Windows Virtual Desktop Access ou</w:t>
      </w:r>
    </w:p>
    <w:p w:rsidR="008B1196" w:rsidRPr="00EB4D74" w:rsidRDefault="008B1196" w:rsidP="008B1196">
      <w:pPr>
        <w:numPr>
          <w:ilvl w:val="0"/>
          <w:numId w:val="30"/>
        </w:numPr>
        <w:spacing w:after="60" w:line="276" w:lineRule="auto"/>
        <w:ind w:left="1440" w:hanging="274"/>
        <w:rPr>
          <w:rFonts w:eastAsia="MS PGothic" w:cs="Tahoma"/>
          <w:szCs w:val="18"/>
        </w:rPr>
      </w:pPr>
      <w:r w:rsidRPr="00EB4D74">
        <w:rPr>
          <w:rFonts w:eastAsia="MS PGothic" w:cs="Tahoma"/>
          <w:szCs w:val="18"/>
        </w:rPr>
        <w:t>Assinaturas ativas do Windows Intune (Por Dispositivo) ou</w:t>
      </w:r>
    </w:p>
    <w:p w:rsidR="008B1196" w:rsidRPr="00EB4D74" w:rsidRDefault="008B1196" w:rsidP="008B1196">
      <w:pPr>
        <w:numPr>
          <w:ilvl w:val="0"/>
          <w:numId w:val="30"/>
        </w:numPr>
        <w:spacing w:after="60" w:line="276" w:lineRule="auto"/>
        <w:ind w:left="1440" w:hanging="274"/>
        <w:rPr>
          <w:rFonts w:eastAsia="MS PGothic" w:cs="Tahoma"/>
          <w:szCs w:val="18"/>
        </w:rPr>
      </w:pPr>
      <w:r w:rsidRPr="00EB4D74">
        <w:rPr>
          <w:rFonts w:eastAsia="MS PGothic" w:cs="Tahoma"/>
          <w:szCs w:val="18"/>
        </w:rPr>
        <w:t>Assinaturas ativas para Licença de Assinatura do Windows Companion</w:t>
      </w:r>
    </w:p>
    <w:p w:rsidR="008B1196" w:rsidRPr="00EB4D74" w:rsidRDefault="008B1196" w:rsidP="008B1196">
      <w:pPr>
        <w:rPr>
          <w:rFonts w:cs="Tahoma"/>
          <w:sz w:val="16"/>
          <w:szCs w:val="16"/>
        </w:rPr>
      </w:pPr>
    </w:p>
    <w:p w:rsidR="008B1196" w:rsidRPr="00EB4D74" w:rsidRDefault="008B1196" w:rsidP="008B1196">
      <w:pPr>
        <w:rPr>
          <w:rFonts w:cs="Tahoma"/>
          <w:lang w:val="it-IT"/>
        </w:rPr>
      </w:pPr>
      <w:r w:rsidRPr="00EB4D74">
        <w:rPr>
          <w:rFonts w:eastAsia="MS PGothic" w:cs="Tahoma"/>
          <w:color w:val="000000"/>
          <w:szCs w:val="18"/>
          <w:lang w:val="pt-BR"/>
        </w:rPr>
        <w:lastRenderedPageBreak/>
        <w:t>Para obter mais informações sobre esse produto, consulte as Notas do Produto na seção de pool de sistemas deste documento.</w:t>
      </w:r>
    </w:p>
    <w:p w:rsidR="008B1196" w:rsidRPr="00EB4D74" w:rsidRDefault="008B1196" w:rsidP="008B1196">
      <w:pPr>
        <w:rPr>
          <w:rFonts w:cs="Tahoma"/>
          <w:sz w:val="16"/>
          <w:szCs w:val="16"/>
          <w:lang w:val="it-IT"/>
        </w:rPr>
      </w:pPr>
    </w:p>
    <w:p w:rsidR="008B1196" w:rsidRPr="00EB4D74" w:rsidRDefault="008B1196" w:rsidP="008B1196">
      <w:pPr>
        <w:rPr>
          <w:rFonts w:cs="Tahoma"/>
        </w:rPr>
      </w:pPr>
      <w:r w:rsidRPr="00EB4D74">
        <w:rPr>
          <w:rFonts w:cs="Tahoma"/>
          <w:b/>
          <w:color w:val="000000"/>
          <w:sz w:val="20"/>
          <w:lang w:val="pt-BR"/>
        </w:rPr>
        <w:t>Direitos de Virtualização para Desktops Windows Licenciados</w:t>
      </w:r>
    </w:p>
    <w:p w:rsidR="008B1196" w:rsidRPr="00EB4D74" w:rsidRDefault="008B1196" w:rsidP="008B1196">
      <w:pPr>
        <w:rPr>
          <w:rFonts w:cs="Tahoma"/>
          <w:sz w:val="16"/>
          <w:szCs w:val="16"/>
        </w:rPr>
      </w:pPr>
    </w:p>
    <w:p w:rsidR="008B1196" w:rsidRPr="00EB4D74" w:rsidRDefault="008B1196" w:rsidP="008B1196">
      <w:pPr>
        <w:rPr>
          <w:rFonts w:cs="Tahoma"/>
        </w:rPr>
      </w:pPr>
      <w:r w:rsidRPr="00EB4D74">
        <w:rPr>
          <w:rFonts w:cs="Tahoma"/>
          <w:color w:val="000000"/>
          <w:lang w:val="pt-BR"/>
        </w:rPr>
        <w:t>Os clientes de Licenciamento por Volume possuem um pouco de flexibilidade na maneira como podem implantar o Windows 8 em suas organizações.</w:t>
      </w:r>
    </w:p>
    <w:p w:rsidR="008B1196" w:rsidRPr="00EB4D74" w:rsidRDefault="008B1196" w:rsidP="008B1196">
      <w:pPr>
        <w:jc w:val="both"/>
        <w:rPr>
          <w:rFonts w:cs="Tahoma"/>
        </w:rPr>
      </w:pPr>
      <w:r w:rsidRPr="00EB4D74">
        <w:rPr>
          <w:rFonts w:cs="Tahoma"/>
          <w:lang w:val="pt-BR"/>
        </w:rPr>
        <w:t>Os clientes que tiverem um ou ambos dos seguintes produtos podem aproveitar os direitos de uso da virtualização:</w:t>
      </w:r>
    </w:p>
    <w:p w:rsidR="008B1196" w:rsidRPr="00EB4D74" w:rsidRDefault="008B1196" w:rsidP="008B1196">
      <w:pPr>
        <w:jc w:val="both"/>
        <w:rPr>
          <w:rFonts w:cs="Tahoma"/>
          <w:sz w:val="16"/>
          <w:szCs w:val="16"/>
        </w:rPr>
      </w:pPr>
    </w:p>
    <w:p w:rsidR="008B1196" w:rsidRPr="00EB4D74" w:rsidRDefault="008B1196" w:rsidP="008B1196">
      <w:pPr>
        <w:numPr>
          <w:ilvl w:val="0"/>
          <w:numId w:val="27"/>
        </w:numPr>
        <w:spacing w:after="60" w:line="276" w:lineRule="auto"/>
        <w:ind w:left="1440"/>
        <w:rPr>
          <w:rFonts w:eastAsia="MS PGothic" w:cs="Tahoma"/>
          <w:szCs w:val="18"/>
        </w:rPr>
      </w:pPr>
      <w:r w:rsidRPr="00EB4D74">
        <w:rPr>
          <w:rFonts w:eastAsia="MS PGothic" w:cs="Tahoma"/>
          <w:szCs w:val="18"/>
        </w:rPr>
        <w:t>Software Assurance ativo para suas licenças do sistema operacional de desktop Windows</w:t>
      </w:r>
    </w:p>
    <w:p w:rsidR="008B1196" w:rsidRPr="00EB4D74" w:rsidRDefault="008B1196" w:rsidP="008B1196">
      <w:pPr>
        <w:numPr>
          <w:ilvl w:val="0"/>
          <w:numId w:val="27"/>
        </w:numPr>
        <w:spacing w:after="60" w:line="276" w:lineRule="auto"/>
        <w:ind w:left="1440"/>
        <w:rPr>
          <w:rFonts w:eastAsia="MS PGothic" w:cs="Tahoma"/>
          <w:szCs w:val="18"/>
        </w:rPr>
      </w:pPr>
      <w:r w:rsidRPr="00EB4D74">
        <w:rPr>
          <w:rFonts w:eastAsia="MS PGothic" w:cs="Tahoma"/>
          <w:szCs w:val="18"/>
        </w:rPr>
        <w:t>Benefício de Serviços Online fornecidos com compras do Windows Intune (Por Dispositivo)</w:t>
      </w:r>
    </w:p>
    <w:p w:rsidR="008B1196" w:rsidRPr="00EB4D74" w:rsidRDefault="008B1196" w:rsidP="008B1196">
      <w:pPr>
        <w:numPr>
          <w:ilvl w:val="0"/>
          <w:numId w:val="27"/>
        </w:numPr>
        <w:spacing w:after="60" w:line="276" w:lineRule="auto"/>
        <w:ind w:left="1440"/>
        <w:rPr>
          <w:rFonts w:eastAsia="MS PGothic" w:cs="Tahoma"/>
          <w:szCs w:val="18"/>
        </w:rPr>
      </w:pPr>
      <w:r w:rsidRPr="00EB4D74">
        <w:rPr>
          <w:rFonts w:eastAsia="MS PGothic" w:cs="Tahoma"/>
          <w:szCs w:val="18"/>
        </w:rPr>
        <w:t>Assinaturas ativas do Windows Intune (Por Dispositivo)</w:t>
      </w:r>
    </w:p>
    <w:p w:rsidR="008B1196" w:rsidRPr="00EB4D74" w:rsidRDefault="008B1196" w:rsidP="008B1196">
      <w:pPr>
        <w:rPr>
          <w:rFonts w:cs="Tahoma"/>
          <w:sz w:val="16"/>
          <w:szCs w:val="16"/>
        </w:rPr>
      </w:pPr>
    </w:p>
    <w:p w:rsidR="008B1196" w:rsidRPr="00EB4D74" w:rsidRDefault="008B1196" w:rsidP="008B1196">
      <w:pPr>
        <w:rPr>
          <w:rFonts w:cs="Tahoma"/>
          <w:lang w:val="it-IT"/>
        </w:rPr>
      </w:pPr>
      <w:r w:rsidRPr="00EB4D74">
        <w:rPr>
          <w:rFonts w:cs="Tahoma"/>
          <w:color w:val="000000"/>
          <w:lang w:val="pt-BR"/>
        </w:rPr>
        <w:t>Esse direito de uso permite a execução do software em até quatro máquinas virtuais locais. Ao passo que o direito do cliente de usar o Windows 8 Enterprise pode ser mantido após o término de sua cobertura do Software Assurance, o Direito de Uso da Virtualização não pode. Para obter mais detalhes sobre direitos de uso, consulte o documento de Direitos de Uso do Produto.</w:t>
      </w:r>
    </w:p>
    <w:p w:rsidR="008B1196" w:rsidRPr="00EB4D74" w:rsidRDefault="008B1196" w:rsidP="008B1196">
      <w:pPr>
        <w:pStyle w:val="Heading3"/>
        <w:rPr>
          <w:rFonts w:ascii="Tahoma" w:hAnsi="Tahoma" w:cs="Tahoma"/>
          <w:sz w:val="16"/>
          <w:szCs w:val="16"/>
          <w:lang w:val="it-IT"/>
        </w:rPr>
      </w:pPr>
      <w:bookmarkStart w:id="1012" w:name="_Toc257907651"/>
      <w:bookmarkStart w:id="1013" w:name="_Toc233026785"/>
    </w:p>
    <w:p w:rsidR="008B1196" w:rsidRPr="00EB4D74" w:rsidRDefault="008B1196" w:rsidP="008B1196">
      <w:pPr>
        <w:pStyle w:val="Heading3"/>
        <w:rPr>
          <w:rFonts w:ascii="Tahoma" w:hAnsi="Tahoma" w:cs="Tahoma"/>
        </w:rPr>
      </w:pPr>
      <w:bookmarkStart w:id="1014" w:name="_Toc336338245"/>
      <w:bookmarkStart w:id="1015" w:name="_Toc342914882"/>
      <w:bookmarkEnd w:id="1012"/>
      <w:bookmarkEnd w:id="1014"/>
      <w:r w:rsidRPr="00EB4D74">
        <w:rPr>
          <w:rFonts w:ascii="Tahoma" w:hAnsi="Tahoma" w:cs="Tahoma"/>
          <w:color w:val="000000"/>
          <w:lang w:val="pt-BR"/>
        </w:rPr>
        <w:t>Direitos do Windows Virtual Desktop Access (VDA)</w:t>
      </w:r>
      <w:bookmarkEnd w:id="1015"/>
    </w:p>
    <w:p w:rsidR="008B1196" w:rsidRPr="00EB4D74" w:rsidRDefault="008B1196" w:rsidP="008B1196">
      <w:pPr>
        <w:rPr>
          <w:rFonts w:cs="Tahoma"/>
          <w:sz w:val="16"/>
          <w:szCs w:val="16"/>
        </w:rPr>
      </w:pPr>
    </w:p>
    <w:p w:rsidR="008B1196" w:rsidRPr="00EB4D74" w:rsidRDefault="008B1196" w:rsidP="008B1196">
      <w:pPr>
        <w:rPr>
          <w:rFonts w:cs="Tahoma"/>
          <w:lang w:val="it-IT"/>
        </w:rPr>
      </w:pPr>
      <w:r w:rsidRPr="00EB4D74">
        <w:rPr>
          <w:rFonts w:cs="Tahoma"/>
          <w:lang w:val="pt-BR"/>
        </w:rPr>
        <w:t xml:space="preserve">Os direitos do Windows VDA estão disponíveis para os clientes com Software Assurance para sistema operacional Windows Desktop e clientes licenciados para Windows Intune (Por Dispositivo). </w:t>
      </w:r>
      <w:r w:rsidRPr="00EB4D74">
        <w:rPr>
          <w:rFonts w:cs="Tahoma"/>
          <w:color w:val="000000"/>
          <w:lang w:val="pt-BR"/>
        </w:rPr>
        <w:t>Eles também estão disponíveis como uma licença de assinatura separada. O Windows VDA beneficia clientes que desejam implantar o Windows usando dispositivos thin client (geralmente pré-instalados com um sistema operacional embutido). A licença de assinatura do VDA fornece aos clientes o direito de executar a versão mais recente do sistema operacional Windows Desktop disponibilizada durante o prazo de suas assinaturas.</w:t>
      </w:r>
    </w:p>
    <w:p w:rsidR="008B1196" w:rsidRPr="00EB4D74" w:rsidRDefault="008B1196" w:rsidP="008B1196">
      <w:pPr>
        <w:rPr>
          <w:rFonts w:cs="Tahoma"/>
          <w:sz w:val="16"/>
          <w:szCs w:val="16"/>
          <w:lang w:val="it-IT"/>
        </w:rPr>
      </w:pPr>
    </w:p>
    <w:p w:rsidR="008B1196" w:rsidRPr="00EB4D74" w:rsidRDefault="008B1196" w:rsidP="008B1196">
      <w:pPr>
        <w:rPr>
          <w:rFonts w:cs="Tahoma"/>
          <w:lang w:val="it-IT"/>
        </w:rPr>
      </w:pPr>
      <w:r w:rsidRPr="00EB4D74">
        <w:rPr>
          <w:rFonts w:cs="Tahoma"/>
          <w:color w:val="000000"/>
          <w:lang w:val="pt-BR"/>
        </w:rPr>
        <w:t>Para obter mais informações sobre VDA, consulte o documento de Direitos de Uso de Produto.</w:t>
      </w:r>
    </w:p>
    <w:bookmarkEnd w:id="1013"/>
    <w:p w:rsidR="008B1196" w:rsidRPr="00EB4D74" w:rsidRDefault="008B1196" w:rsidP="008B1196">
      <w:pPr>
        <w:rPr>
          <w:rFonts w:cs="Tahoma"/>
          <w:sz w:val="16"/>
          <w:szCs w:val="16"/>
          <w:lang w:val="it-IT"/>
        </w:rPr>
      </w:pPr>
    </w:p>
    <w:p w:rsidR="008B1196" w:rsidRPr="00EB4D74" w:rsidRDefault="008B1196" w:rsidP="008B1196">
      <w:pPr>
        <w:pStyle w:val="Heading3"/>
        <w:rPr>
          <w:rFonts w:ascii="Tahoma" w:hAnsi="Tahoma" w:cs="Tahoma"/>
          <w:color w:val="000000"/>
          <w:lang w:val="pt-BR"/>
        </w:rPr>
      </w:pPr>
      <w:bookmarkStart w:id="1016" w:name="_Toc336338246"/>
      <w:bookmarkStart w:id="1017" w:name="_Toc342914883"/>
      <w:bookmarkEnd w:id="1016"/>
      <w:r w:rsidRPr="00EB4D74">
        <w:rPr>
          <w:rFonts w:ascii="Tahoma" w:hAnsi="Tahoma" w:cs="Tahoma"/>
          <w:color w:val="000000"/>
          <w:lang w:val="pt-BR"/>
        </w:rPr>
        <w:t>Disponibilidade de Licenças Step-up*</w:t>
      </w:r>
      <w:bookmarkEnd w:id="1017"/>
    </w:p>
    <w:p w:rsidR="008B1196" w:rsidRPr="00EB4D74" w:rsidRDefault="008B1196" w:rsidP="008B1196">
      <w:pPr>
        <w:rPr>
          <w:rFonts w:cs="Tahoma"/>
          <w:sz w:val="16"/>
          <w:szCs w:val="16"/>
        </w:rPr>
      </w:pPr>
    </w:p>
    <w:p w:rsidR="008B1196" w:rsidRPr="00EB4D74" w:rsidRDefault="008B1196" w:rsidP="008B1196">
      <w:pPr>
        <w:rPr>
          <w:rFonts w:cs="Tahoma"/>
          <w:lang w:val="pt-BR"/>
        </w:rPr>
      </w:pPr>
      <w:r w:rsidRPr="00EB4D74">
        <w:rPr>
          <w:rFonts w:cs="Tahoma"/>
          <w:lang w:val="pt-BR"/>
        </w:rPr>
        <w:t>Os clientes podem migrar de uma edição de nível inferior para uma edição de nível superior de determinados produtos com uma Licença Step-up. Os clientes devem ter uma licença com Software Assurance ativo para o produto qualificado para adquirir essa Licença Step-up. A Licença Step-up deve ser adquirida, e é válida apenas quando adquirida, sob os mesmos contrato e registro do Programa de Licenciamento por Volume (se houver), sob o qual a cobertura de Software Assurance do produto qualificado foi originalmente adquirida. O direito de uso de software do cliente sob uma licença Step-up está condicionado à posse e manutenção de uma Licença do produto qualificado. Os clientes não podem transferir a Licença do produto qualificado separadamente da licença Step-up. Os direitos perpétuos do cliente sob a Licença Step-up substituem a licença básica do produto qualificado. Para obter mais detalhes, consulte o Resumo de Licenciamento por Volume da Licença Step-up para Enterprise Edition no site: http://</w:t>
      </w:r>
      <w:hyperlink r:id="rId21" w:history="1">
        <w:r w:rsidRPr="00EB4D74">
          <w:rPr>
            <w:rFonts w:cs="Tahoma"/>
            <w:color w:val="0000FF"/>
            <w:u w:val="single"/>
            <w:lang w:val="pt-BR"/>
          </w:rPr>
          <w:t>www.microsoft.com/licensing</w:t>
        </w:r>
      </w:hyperlink>
    </w:p>
    <w:p w:rsidR="008B1196" w:rsidRPr="00EB4D74" w:rsidRDefault="008B1196" w:rsidP="008B1196">
      <w:pPr>
        <w:rPr>
          <w:rFonts w:cs="Tahoma"/>
          <w:sz w:val="16"/>
          <w:szCs w:val="16"/>
          <w:lang w:val="pt-BR"/>
        </w:rPr>
      </w:pPr>
    </w:p>
    <w:tbl>
      <w:tblPr>
        <w:tblW w:w="8460" w:type="dxa"/>
        <w:tblInd w:w="558"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8B1196" w:rsidRPr="00EB4D74" w:rsidTr="00EA30FC">
        <w:trPr>
          <w:tblHeader/>
        </w:trPr>
        <w:tc>
          <w:tcPr>
            <w:tcW w:w="4230" w:type="dxa"/>
            <w:tcBorders>
              <w:top w:val="single" w:sz="12" w:space="0" w:color="auto"/>
            </w:tcBorders>
            <w:shd w:val="clear" w:color="auto" w:fill="FABF8F"/>
            <w:tcMar>
              <w:top w:w="0" w:type="dxa"/>
              <w:left w:w="108" w:type="dxa"/>
              <w:bottom w:w="0" w:type="dxa"/>
              <w:right w:w="108" w:type="dxa"/>
            </w:tcMar>
          </w:tcPr>
          <w:p w:rsidR="008B1196" w:rsidRPr="00EB4D74" w:rsidRDefault="008B1196" w:rsidP="00EA30FC">
            <w:pPr>
              <w:jc w:val="center"/>
              <w:rPr>
                <w:rFonts w:eastAsia="Times New Roman" w:cs="Tahoma"/>
                <w:b/>
                <w:sz w:val="20"/>
                <w:szCs w:val="20"/>
              </w:rPr>
            </w:pPr>
            <w:r w:rsidRPr="00EB4D74">
              <w:rPr>
                <w:rFonts w:cs="Tahoma"/>
                <w:b/>
                <w:sz w:val="20"/>
                <w:lang w:val="pt-BR"/>
              </w:rPr>
              <w:t>Step-up de</w:t>
            </w:r>
          </w:p>
        </w:tc>
        <w:tc>
          <w:tcPr>
            <w:tcW w:w="4230" w:type="dxa"/>
            <w:tcBorders>
              <w:top w:val="single" w:sz="12" w:space="0" w:color="auto"/>
            </w:tcBorders>
            <w:shd w:val="clear" w:color="auto" w:fill="FABF8F"/>
            <w:tcMar>
              <w:top w:w="0" w:type="dxa"/>
              <w:left w:w="108" w:type="dxa"/>
              <w:bottom w:w="0" w:type="dxa"/>
              <w:right w:w="108" w:type="dxa"/>
            </w:tcMar>
          </w:tcPr>
          <w:p w:rsidR="008B1196" w:rsidRPr="00EB4D74" w:rsidRDefault="008B1196" w:rsidP="00EA30FC">
            <w:pPr>
              <w:jc w:val="center"/>
              <w:rPr>
                <w:rFonts w:eastAsia="Times New Roman" w:cs="Tahoma"/>
                <w:b/>
                <w:sz w:val="20"/>
                <w:szCs w:val="20"/>
              </w:rPr>
            </w:pPr>
            <w:r w:rsidRPr="00EB4D74">
              <w:rPr>
                <w:rFonts w:cs="Tahoma"/>
                <w:b/>
                <w:sz w:val="20"/>
                <w:lang w:val="pt-BR"/>
              </w:rPr>
              <w:t>Step-up para</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BizTalk</w:t>
            </w:r>
            <w:r w:rsidRPr="00EB4D74">
              <w:rPr>
                <w:rFonts w:cs="Tahoma"/>
                <w:vertAlign w:val="superscript"/>
                <w:lang w:val="pt-BR"/>
              </w:rPr>
              <w:t>®</w:t>
            </w:r>
            <w:r w:rsidRPr="00EB4D74">
              <w:rPr>
                <w:rFonts w:cs="Tahoma"/>
                <w:lang w:val="pt-BR"/>
              </w:rPr>
              <w:t xml:space="preserve"> Server Branch</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BizTalk</w:t>
            </w:r>
            <w:r w:rsidRPr="00EB4D74">
              <w:rPr>
                <w:rFonts w:cs="Tahoma"/>
                <w:vertAlign w:val="superscript"/>
                <w:lang w:val="pt-BR"/>
              </w:rPr>
              <w:t>®</w:t>
            </w:r>
            <w:r w:rsidRPr="00EB4D74">
              <w:rPr>
                <w:rFonts w:cs="Tahoma"/>
                <w:lang w:val="pt-BR"/>
              </w:rPr>
              <w:t xml:space="preserve"> Server Standard</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BizTalk</w:t>
            </w:r>
            <w:r w:rsidRPr="00EB4D74">
              <w:rPr>
                <w:rFonts w:cs="Tahoma"/>
                <w:vertAlign w:val="superscript"/>
                <w:lang w:val="pt-BR"/>
              </w:rPr>
              <w:t>®</w:t>
            </w:r>
            <w:r w:rsidRPr="00EB4D74">
              <w:rPr>
                <w:rFonts w:cs="Tahoma"/>
                <w:lang w:val="pt-BR"/>
              </w:rPr>
              <w:t xml:space="preserve"> Server Branch</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BizTalk</w:t>
            </w:r>
            <w:r w:rsidRPr="00EB4D74">
              <w:rPr>
                <w:rFonts w:cs="Tahoma"/>
                <w:vertAlign w:val="superscript"/>
                <w:lang w:val="pt-BR"/>
              </w:rPr>
              <w:t>®</w:t>
            </w:r>
            <w:r w:rsidRPr="00EB4D74">
              <w:rPr>
                <w:rFonts w:cs="Tahoma"/>
                <w:lang w:val="pt-BR"/>
              </w:rPr>
              <w:t xml:space="preserve"> Server Enterprise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BizTalk</w:t>
            </w:r>
            <w:r w:rsidRPr="00EB4D74">
              <w:rPr>
                <w:rFonts w:cs="Tahoma"/>
                <w:vertAlign w:val="superscript"/>
                <w:lang w:val="pt-BR"/>
              </w:rPr>
              <w:t>®</w:t>
            </w:r>
            <w:r w:rsidRPr="00EB4D74">
              <w:rPr>
                <w:rFonts w:cs="Tahoma"/>
                <w:lang w:val="pt-BR"/>
              </w:rPr>
              <w:t xml:space="preserve"> Server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BizTalk</w:t>
            </w:r>
            <w:r w:rsidRPr="00EB4D74">
              <w:rPr>
                <w:rFonts w:cs="Tahoma"/>
                <w:vertAlign w:val="superscript"/>
                <w:lang w:val="pt-BR"/>
              </w:rPr>
              <w:t>®</w:t>
            </w:r>
            <w:r w:rsidRPr="00EB4D74">
              <w:rPr>
                <w:rFonts w:cs="Tahoma"/>
                <w:lang w:val="pt-BR"/>
              </w:rPr>
              <w:t xml:space="preserve"> Server Enterprise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Commerce Server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Commerce Server Enterprise</w:t>
            </w:r>
          </w:p>
        </w:tc>
      </w:tr>
      <w:tr w:rsidR="008B1196" w:rsidRPr="00EB4D74" w:rsidTr="00EA30FC">
        <w:trPr>
          <w:trHeight w:val="238"/>
        </w:trPr>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Core CAL Suite</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Enterprise CAL Suite</w:t>
            </w:r>
          </w:p>
        </w:tc>
      </w:tr>
      <w:tr w:rsidR="008B1196" w:rsidRPr="00EB4D74" w:rsidTr="00EA30FC">
        <w:trPr>
          <w:trHeight w:val="247"/>
        </w:trPr>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color w:val="000000"/>
                <w:szCs w:val="18"/>
                <w:lang w:val="pt-BR"/>
              </w:rPr>
              <w:t>Bridge do Pacote de CALs Principais para Office 365</w:t>
            </w:r>
          </w:p>
        </w:tc>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color w:val="000000"/>
                <w:lang w:val="pt-BR"/>
              </w:rPr>
              <w:t>Bridge do Pacote de CALs Empresariais para Office 365</w:t>
            </w:r>
          </w:p>
        </w:tc>
      </w:tr>
      <w:tr w:rsidR="008B1196" w:rsidRPr="00EB4D74" w:rsidTr="00EA30FC">
        <w:trPr>
          <w:trHeight w:val="247"/>
        </w:trPr>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color w:val="000000"/>
                <w:lang w:val="pt-BR"/>
              </w:rPr>
              <w:t>Bridge do Pacote de CALs Principais para Windows</w:t>
            </w:r>
            <w:r w:rsidRPr="00EB4D74">
              <w:rPr>
                <w:rFonts w:cs="Tahoma"/>
                <w:color w:val="000000"/>
                <w:vertAlign w:val="superscript"/>
                <w:lang w:val="pt-BR"/>
              </w:rPr>
              <w:t>®</w:t>
            </w:r>
            <w:r w:rsidRPr="00EB4D74">
              <w:rPr>
                <w:rFonts w:cs="Tahoma"/>
                <w:color w:val="000000"/>
                <w:lang w:val="pt-BR"/>
              </w:rPr>
              <w:t xml:space="preserve"> Intune</w:t>
            </w:r>
          </w:p>
        </w:tc>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color w:val="000000"/>
                <w:lang w:val="pt-BR"/>
              </w:rPr>
              <w:t>Bridge do Pacote de CALs Empresariais para Windows</w:t>
            </w:r>
            <w:r w:rsidRPr="00EB4D74">
              <w:rPr>
                <w:rFonts w:cs="Tahoma"/>
                <w:color w:val="000000"/>
                <w:vertAlign w:val="superscript"/>
                <w:lang w:val="pt-BR"/>
              </w:rPr>
              <w:t>®</w:t>
            </w:r>
            <w:r w:rsidRPr="00EB4D74">
              <w:rPr>
                <w:rFonts w:cs="Tahoma"/>
                <w:color w:val="000000"/>
                <w:lang w:val="pt-BR"/>
              </w:rPr>
              <w:t xml:space="preserve"> Intune</w:t>
            </w:r>
          </w:p>
        </w:tc>
      </w:tr>
      <w:tr w:rsidR="008B1196" w:rsidRPr="00EB4D74" w:rsidTr="00EA30FC">
        <w:trPr>
          <w:trHeight w:val="247"/>
        </w:trPr>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color w:val="000000"/>
                <w:lang w:val="pt-BR"/>
              </w:rPr>
              <w:t>Bridge do Pacote de CALs Principais para Office 365 e Windows</w:t>
            </w:r>
            <w:r w:rsidRPr="00EB4D74">
              <w:rPr>
                <w:rFonts w:cs="Tahoma"/>
                <w:color w:val="000000"/>
                <w:vertAlign w:val="superscript"/>
                <w:lang w:val="pt-BR"/>
              </w:rPr>
              <w:t>®</w:t>
            </w:r>
            <w:r w:rsidRPr="00EB4D74">
              <w:rPr>
                <w:rFonts w:cs="Tahoma"/>
                <w:color w:val="000000"/>
                <w:lang w:val="pt-BR"/>
              </w:rPr>
              <w:t xml:space="preserve"> Intune</w:t>
            </w:r>
          </w:p>
        </w:tc>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lang w:val="pt-BR"/>
              </w:rPr>
              <w:t>Bridge do Pacote de CALs Empresariais para Office 365 e Windows</w:t>
            </w:r>
            <w:r w:rsidRPr="00EB4D74">
              <w:rPr>
                <w:rFonts w:cs="Tahoma"/>
                <w:vertAlign w:val="superscript"/>
                <w:lang w:val="pt-BR"/>
              </w:rPr>
              <w:t>®</w:t>
            </w:r>
            <w:r w:rsidRPr="00EB4D74">
              <w:rPr>
                <w:rFonts w:cs="Tahoma"/>
                <w:lang w:val="pt-BR"/>
              </w:rPr>
              <w:t xml:space="preserve"> Intune</w:t>
            </w:r>
          </w:p>
        </w:tc>
      </w:tr>
      <w:tr w:rsidR="008B1196" w:rsidRPr="00EB4D74" w:rsidTr="00EA30FC">
        <w:trPr>
          <w:trHeight w:val="247"/>
        </w:trPr>
        <w:tc>
          <w:tcPr>
            <w:tcW w:w="4230" w:type="dxa"/>
            <w:tcMar>
              <w:top w:w="0" w:type="dxa"/>
              <w:left w:w="108" w:type="dxa"/>
              <w:bottom w:w="0" w:type="dxa"/>
              <w:right w:w="108" w:type="dxa"/>
            </w:tcMar>
          </w:tcPr>
          <w:p w:rsidR="008B1196" w:rsidRPr="00EB4D74" w:rsidRDefault="008B1196" w:rsidP="00EA30FC">
            <w:pPr>
              <w:rPr>
                <w:rFonts w:cs="Tahoma"/>
                <w:szCs w:val="18"/>
              </w:rPr>
            </w:pPr>
            <w:r w:rsidRPr="00EB4D74">
              <w:rPr>
                <w:rFonts w:cs="Tahoma"/>
                <w:color w:val="000000"/>
                <w:lang w:val="pt-BR"/>
              </w:rPr>
              <w:t>Core Infrastructure Server Suite Standard</w:t>
            </w:r>
          </w:p>
        </w:tc>
        <w:tc>
          <w:tcPr>
            <w:tcW w:w="4230" w:type="dxa"/>
            <w:tcMar>
              <w:top w:w="0" w:type="dxa"/>
              <w:left w:w="108" w:type="dxa"/>
              <w:bottom w:w="0" w:type="dxa"/>
              <w:right w:w="108" w:type="dxa"/>
            </w:tcMar>
          </w:tcPr>
          <w:p w:rsidR="008B1196" w:rsidRPr="00EB4D74" w:rsidRDefault="008B1196" w:rsidP="00EA30FC">
            <w:pPr>
              <w:rPr>
                <w:rFonts w:cs="Tahoma"/>
                <w:szCs w:val="18"/>
              </w:rPr>
            </w:pPr>
            <w:r w:rsidRPr="00EB4D74">
              <w:rPr>
                <w:rFonts w:cs="Tahoma"/>
                <w:color w:val="000000"/>
                <w:lang w:val="pt-BR"/>
              </w:rPr>
              <w:t>Core Infrastructure Server Suite Datacenter</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Desktop Educacional com Core CAL</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Pr>
                <w:rFonts w:cs="Tahoma"/>
                <w:lang w:val="pt-BR"/>
              </w:rPr>
              <w:t>Desktop Educacional com Enterprise CAL Suite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Desktop School com Core CAL</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Pr>
                <w:rFonts w:cs="Tahoma"/>
                <w:lang w:val="pt-BR"/>
              </w:rPr>
              <w:t>Desktop School com Core Enterprise CAL Suite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lang w:val="fr-FR"/>
              </w:rPr>
            </w:pPr>
            <w:r w:rsidRPr="00EB4D74">
              <w:rPr>
                <w:rFonts w:cs="Tahoma"/>
                <w:lang w:val="pt-BR"/>
              </w:rPr>
              <w:lastRenderedPageBreak/>
              <w:t>Exchange Server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Exchange Server Enterprise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cs="Tahoma"/>
                <w:szCs w:val="18"/>
              </w:rPr>
            </w:pPr>
            <w:r w:rsidRPr="00EB4D74">
              <w:rPr>
                <w:rFonts w:cs="Tahoma"/>
                <w:lang w:val="pt-BR"/>
              </w:rPr>
              <w:t>Forefront TMG Standard</w:t>
            </w:r>
          </w:p>
        </w:tc>
        <w:tc>
          <w:tcPr>
            <w:tcW w:w="4230" w:type="dxa"/>
            <w:tcMar>
              <w:top w:w="0" w:type="dxa"/>
              <w:left w:w="108" w:type="dxa"/>
              <w:bottom w:w="0" w:type="dxa"/>
              <w:right w:w="108" w:type="dxa"/>
            </w:tcMar>
          </w:tcPr>
          <w:p w:rsidR="008B1196" w:rsidRPr="00EB4D74" w:rsidRDefault="008B1196" w:rsidP="00EA30FC">
            <w:pPr>
              <w:rPr>
                <w:rFonts w:cs="Tahoma"/>
                <w:szCs w:val="18"/>
              </w:rPr>
            </w:pPr>
            <w:r w:rsidRPr="00EB4D74">
              <w:rPr>
                <w:rFonts w:cs="Tahoma"/>
                <w:lang w:val="pt-BR"/>
              </w:rPr>
              <w:t>Forefront TMG Enterprise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Internet Security &amp; Acceleration (ISA) Standard Server</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Internet Security &amp; Acceleration (ISA) Enterprise Server</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cs="Tahoma"/>
                <w:szCs w:val="18"/>
              </w:rPr>
            </w:pPr>
            <w:r w:rsidRPr="00EB4D74">
              <w:rPr>
                <w:rFonts w:cs="Tahoma"/>
                <w:lang w:val="pt-BR"/>
              </w:rPr>
              <w:t>Microsoft Dynamics CRM Workgroup Server 2011</w:t>
            </w:r>
          </w:p>
        </w:tc>
        <w:tc>
          <w:tcPr>
            <w:tcW w:w="4230" w:type="dxa"/>
            <w:tcMar>
              <w:top w:w="0" w:type="dxa"/>
              <w:left w:w="108" w:type="dxa"/>
              <w:bottom w:w="0" w:type="dxa"/>
              <w:right w:w="108" w:type="dxa"/>
            </w:tcMar>
          </w:tcPr>
          <w:p w:rsidR="008B1196" w:rsidRPr="00EB4D74" w:rsidRDefault="008B1196" w:rsidP="00EA30FC">
            <w:pPr>
              <w:rPr>
                <w:rFonts w:cs="Tahoma"/>
                <w:szCs w:val="18"/>
              </w:rPr>
            </w:pPr>
            <w:r w:rsidRPr="00EB4D74">
              <w:rPr>
                <w:rFonts w:cs="Tahoma"/>
                <w:lang w:val="pt-BR"/>
              </w:rPr>
              <w:t>Microsoft Dynamics CRM Server 2011</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Office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lang w:val="fr-FR"/>
              </w:rPr>
            </w:pPr>
            <w:r w:rsidRPr="00EB4D74">
              <w:rPr>
                <w:rFonts w:cs="Tahoma"/>
                <w:lang w:val="pt-BR"/>
              </w:rPr>
              <w:t>Office Professional Plus</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Desktop Profissional</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Desktop Empresarial</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cs="Tahoma"/>
                <w:color w:val="000000"/>
                <w:szCs w:val="18"/>
              </w:rPr>
            </w:pPr>
            <w:bookmarkStart w:id="1018" w:name="_Toc236810936"/>
            <w:bookmarkEnd w:id="1018"/>
            <w:r w:rsidRPr="00EB4D74">
              <w:rPr>
                <w:rFonts w:cs="Tahoma"/>
                <w:color w:val="000000"/>
                <w:szCs w:val="18"/>
                <w:lang w:val="pt-BR"/>
              </w:rPr>
              <w:t>Desktop Profissional com Microsoft Desktop Optimization Pack</w:t>
            </w:r>
          </w:p>
        </w:tc>
        <w:tc>
          <w:tcPr>
            <w:tcW w:w="4230" w:type="dxa"/>
            <w:tcMar>
              <w:top w:w="0" w:type="dxa"/>
              <w:left w:w="108" w:type="dxa"/>
              <w:bottom w:w="0" w:type="dxa"/>
              <w:right w:w="108" w:type="dxa"/>
            </w:tcMar>
          </w:tcPr>
          <w:p w:rsidR="008B1196" w:rsidRPr="00EB4D74" w:rsidRDefault="008B1196" w:rsidP="00EA30FC">
            <w:pPr>
              <w:rPr>
                <w:rFonts w:cs="Tahoma"/>
                <w:color w:val="000000"/>
                <w:szCs w:val="18"/>
              </w:rPr>
            </w:pPr>
            <w:r w:rsidRPr="00EB4D74">
              <w:rPr>
                <w:rFonts w:cs="Tahoma"/>
                <w:color w:val="000000"/>
                <w:szCs w:val="18"/>
                <w:lang w:val="pt-BR"/>
              </w:rPr>
              <w:t>Desktop Empresarial com Microsoft Desktop Optimization Pack</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Project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Project Professional</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SQL Server™ Standard Core</w:t>
            </w:r>
          </w:p>
        </w:t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SQL Server™ Enterprise Core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SQL Server™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SQL Server™ Business Intelligence</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System Center 2012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System Center 2012 Datacenter</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Visio</w:t>
            </w:r>
            <w:r w:rsidRPr="00EB4D74">
              <w:rPr>
                <w:rFonts w:cs="Tahoma"/>
                <w:color w:val="000000"/>
                <w:vertAlign w:val="superscript"/>
                <w:lang w:val="pt-BR"/>
              </w:rPr>
              <w:t>®</w:t>
            </w:r>
            <w:r w:rsidRPr="00EB4D74">
              <w:rPr>
                <w:rFonts w:cs="Tahoma"/>
                <w:color w:val="000000"/>
                <w:lang w:val="pt-BR"/>
              </w:rPr>
              <w:t xml:space="preserve"> Standard</w:t>
            </w:r>
          </w:p>
        </w:t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Visio</w:t>
            </w:r>
            <w:r w:rsidRPr="00EB4D74">
              <w:rPr>
                <w:rFonts w:cs="Tahoma"/>
                <w:color w:val="000000"/>
                <w:vertAlign w:val="superscript"/>
                <w:lang w:val="pt-BR"/>
              </w:rPr>
              <w:t>®</w:t>
            </w:r>
            <w:r w:rsidRPr="00EB4D74">
              <w:rPr>
                <w:rFonts w:cs="Tahoma"/>
                <w:color w:val="000000"/>
                <w:lang w:val="pt-BR"/>
              </w:rPr>
              <w:t xml:space="preserve"> Professional</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p>
        </w:t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Visual Studio Professional com MSDN</w:t>
            </w:r>
          </w:p>
        </w:tc>
        <w:tc>
          <w:tcPr>
            <w:tcW w:w="4230" w:type="dxa"/>
            <w:tcMar>
              <w:top w:w="0" w:type="dxa"/>
              <w:left w:w="108" w:type="dxa"/>
              <w:bottom w:w="0" w:type="dxa"/>
              <w:right w:w="108" w:type="dxa"/>
            </w:tcMar>
          </w:tcPr>
          <w:p w:rsidR="008B1196" w:rsidRPr="00EB4D74" w:rsidRDefault="008B1196" w:rsidP="00EA30FC">
            <w:pPr>
              <w:rPr>
                <w:rFonts w:eastAsia="Times New Roman" w:cs="Tahoma"/>
                <w:color w:val="000000"/>
                <w:szCs w:val="18"/>
              </w:rPr>
            </w:pPr>
            <w:r w:rsidRPr="00EB4D74">
              <w:rPr>
                <w:rFonts w:cs="Tahoma"/>
                <w:color w:val="000000"/>
                <w:lang w:val="pt-BR"/>
              </w:rPr>
              <w:t>Visual Studio Premium com MSDN</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Visual Studio Premium com MSDN</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lang w:val="it-IT"/>
              </w:rPr>
            </w:pPr>
            <w:r w:rsidRPr="00EB4D74">
              <w:rPr>
                <w:rFonts w:cs="Tahoma"/>
                <w:lang w:val="pt-BR"/>
              </w:rPr>
              <w:t>Visual Studio Ultimate com MSDN</w:t>
            </w:r>
          </w:p>
        </w:tc>
      </w:tr>
      <w:tr w:rsidR="008B1196" w:rsidRPr="00EB4D74" w:rsidTr="00EA30F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Visual Studio Test Professional com MSDN</w:t>
            </w:r>
          </w:p>
        </w:tc>
        <w:tc>
          <w:tcPr>
            <w:tcW w:w="4230" w:type="dxa"/>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Visual Studio Premium com MSDN</w:t>
            </w:r>
          </w:p>
        </w:tc>
      </w:tr>
      <w:tr w:rsidR="008B1196" w:rsidRPr="00EB4D74" w:rsidTr="00EA30FC">
        <w:tc>
          <w:tcPr>
            <w:tcW w:w="4230" w:type="dxa"/>
            <w:tcBorders>
              <w:bottom w:val="single" w:sz="12" w:space="0" w:color="auto"/>
            </w:tcBorders>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Windows</w:t>
            </w:r>
            <w:r w:rsidRPr="00EB4D74">
              <w:rPr>
                <w:rFonts w:cs="Tahoma"/>
                <w:vertAlign w:val="superscript"/>
                <w:lang w:val="pt-BR"/>
              </w:rPr>
              <w:t>®</w:t>
            </w:r>
            <w:r w:rsidRPr="00EB4D74">
              <w:rPr>
                <w:rFonts w:cs="Tahoma"/>
                <w:lang w:val="pt-BR"/>
              </w:rPr>
              <w:t xml:space="preserve"> Server™ Standard</w:t>
            </w:r>
          </w:p>
        </w:tc>
        <w:tc>
          <w:tcPr>
            <w:tcW w:w="4230" w:type="dxa"/>
            <w:tcBorders>
              <w:bottom w:val="single" w:sz="12" w:space="0" w:color="auto"/>
            </w:tcBorders>
            <w:tcMar>
              <w:top w:w="0" w:type="dxa"/>
              <w:left w:w="108" w:type="dxa"/>
              <w:bottom w:w="0" w:type="dxa"/>
              <w:right w:w="108" w:type="dxa"/>
            </w:tcMar>
          </w:tcPr>
          <w:p w:rsidR="008B1196" w:rsidRPr="00EB4D74" w:rsidRDefault="008B1196" w:rsidP="00EA30FC">
            <w:pPr>
              <w:rPr>
                <w:rFonts w:eastAsia="Times New Roman" w:cs="Tahoma"/>
                <w:szCs w:val="18"/>
              </w:rPr>
            </w:pPr>
            <w:r w:rsidRPr="00EB4D74">
              <w:rPr>
                <w:rFonts w:cs="Tahoma"/>
                <w:lang w:val="pt-BR"/>
              </w:rPr>
              <w:t>Windows</w:t>
            </w:r>
            <w:r w:rsidRPr="00EB4D74">
              <w:rPr>
                <w:rFonts w:cs="Tahoma"/>
                <w:vertAlign w:val="superscript"/>
                <w:lang w:val="pt-BR"/>
              </w:rPr>
              <w:t>®</w:t>
            </w:r>
            <w:r w:rsidRPr="00EB4D74">
              <w:rPr>
                <w:rFonts w:cs="Tahoma"/>
                <w:lang w:val="pt-BR"/>
              </w:rPr>
              <w:t xml:space="preserve"> Server™ Datacenter</w:t>
            </w:r>
          </w:p>
        </w:tc>
      </w:tr>
    </w:tbl>
    <w:p w:rsidR="008B1196" w:rsidRPr="00EB4D74" w:rsidRDefault="008B1196" w:rsidP="008B1196">
      <w:pPr>
        <w:pStyle w:val="AppendixBodyText"/>
        <w:ind w:left="1710" w:hanging="1260"/>
        <w:rPr>
          <w:rFonts w:ascii="Tahoma" w:hAnsi="Tahoma" w:cs="Tahoma"/>
        </w:rPr>
      </w:pPr>
      <w:r w:rsidRPr="00EB4D74">
        <w:rPr>
          <w:rFonts w:ascii="Tahoma" w:hAnsi="Tahoma" w:cs="Tahoma"/>
          <w:b/>
          <w:i/>
          <w:sz w:val="16"/>
          <w:lang w:val="pt-BR"/>
        </w:rPr>
        <w:t>*</w:t>
      </w:r>
      <w:r w:rsidRPr="00EB4D74">
        <w:rPr>
          <w:rFonts w:ascii="Tahoma" w:hAnsi="Tahoma" w:cs="Tahoma"/>
          <w:b/>
          <w:i/>
          <w:sz w:val="16"/>
          <w:u w:val="single"/>
          <w:lang w:val="pt-BR"/>
        </w:rPr>
        <w:t>Observação</w:t>
      </w:r>
      <w:r w:rsidRPr="00EB4D74">
        <w:rPr>
          <w:rFonts w:ascii="Tahoma" w:hAnsi="Tahoma" w:cs="Tahoma"/>
          <w:b/>
          <w:i/>
          <w:sz w:val="16"/>
          <w:lang w:val="pt-BR"/>
        </w:rPr>
        <w:t xml:space="preserve">: </w:t>
      </w:r>
      <w:r w:rsidRPr="00EB4D74">
        <w:rPr>
          <w:rFonts w:ascii="Tahoma" w:hAnsi="Tahoma" w:cs="Tahoma"/>
          <w:i/>
          <w:sz w:val="16"/>
          <w:lang w:val="pt-BR"/>
        </w:rPr>
        <w:t>a lista de produtos para os quais as Licenças Step-up estão disponíveis está sujeita a alteração.</w:t>
      </w:r>
    </w:p>
    <w:p w:rsidR="008B1196" w:rsidRPr="00EB4D74" w:rsidRDefault="008B1196" w:rsidP="008B1196">
      <w:pPr>
        <w:rPr>
          <w:rFonts w:cs="Tahoma"/>
        </w:rPr>
      </w:pPr>
    </w:p>
    <w:p w:rsidR="008B1196" w:rsidRPr="00EB4D74" w:rsidRDefault="008B1196" w:rsidP="008B1196">
      <w:pPr>
        <w:pStyle w:val="AppendixBodyText"/>
        <w:rPr>
          <w:rFonts w:ascii="Tahoma" w:hAnsi="Tahoma" w:cs="Tahoma"/>
        </w:rPr>
      </w:pPr>
    </w:p>
    <w:p w:rsidR="008B1196" w:rsidRPr="00EB4D74" w:rsidRDefault="008B1196" w:rsidP="008B1196">
      <w:pPr>
        <w:pStyle w:val="Heading1"/>
        <w:spacing w:after="120"/>
      </w:pPr>
      <w:r w:rsidRPr="00EB4D74">
        <w:br w:type="page"/>
      </w:r>
      <w:bookmarkStart w:id="1019" w:name="_Toc317591256"/>
      <w:bookmarkStart w:id="1020" w:name="_Toc336338247"/>
      <w:bookmarkStart w:id="1021" w:name="_Toc342914884"/>
      <w:bookmarkEnd w:id="1019"/>
      <w:bookmarkEnd w:id="1020"/>
      <w:r w:rsidRPr="00EB4D74">
        <w:lastRenderedPageBreak/>
        <w:t>SEÇÃO 8 – ServiÇOS</w:t>
      </w:r>
      <w:bookmarkEnd w:id="1021"/>
    </w:p>
    <w:p w:rsidR="008B1196" w:rsidRPr="00EB4D74" w:rsidRDefault="008B1196" w:rsidP="008B1196">
      <w:pPr>
        <w:rPr>
          <w:rFonts w:cs="Tahoma"/>
        </w:rPr>
      </w:pPr>
    </w:p>
    <w:p w:rsidR="008B1196" w:rsidRPr="00EB4D74" w:rsidRDefault="008B1196" w:rsidP="008B1196">
      <w:pPr>
        <w:jc w:val="both"/>
        <w:rPr>
          <w:rFonts w:cs="Tahoma"/>
          <w:lang w:val="it-IT"/>
        </w:rPr>
      </w:pPr>
      <w:r w:rsidRPr="00EB4D74">
        <w:rPr>
          <w:rFonts w:cs="Tahoma"/>
          <w:szCs w:val="20"/>
          <w:lang w:val="pt-BR"/>
        </w:rPr>
        <w:t xml:space="preserve">O direito de uso do cliente sobre quaisquer Serviços comprados desta Lista de Produtos é regido (1) pelo contrato de licenciamento por volume do cliente e (2) por qualquer outro contrato de Serviços Microsoft de nível master que o cliente possa ter em vigor no momento da compra. </w:t>
      </w:r>
      <w:r w:rsidRPr="00EB4D74">
        <w:rPr>
          <w:rFonts w:cs="Tahoma"/>
          <w:lang w:val="pt-BR"/>
        </w:rPr>
        <w:t xml:space="preserve">Em caso de conflito, prevalecerá o contrato de Serviços mais recente. </w:t>
      </w:r>
      <w:r w:rsidRPr="00EB4D74">
        <w:rPr>
          <w:rFonts w:cs="Tahoma"/>
          <w:color w:val="000000"/>
          <w:lang w:val="pt-BR"/>
        </w:rPr>
        <w:t xml:space="preserve">Se o contrato de licença por volume ou os termos dos Serviços de nível master do cliente não contiverem a Propriedade dos Serviços e a linguagem da Licença, o Uso, a propriedade e os direitos de licença estabelecidos nos Termos e Condições de Serviços Adicionais a seguir serão aplicáveis. </w:t>
      </w:r>
      <w:r w:rsidRPr="00EB4D74">
        <w:rPr>
          <w:rFonts w:cs="Tahoma"/>
          <w:lang w:val="pt-BR"/>
        </w:rPr>
        <w:t>Se o cliente não tiver um contrato de Serviços de nível master com a Microsoft, todos os Termos e Condições de Serviços Adicionais a seguir serão aplicados.</w:t>
      </w:r>
    </w:p>
    <w:p w:rsidR="008B1196" w:rsidRPr="00EB4D74" w:rsidRDefault="008B1196" w:rsidP="008B1196">
      <w:pPr>
        <w:jc w:val="both"/>
        <w:rPr>
          <w:rFonts w:cs="Tahoma"/>
          <w:lang w:val="it-IT"/>
        </w:rPr>
      </w:pPr>
    </w:p>
    <w:p w:rsidR="008B1196" w:rsidRPr="00EB4D74" w:rsidRDefault="008B1196" w:rsidP="008B1196">
      <w:pPr>
        <w:spacing w:after="75"/>
        <w:rPr>
          <w:rFonts w:cs="Tahoma"/>
          <w:lang w:val="it-IT"/>
        </w:rPr>
      </w:pPr>
      <w:r w:rsidRPr="00EB4D74">
        <w:rPr>
          <w:rFonts w:cs="Tahoma"/>
          <w:szCs w:val="20"/>
          <w:lang w:val="pt-BR"/>
        </w:rPr>
        <w:t>Uma descrição detalhada de todos os Serviços dos quais os clientes podem adquirir o direito é fornecida na seção a seguir.</w:t>
      </w:r>
    </w:p>
    <w:p w:rsidR="008B1196" w:rsidRPr="00EB4D74" w:rsidRDefault="008B1196" w:rsidP="008B1196">
      <w:pPr>
        <w:spacing w:after="75"/>
        <w:rPr>
          <w:rFonts w:cs="Tahoma"/>
          <w:lang w:val="pt-BR"/>
        </w:rPr>
      </w:pPr>
      <w:r w:rsidRPr="00EB4D74">
        <w:rPr>
          <w:rFonts w:cs="Tahoma"/>
          <w:szCs w:val="20"/>
          <w:lang w:val="pt-BR"/>
        </w:rPr>
        <w:t xml:space="preserve">A disponibilidade das ofertas a seguir varia por região e Programa de Licenciamento por Volume. Algumas ofertas poderão não estar disponíveis para clientes do Governo com determinadas exceções em uma base experimental. </w:t>
      </w:r>
      <w:r w:rsidRPr="00EB4D74">
        <w:rPr>
          <w:rFonts w:cs="Tahoma"/>
          <w:lang w:val="pt-BR"/>
        </w:rPr>
        <w:t>Os clientes devem entrar em contato com o revendedor ou o Gerente de Conta Microsoft para obter informações sobre a disponibilidade regional de uma oferta específica.</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rPr>
          <w:rFonts w:cs="Tahoma"/>
        </w:rPr>
      </w:pPr>
      <w:r w:rsidRPr="00EB4D74">
        <w:rPr>
          <w:rFonts w:cs="Tahoma"/>
          <w:b/>
          <w:sz w:val="24"/>
          <w:lang w:val="pt-BR"/>
        </w:rPr>
        <w:t>Ofertas de Suporte do Microsoft Premier</w:t>
      </w:r>
    </w:p>
    <w:p w:rsidR="008B1196" w:rsidRPr="00EB4D74" w:rsidRDefault="008B1196" w:rsidP="008B1196">
      <w:pPr>
        <w:jc w:val="cente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8B1196" w:rsidRPr="00EB4D74" w:rsidTr="00EA30FC">
        <w:tc>
          <w:tcPr>
            <w:tcW w:w="3168" w:type="dxa"/>
            <w:shd w:val="clear" w:color="auto" w:fill="FABF8F"/>
            <w:vAlign w:val="center"/>
          </w:tcPr>
          <w:p w:rsidR="008B1196" w:rsidRPr="00EB4D74" w:rsidRDefault="008B1196" w:rsidP="00EA30FC">
            <w:pPr>
              <w:jc w:val="center"/>
              <w:rPr>
                <w:rFonts w:cs="Tahoma"/>
                <w:color w:val="000000"/>
                <w:szCs w:val="18"/>
              </w:rPr>
            </w:pPr>
            <w:r w:rsidRPr="00EB4D74">
              <w:rPr>
                <w:rFonts w:cs="Tahoma"/>
                <w:b/>
                <w:color w:val="000000"/>
                <w:sz w:val="20"/>
                <w:lang w:val="pt-BR"/>
              </w:rPr>
              <w:t xml:space="preserve">Área </w:t>
            </w:r>
            <w:r w:rsidRPr="00EB4D74">
              <w:rPr>
                <w:rFonts w:cs="Tahoma"/>
                <w:b/>
                <w:color w:val="000000"/>
                <w:sz w:val="20"/>
                <w:vertAlign w:val="superscript"/>
                <w:lang w:val="pt-BR"/>
              </w:rPr>
              <w:t>1</w:t>
            </w:r>
          </w:p>
        </w:tc>
        <w:tc>
          <w:tcPr>
            <w:tcW w:w="1580" w:type="dxa"/>
            <w:shd w:val="clear" w:color="auto" w:fill="FABF8F"/>
            <w:vAlign w:val="center"/>
          </w:tcPr>
          <w:p w:rsidR="008B1196" w:rsidRPr="00EB4D74" w:rsidRDefault="008B1196" w:rsidP="00EA30FC">
            <w:pPr>
              <w:jc w:val="center"/>
              <w:rPr>
                <w:rFonts w:cs="Tahoma"/>
                <w:color w:val="000000"/>
                <w:sz w:val="20"/>
                <w:szCs w:val="20"/>
              </w:rPr>
            </w:pPr>
            <w:r w:rsidRPr="00EB4D74">
              <w:rPr>
                <w:rFonts w:cs="Tahoma"/>
                <w:b/>
                <w:color w:val="000000"/>
                <w:sz w:val="20"/>
                <w:lang w:val="pt-BR"/>
              </w:rPr>
              <w:t>Premier Core</w:t>
            </w:r>
          </w:p>
        </w:tc>
        <w:tc>
          <w:tcPr>
            <w:tcW w:w="1444" w:type="dxa"/>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Premier Foundation</w:t>
            </w:r>
          </w:p>
        </w:tc>
        <w:tc>
          <w:tcPr>
            <w:tcW w:w="1687" w:type="dxa"/>
            <w:shd w:val="clear" w:color="auto" w:fill="FABF8F"/>
            <w:vAlign w:val="center"/>
          </w:tcPr>
          <w:p w:rsidR="008B1196" w:rsidRPr="00EB4D74" w:rsidRDefault="008B1196" w:rsidP="00EA30FC">
            <w:pPr>
              <w:jc w:val="center"/>
              <w:rPr>
                <w:rFonts w:cs="Tahoma"/>
                <w:color w:val="000000"/>
                <w:szCs w:val="18"/>
              </w:rPr>
            </w:pPr>
            <w:r w:rsidRPr="00EB4D74">
              <w:rPr>
                <w:rFonts w:cs="Tahoma"/>
                <w:b/>
                <w:color w:val="000000"/>
                <w:sz w:val="20"/>
                <w:lang w:val="pt-BR"/>
              </w:rPr>
              <w:t>Premier Standard</w:t>
            </w:r>
          </w:p>
        </w:tc>
        <w:tc>
          <w:tcPr>
            <w:tcW w:w="1589" w:type="dxa"/>
            <w:shd w:val="clear" w:color="auto" w:fill="FABF8F"/>
            <w:vAlign w:val="center"/>
          </w:tcPr>
          <w:p w:rsidR="008B1196" w:rsidRPr="00EB4D74" w:rsidRDefault="008B1196" w:rsidP="00EA30FC">
            <w:pPr>
              <w:jc w:val="center"/>
              <w:rPr>
                <w:rFonts w:cs="Tahoma"/>
                <w:color w:val="000000"/>
                <w:szCs w:val="18"/>
              </w:rPr>
            </w:pPr>
            <w:r w:rsidRPr="00EB4D74">
              <w:rPr>
                <w:rFonts w:cs="Tahoma"/>
                <w:b/>
                <w:color w:val="000000"/>
                <w:sz w:val="20"/>
                <w:lang w:val="pt-BR"/>
              </w:rPr>
              <w:t>Premier Plus</w:t>
            </w:r>
          </w:p>
        </w:tc>
      </w:tr>
      <w:tr w:rsidR="008B1196" w:rsidRPr="00EB4D74" w:rsidTr="00EA30FC">
        <w:tc>
          <w:tcPr>
            <w:tcW w:w="3168" w:type="dxa"/>
            <w:vAlign w:val="center"/>
          </w:tcPr>
          <w:p w:rsidR="008B1196" w:rsidRPr="00EB4D74" w:rsidRDefault="008B1196" w:rsidP="00EA30FC">
            <w:pPr>
              <w:rPr>
                <w:rFonts w:cs="Tahoma"/>
                <w:color w:val="000000"/>
                <w:szCs w:val="18"/>
                <w:lang w:val="it-IT"/>
              </w:rPr>
            </w:pPr>
            <w:r w:rsidRPr="00EB4D74">
              <w:rPr>
                <w:rFonts w:cs="Tahoma"/>
                <w:color w:val="000000"/>
                <w:szCs w:val="18"/>
                <w:lang w:val="pt-BR"/>
              </w:rPr>
              <w:t>Gerenciamento de Conta de Suporte</w:t>
            </w:r>
          </w:p>
        </w:tc>
        <w:tc>
          <w:tcPr>
            <w:tcW w:w="158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444"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r>
      <w:tr w:rsidR="008B1196" w:rsidRPr="00EB4D74" w:rsidTr="00EA30FC">
        <w:tc>
          <w:tcPr>
            <w:tcW w:w="3168" w:type="dxa"/>
            <w:vAlign w:val="center"/>
          </w:tcPr>
          <w:p w:rsidR="008B1196" w:rsidRPr="00EB4D74" w:rsidRDefault="008B1196" w:rsidP="00EA30FC">
            <w:pPr>
              <w:rPr>
                <w:rFonts w:cs="Tahoma"/>
                <w:color w:val="000000"/>
                <w:szCs w:val="18"/>
                <w:lang w:val="it-IT"/>
              </w:rPr>
            </w:pPr>
            <w:r w:rsidRPr="00EB4D74">
              <w:rPr>
                <w:rFonts w:cs="Tahoma"/>
                <w:color w:val="000000"/>
                <w:szCs w:val="18"/>
                <w:lang w:val="pt-BR"/>
              </w:rPr>
              <w:t>Criação de Perfil e Relatório de Conta</w:t>
            </w:r>
          </w:p>
        </w:tc>
        <w:tc>
          <w:tcPr>
            <w:tcW w:w="1580"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Mensal</w:t>
            </w:r>
          </w:p>
        </w:tc>
        <w:tc>
          <w:tcPr>
            <w:tcW w:w="1444"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Mensal</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Mensal</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Mensal</w:t>
            </w:r>
          </w:p>
        </w:tc>
      </w:tr>
      <w:tr w:rsidR="008B1196" w:rsidRPr="00EB4D74" w:rsidTr="00EA30FC">
        <w:tc>
          <w:tcPr>
            <w:tcW w:w="3168" w:type="dxa"/>
            <w:vAlign w:val="center"/>
          </w:tcPr>
          <w:p w:rsidR="008B1196" w:rsidRPr="00EB4D74" w:rsidRDefault="008B1196" w:rsidP="00EA30FC">
            <w:pPr>
              <w:rPr>
                <w:rFonts w:cs="Tahoma"/>
                <w:color w:val="000000"/>
                <w:szCs w:val="18"/>
                <w:lang w:val="it-IT"/>
              </w:rPr>
            </w:pPr>
            <w:r w:rsidRPr="00EB4D74">
              <w:rPr>
                <w:rFonts w:cs="Tahoma"/>
                <w:color w:val="000000"/>
                <w:szCs w:val="18"/>
                <w:lang w:val="pt-BR"/>
              </w:rPr>
              <w:t>Assistência de Suporte (horas alocadas anualmente)</w:t>
            </w:r>
          </w:p>
        </w:tc>
        <w:tc>
          <w:tcPr>
            <w:tcW w:w="1580"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10 horas</w:t>
            </w:r>
          </w:p>
        </w:tc>
        <w:tc>
          <w:tcPr>
            <w:tcW w:w="1444" w:type="dxa"/>
          </w:tcPr>
          <w:p w:rsidR="008B1196" w:rsidRPr="00EB4D74" w:rsidRDefault="008B1196" w:rsidP="00EA30FC">
            <w:pPr>
              <w:jc w:val="center"/>
              <w:rPr>
                <w:rFonts w:cs="Tahoma"/>
                <w:color w:val="000000"/>
                <w:szCs w:val="18"/>
              </w:rPr>
            </w:pPr>
            <w:r w:rsidRPr="00EB4D74">
              <w:rPr>
                <w:rFonts w:cs="Tahoma"/>
                <w:color w:val="000000"/>
                <w:szCs w:val="18"/>
                <w:lang w:val="pt-BR"/>
              </w:rPr>
              <w:t>Até 10 horas</w:t>
            </w:r>
            <w:r w:rsidRPr="00EB4D74">
              <w:rPr>
                <w:rFonts w:cs="Tahoma"/>
                <w:color w:val="000000"/>
                <w:szCs w:val="18"/>
                <w:lang w:val="pt-BR"/>
              </w:rPr>
              <w:br/>
              <w:t>+ 1 Verificação de Integridade</w:t>
            </w:r>
            <w:r w:rsidRPr="00EB4D74">
              <w:rPr>
                <w:rFonts w:cs="Tahoma"/>
                <w:color w:val="000000"/>
                <w:szCs w:val="18"/>
                <w:lang w:val="pt-BR"/>
              </w:rPr>
              <w:br/>
              <w:t>+ 1 Workshop</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120 horas</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160 horas</w:t>
            </w:r>
          </w:p>
        </w:tc>
      </w:tr>
      <w:tr w:rsidR="008B1196" w:rsidRPr="00EB4D74" w:rsidTr="00EA30FC">
        <w:tc>
          <w:tcPr>
            <w:tcW w:w="3168" w:type="dxa"/>
            <w:vAlign w:val="center"/>
          </w:tcPr>
          <w:p w:rsidR="008B1196" w:rsidRPr="00EB4D74" w:rsidRDefault="008B1196" w:rsidP="00EA30FC">
            <w:pPr>
              <w:rPr>
                <w:rFonts w:cs="Tahoma"/>
                <w:color w:val="000000"/>
                <w:szCs w:val="18"/>
                <w:lang w:val="it-IT"/>
              </w:rPr>
            </w:pPr>
            <w:r w:rsidRPr="00EB4D74">
              <w:rPr>
                <w:rFonts w:cs="Tahoma"/>
                <w:color w:val="000000"/>
                <w:szCs w:val="18"/>
                <w:lang w:val="pt-BR"/>
              </w:rPr>
              <w:t>Suporte para Resolução de Problemas - PRS (alocado anualmente)</w:t>
            </w:r>
          </w:p>
        </w:tc>
        <w:tc>
          <w:tcPr>
            <w:tcW w:w="1580"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40 horas</w:t>
            </w:r>
          </w:p>
        </w:tc>
        <w:tc>
          <w:tcPr>
            <w:tcW w:w="1444" w:type="dxa"/>
          </w:tcPr>
          <w:p w:rsidR="008B1196" w:rsidRPr="00EB4D74" w:rsidRDefault="008B1196" w:rsidP="00EA30FC">
            <w:pPr>
              <w:spacing w:before="120"/>
              <w:jc w:val="center"/>
              <w:rPr>
                <w:rFonts w:cs="Tahoma"/>
                <w:color w:val="000000"/>
                <w:szCs w:val="18"/>
              </w:rPr>
            </w:pPr>
            <w:r w:rsidRPr="00EB4D74">
              <w:rPr>
                <w:rFonts w:cs="Tahoma"/>
                <w:color w:val="000000"/>
                <w:szCs w:val="18"/>
                <w:lang w:val="pt-BR"/>
              </w:rPr>
              <w:t>Até 30 horas</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80 horas</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140 horas</w:t>
            </w:r>
          </w:p>
        </w:tc>
      </w:tr>
      <w:tr w:rsidR="008B1196" w:rsidRPr="00EB4D74" w:rsidTr="00EA30FC">
        <w:tc>
          <w:tcPr>
            <w:tcW w:w="3168" w:type="dxa"/>
            <w:vAlign w:val="center"/>
          </w:tcPr>
          <w:p w:rsidR="008B1196" w:rsidRPr="00EB4D74" w:rsidRDefault="008B1196" w:rsidP="00EA30FC">
            <w:pPr>
              <w:rPr>
                <w:rFonts w:cs="Tahoma"/>
                <w:color w:val="000000"/>
                <w:szCs w:val="18"/>
                <w:lang w:val="it-IT"/>
              </w:rPr>
            </w:pPr>
            <w:r w:rsidRPr="00EB4D74">
              <w:rPr>
                <w:rFonts w:cs="Tahoma"/>
                <w:color w:val="000000"/>
                <w:szCs w:val="18"/>
                <w:lang w:val="pt-BR"/>
              </w:rPr>
              <w:t>Gerenciamento de Escalonamento de Situação Crítica 24x7 (Severidade Nível 1)</w:t>
            </w:r>
          </w:p>
        </w:tc>
        <w:tc>
          <w:tcPr>
            <w:tcW w:w="158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444"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r>
      <w:tr w:rsidR="008B1196" w:rsidRPr="00EB4D74" w:rsidTr="00EA30FC">
        <w:tc>
          <w:tcPr>
            <w:tcW w:w="3168" w:type="dxa"/>
            <w:vAlign w:val="center"/>
          </w:tcPr>
          <w:p w:rsidR="008B1196" w:rsidRPr="00EB4D74" w:rsidRDefault="008B1196" w:rsidP="00EA30FC">
            <w:pPr>
              <w:rPr>
                <w:rFonts w:cs="Tahoma"/>
                <w:color w:val="000000"/>
                <w:szCs w:val="18"/>
              </w:rPr>
            </w:pPr>
            <w:r w:rsidRPr="00EB4D74">
              <w:rPr>
                <w:rFonts w:cs="Tahoma"/>
                <w:color w:val="000000"/>
                <w:szCs w:val="18"/>
                <w:lang w:val="pt-BR"/>
              </w:rPr>
              <w:t>Suporte Rápido no Local</w:t>
            </w:r>
          </w:p>
        </w:tc>
        <w:tc>
          <w:tcPr>
            <w:tcW w:w="158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444"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r>
      <w:tr w:rsidR="008B1196" w:rsidRPr="00EB4D74" w:rsidTr="00EA30FC">
        <w:tc>
          <w:tcPr>
            <w:tcW w:w="3168" w:type="dxa"/>
            <w:vAlign w:val="center"/>
          </w:tcPr>
          <w:p w:rsidR="008B1196" w:rsidRPr="00EB4D74" w:rsidRDefault="008B1196" w:rsidP="00EA30FC">
            <w:pPr>
              <w:rPr>
                <w:rFonts w:cs="Tahoma"/>
                <w:color w:val="000000"/>
                <w:szCs w:val="18"/>
              </w:rPr>
            </w:pPr>
            <w:r w:rsidRPr="00EB4D74">
              <w:rPr>
                <w:rFonts w:cs="Tahoma"/>
                <w:color w:val="000000"/>
                <w:szCs w:val="18"/>
                <w:lang w:val="pt-BR"/>
              </w:rPr>
              <w:t>Serviços de Informações Pró-ativos</w:t>
            </w:r>
          </w:p>
        </w:tc>
        <w:tc>
          <w:tcPr>
            <w:tcW w:w="158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444"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r>
      <w:tr w:rsidR="008B1196" w:rsidRPr="00EB4D74" w:rsidTr="00EA30FC">
        <w:tc>
          <w:tcPr>
            <w:tcW w:w="3168" w:type="dxa"/>
            <w:vAlign w:val="center"/>
          </w:tcPr>
          <w:p w:rsidR="008B1196" w:rsidRPr="00EB4D74" w:rsidRDefault="008B1196" w:rsidP="00EA30FC">
            <w:pPr>
              <w:rPr>
                <w:rFonts w:cs="Tahoma"/>
                <w:color w:val="000000"/>
                <w:szCs w:val="18"/>
              </w:rPr>
            </w:pPr>
            <w:r w:rsidRPr="00EB4D74">
              <w:rPr>
                <w:rFonts w:cs="Tahoma"/>
                <w:color w:val="000000"/>
                <w:szCs w:val="18"/>
                <w:lang w:val="pt-BR"/>
              </w:rPr>
              <w:t>Microsoft Premier Online</w:t>
            </w:r>
          </w:p>
        </w:tc>
        <w:tc>
          <w:tcPr>
            <w:tcW w:w="158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444"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w:t>
            </w:r>
          </w:p>
        </w:tc>
      </w:tr>
      <w:tr w:rsidR="008B1196" w:rsidRPr="00EB4D74" w:rsidTr="00EA30FC">
        <w:tc>
          <w:tcPr>
            <w:tcW w:w="3168" w:type="dxa"/>
            <w:vAlign w:val="center"/>
          </w:tcPr>
          <w:p w:rsidR="008B1196" w:rsidRPr="00EB4D74" w:rsidRDefault="008B1196" w:rsidP="00EA30FC">
            <w:pPr>
              <w:rPr>
                <w:rFonts w:cs="Tahoma"/>
                <w:color w:val="000000"/>
                <w:szCs w:val="18"/>
              </w:rPr>
            </w:pPr>
            <w:r w:rsidRPr="00EB4D74">
              <w:rPr>
                <w:rFonts w:cs="Tahoma"/>
                <w:color w:val="000000"/>
                <w:szCs w:val="18"/>
                <w:lang w:val="pt-BR"/>
              </w:rPr>
              <w:t>Horas Complementares</w:t>
            </w:r>
          </w:p>
        </w:tc>
        <w:tc>
          <w:tcPr>
            <w:tcW w:w="1580"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Pacotes de 20</w:t>
            </w:r>
          </w:p>
        </w:tc>
        <w:tc>
          <w:tcPr>
            <w:tcW w:w="1444"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Pacotes de 20</w:t>
            </w:r>
          </w:p>
        </w:tc>
        <w:tc>
          <w:tcPr>
            <w:tcW w:w="1687"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Pacotes de 20</w:t>
            </w:r>
          </w:p>
        </w:tc>
        <w:tc>
          <w:tcPr>
            <w:tcW w:w="1589"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Pacotes de 20</w:t>
            </w:r>
          </w:p>
        </w:tc>
      </w:tr>
    </w:tbl>
    <w:p w:rsidR="008B1196" w:rsidRPr="00EB4D74" w:rsidRDefault="008B1196" w:rsidP="008B1196">
      <w:pPr>
        <w:pStyle w:val="tableclose"/>
        <w:tabs>
          <w:tab w:val="left" w:pos="810"/>
        </w:tabs>
        <w:ind w:left="810" w:hanging="720"/>
        <w:rPr>
          <w:rFonts w:ascii="Tahoma" w:hAnsi="Tahoma" w:cs="Tahoma"/>
          <w:lang w:val="it-IT"/>
        </w:rPr>
      </w:pPr>
      <w:r w:rsidRPr="00EB4D74">
        <w:rPr>
          <w:rFonts w:ascii="Tahoma" w:hAnsi="Tahoma" w:cs="Tahoma"/>
          <w:i/>
          <w:color w:val="000000"/>
          <w:sz w:val="16"/>
          <w:vertAlign w:val="superscript"/>
          <w:lang w:val="pt-BR"/>
        </w:rPr>
        <w:t>1</w:t>
      </w:r>
      <w:r w:rsidRPr="00EB4D74">
        <w:rPr>
          <w:rFonts w:ascii="Tahoma" w:hAnsi="Tahoma" w:cs="Tahoma"/>
          <w:i/>
          <w:color w:val="000000"/>
          <w:sz w:val="16"/>
          <w:lang w:val="pt-BR"/>
        </w:rPr>
        <w:t xml:space="preserve"> O Horário Comercial é definido localmente.</w:t>
      </w:r>
    </w:p>
    <w:p w:rsidR="008B1196" w:rsidRPr="00EB4D74" w:rsidRDefault="008B1196" w:rsidP="008B1196">
      <w:pPr>
        <w:pStyle w:val="BodyText2"/>
        <w:spacing w:after="0" w:line="240" w:lineRule="auto"/>
        <w:rPr>
          <w:rFonts w:ascii="Tahoma" w:hAnsi="Tahoma" w:cs="Tahoma"/>
          <w:lang w:val="it-IT"/>
        </w:rPr>
      </w:pPr>
    </w:p>
    <w:p w:rsidR="008B1196" w:rsidRPr="00EB4D74" w:rsidRDefault="008B1196" w:rsidP="008B1196">
      <w:pPr>
        <w:pStyle w:val="BodyText2"/>
        <w:spacing w:after="0" w:line="240" w:lineRule="auto"/>
        <w:rPr>
          <w:rFonts w:ascii="Tahoma" w:hAnsi="Tahoma" w:cs="Tahoma"/>
          <w:lang w:val="it-IT"/>
        </w:rPr>
      </w:pPr>
      <w:r w:rsidRPr="00EB4D74">
        <w:rPr>
          <w:rFonts w:ascii="Tahoma" w:hAnsi="Tahoma" w:cs="Tahoma"/>
          <w:color w:val="000000"/>
          <w:sz w:val="18"/>
          <w:lang w:val="pt-BR"/>
        </w:rPr>
        <w:t xml:space="preserve">O </w:t>
      </w:r>
      <w:r w:rsidRPr="00EB4D74">
        <w:rPr>
          <w:rFonts w:ascii="Tahoma" w:hAnsi="Tahoma" w:cs="Tahoma"/>
          <w:b/>
          <w:color w:val="000000"/>
          <w:sz w:val="18"/>
          <w:lang w:val="pt-BR"/>
        </w:rPr>
        <w:t>Gerenciamento de Conta de Suporte</w:t>
      </w:r>
      <w:r w:rsidRPr="00EB4D74">
        <w:rPr>
          <w:rFonts w:ascii="Tahoma" w:hAnsi="Tahoma" w:cs="Tahoma"/>
          <w:color w:val="000000"/>
          <w:sz w:val="18"/>
          <w:lang w:val="pt-BR"/>
        </w:rPr>
        <w:t xml:space="preserve"> ajuda a criar e manter os relacionamentos com a equipe de gerenciamento e de fornecimento de serviços do cliente, além de ajudar os clientes a organizar cada elemento de seus planos de serviços a fim de atender às necessidades comerciais.</w:t>
      </w:r>
    </w:p>
    <w:p w:rsidR="008B1196" w:rsidRPr="00EB4D74" w:rsidRDefault="008B1196" w:rsidP="008B1196">
      <w:pPr>
        <w:pStyle w:val="BodyText2"/>
        <w:spacing w:after="0" w:line="240" w:lineRule="auto"/>
        <w:rPr>
          <w:rFonts w:ascii="Tahoma" w:hAnsi="Tahoma" w:cs="Tahoma"/>
          <w:lang w:val="it-IT"/>
        </w:rPr>
      </w:pPr>
    </w:p>
    <w:p w:rsidR="008B1196" w:rsidRPr="00EB4D74" w:rsidRDefault="008B1196" w:rsidP="008B1196">
      <w:pPr>
        <w:jc w:val="both"/>
        <w:rPr>
          <w:rFonts w:cs="Tahoma"/>
          <w:lang w:val="it-IT"/>
        </w:rPr>
      </w:pPr>
      <w:r w:rsidRPr="00EB4D74">
        <w:rPr>
          <w:rFonts w:cs="Tahoma"/>
          <w:color w:val="000000"/>
          <w:lang w:val="pt-BR"/>
        </w:rPr>
        <w:t xml:space="preserve">A </w:t>
      </w:r>
      <w:r w:rsidRPr="00EB4D74">
        <w:rPr>
          <w:rFonts w:cs="Tahoma"/>
          <w:b/>
          <w:color w:val="000000"/>
          <w:lang w:val="pt-BR"/>
        </w:rPr>
        <w:t>Assistência de Suporte</w:t>
      </w:r>
      <w:r w:rsidRPr="00EB4D74">
        <w:rPr>
          <w:rFonts w:cs="Tahoma"/>
          <w:color w:val="000000"/>
          <w:lang w:val="pt-BR"/>
        </w:rPr>
        <w:t xml:space="preserve"> fornece avisos e orientações a curto prazo (com base nos recursos da Microsoft disponíveis) sobre problemas não abordados pelo Suporte para Resolução de Problemas, incluindo assistência a questões relacionadas a design, desenvolvimento e implantação.</w:t>
      </w:r>
    </w:p>
    <w:p w:rsidR="008B1196" w:rsidRPr="00EB4D74" w:rsidRDefault="008B1196" w:rsidP="008B1196">
      <w:pPr>
        <w:jc w:val="both"/>
        <w:rPr>
          <w:rFonts w:cs="Tahoma"/>
          <w:lang w:val="it-IT"/>
        </w:rPr>
      </w:pPr>
    </w:p>
    <w:p w:rsidR="008B1196" w:rsidRPr="00EB4D74" w:rsidRDefault="008B1196" w:rsidP="008B1196">
      <w:pPr>
        <w:rPr>
          <w:rFonts w:cs="Tahoma"/>
          <w:lang w:val="it-IT"/>
        </w:rPr>
      </w:pPr>
      <w:r w:rsidRPr="00EB4D74">
        <w:rPr>
          <w:rFonts w:cs="Tahoma"/>
          <w:color w:val="000000"/>
          <w:lang w:val="pt-BR"/>
        </w:rPr>
        <w:t xml:space="preserve">O </w:t>
      </w:r>
      <w:r w:rsidRPr="00EB4D74">
        <w:rPr>
          <w:rFonts w:cs="Tahoma"/>
          <w:b/>
          <w:color w:val="000000"/>
          <w:lang w:val="pt-BR"/>
        </w:rPr>
        <w:t>Suporte para Resolução de Problemas</w:t>
      </w:r>
      <w:r w:rsidRPr="00EB4D74">
        <w:rPr>
          <w:rFonts w:cs="Tahoma"/>
          <w:color w:val="000000"/>
          <w:lang w:val="pt-BR"/>
        </w:rPr>
        <w:t xml:space="preserve"> fornece assistência para problemas com sintomas específicos encontrados durante o uso de produtos da Microsoft, quando há uma probabilidade razoável de que o problema tenha sido causado por produtos da Microsoft.</w:t>
      </w:r>
    </w:p>
    <w:p w:rsidR="008B1196" w:rsidRPr="00EB4D74" w:rsidRDefault="008B1196" w:rsidP="008B1196">
      <w:pPr>
        <w:spacing w:after="120"/>
        <w:rPr>
          <w:rFonts w:cs="Tahoma"/>
          <w:lang w:val="it-IT"/>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8B1196" w:rsidRPr="00EB4D74" w:rsidTr="00EA30FC">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b/>
                <w:color w:val="000000"/>
              </w:rPr>
            </w:pPr>
            <w:r w:rsidRPr="00EB4D74">
              <w:rPr>
                <w:rFonts w:ascii="Tahoma" w:hAnsi="Tahoma" w:cs="Tahoma"/>
                <w:b/>
                <w:color w:val="000000"/>
                <w:lang w:val="pt-BR"/>
              </w:rPr>
              <w:lastRenderedPageBreak/>
              <w:t>Severidade</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b/>
                <w:color w:val="000000"/>
              </w:rPr>
            </w:pPr>
            <w:r w:rsidRPr="00EB4D74">
              <w:rPr>
                <w:rFonts w:ascii="Tahoma" w:hAnsi="Tahoma" w:cs="Tahoma"/>
                <w:b/>
                <w:color w:val="000000"/>
                <w:lang w:val="pt-BR"/>
              </w:rPr>
              <w:t>Situação</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b/>
                <w:color w:val="000000"/>
              </w:rPr>
            </w:pPr>
            <w:r w:rsidRPr="00EB4D74">
              <w:rPr>
                <w:rFonts w:ascii="Tahoma" w:hAnsi="Tahoma" w:cs="Tahoma"/>
                <w:b/>
                <w:color w:val="000000"/>
                <w:lang w:val="pt-BR"/>
              </w:rPr>
              <w:t>Nossa Resposta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b/>
                <w:color w:val="000000"/>
              </w:rPr>
            </w:pPr>
            <w:r w:rsidRPr="00EB4D74">
              <w:rPr>
                <w:rFonts w:ascii="Tahoma" w:hAnsi="Tahoma" w:cs="Tahoma"/>
                <w:b/>
                <w:color w:val="000000"/>
                <w:lang w:val="pt-BR"/>
              </w:rPr>
              <w:t>Resposta Esperada do Cliente</w:t>
            </w:r>
          </w:p>
        </w:tc>
      </w:tr>
      <w:tr w:rsidR="008B1196" w:rsidRPr="00EB4D74"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color w:val="000000"/>
                <w:sz w:val="18"/>
                <w:szCs w:val="18"/>
              </w:rPr>
            </w:pPr>
            <w:r w:rsidRPr="00EB4D74">
              <w:rPr>
                <w:rFonts w:ascii="Tahoma" w:hAnsi="Tahoma" w:cs="Tahoma"/>
                <w:color w:val="000000"/>
                <w:sz w:val="18"/>
                <w:szCs w:val="18"/>
              </w:rPr>
              <w:t xml:space="preserve">1. </w:t>
            </w:r>
            <w:r w:rsidRPr="00EB4D74">
              <w:rPr>
                <w:rFonts w:ascii="Tahoma" w:hAnsi="Tahoma" w:cs="Tahoma"/>
                <w:color w:val="000000"/>
                <w:sz w:val="18"/>
                <w:szCs w:val="18"/>
                <w:lang w:val="pt-BR"/>
              </w:rPr>
              <w:t>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3"/>
              </w:numPr>
              <w:spacing w:line="276" w:lineRule="auto"/>
              <w:rPr>
                <w:rFonts w:ascii="Tahoma" w:hAnsi="Tahoma" w:cs="Tahoma"/>
                <w:sz w:val="18"/>
                <w:szCs w:val="18"/>
              </w:rPr>
            </w:pPr>
            <w:r w:rsidRPr="00EB4D74">
              <w:rPr>
                <w:rFonts w:ascii="Tahoma" w:hAnsi="Tahoma" w:cs="Tahoma"/>
                <w:color w:val="000000"/>
                <w:sz w:val="18"/>
                <w:szCs w:val="18"/>
                <w:lang w:val="pt-BR"/>
              </w:rPr>
              <w:t>Impacto catastrófico nos negócios:</w:t>
            </w:r>
          </w:p>
          <w:p w:rsidR="008B1196" w:rsidRPr="00EB4D74" w:rsidRDefault="008B1196" w:rsidP="00EA30FC">
            <w:pPr>
              <w:pStyle w:val="ListBullet3"/>
              <w:numPr>
                <w:ilvl w:val="0"/>
                <w:numId w:val="33"/>
              </w:numPr>
              <w:spacing w:line="276" w:lineRule="auto"/>
              <w:rPr>
                <w:rFonts w:ascii="Tahoma" w:hAnsi="Tahoma" w:cs="Tahoma"/>
                <w:sz w:val="18"/>
                <w:szCs w:val="18"/>
                <w:lang w:val="it-IT"/>
              </w:rPr>
            </w:pPr>
            <w:r w:rsidRPr="00EB4D74">
              <w:rPr>
                <w:rFonts w:ascii="Tahoma" w:hAnsi="Tahoma" w:cs="Tahoma"/>
                <w:color w:val="000000"/>
                <w:sz w:val="18"/>
                <w:szCs w:val="18"/>
                <w:lang w:val="pt-BR"/>
              </w:rPr>
              <w:t>Perda total de um processo comercial essencial (crítico) e não é possível dar continuidade ao trabalho de maneira razoável</w:t>
            </w:r>
          </w:p>
          <w:p w:rsidR="008B1196" w:rsidRPr="00EB4D74" w:rsidRDefault="008B1196" w:rsidP="00EA30FC">
            <w:pPr>
              <w:pStyle w:val="ListBullet3"/>
              <w:numPr>
                <w:ilvl w:val="0"/>
                <w:numId w:val="33"/>
              </w:numPr>
              <w:spacing w:line="276" w:lineRule="auto"/>
              <w:rPr>
                <w:rFonts w:ascii="Tahoma" w:hAnsi="Tahoma" w:cs="Tahoma"/>
                <w:color w:val="000000"/>
                <w:sz w:val="18"/>
                <w:szCs w:val="18"/>
              </w:rPr>
            </w:pPr>
            <w:r w:rsidRPr="00EB4D74">
              <w:rPr>
                <w:rFonts w:ascii="Tahoma" w:hAnsi="Tahoma" w:cs="Tahoma"/>
                <w:color w:val="000000"/>
                <w:sz w:val="18"/>
                <w:szCs w:val="18"/>
                <w:lang w:val="pt-BR"/>
              </w:rPr>
              <w:t>Necessita de atenção imediata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4"/>
              </w:numPr>
              <w:spacing w:line="276" w:lineRule="auto"/>
              <w:rPr>
                <w:rFonts w:ascii="Tahoma" w:hAnsi="Tahoma" w:cs="Tahoma"/>
                <w:sz w:val="18"/>
                <w:szCs w:val="18"/>
                <w:lang w:val="it-IT"/>
              </w:rPr>
            </w:pPr>
            <w:r w:rsidRPr="00EB4D74">
              <w:rPr>
                <w:rFonts w:ascii="Tahoma" w:hAnsi="Tahoma" w:cs="Tahoma"/>
                <w:color w:val="000000"/>
                <w:sz w:val="18"/>
                <w:szCs w:val="18"/>
                <w:lang w:val="pt-BR"/>
              </w:rPr>
              <w:t>Resposta à 1ª chamada em 1 hora ou menos</w:t>
            </w:r>
          </w:p>
          <w:p w:rsidR="008B1196" w:rsidRPr="00EB4D74" w:rsidRDefault="008B1196" w:rsidP="00EA30FC">
            <w:pPr>
              <w:pStyle w:val="ListBullet3"/>
              <w:numPr>
                <w:ilvl w:val="0"/>
                <w:numId w:val="34"/>
              </w:numPr>
              <w:spacing w:line="276" w:lineRule="auto"/>
              <w:rPr>
                <w:rFonts w:ascii="Tahoma" w:hAnsi="Tahoma" w:cs="Tahoma"/>
                <w:sz w:val="18"/>
                <w:szCs w:val="18"/>
              </w:rPr>
            </w:pPr>
            <w:r w:rsidRPr="00EB4D74">
              <w:rPr>
                <w:rFonts w:ascii="Tahoma" w:hAnsi="Tahoma" w:cs="Tahoma"/>
                <w:color w:val="000000"/>
                <w:sz w:val="18"/>
                <w:szCs w:val="18"/>
                <w:lang w:val="pt-BR"/>
              </w:rPr>
              <w:t>Nossos Recursos serão encaminhados para o local do cliente o mais rápido possível</w:t>
            </w:r>
          </w:p>
          <w:p w:rsidR="008B1196" w:rsidRPr="00EB4D74" w:rsidRDefault="008B1196" w:rsidP="00EA30FC">
            <w:pPr>
              <w:pStyle w:val="ListBullet3"/>
              <w:numPr>
                <w:ilvl w:val="0"/>
                <w:numId w:val="34"/>
              </w:numPr>
              <w:spacing w:line="276" w:lineRule="auto"/>
              <w:rPr>
                <w:rFonts w:ascii="Tahoma" w:hAnsi="Tahoma" w:cs="Tahoma"/>
                <w:sz w:val="18"/>
                <w:szCs w:val="18"/>
              </w:rPr>
            </w:pPr>
            <w:r w:rsidRPr="00EB4D74">
              <w:rPr>
                <w:rFonts w:ascii="Tahoma" w:hAnsi="Tahoma" w:cs="Tahoma"/>
                <w:color w:val="000000"/>
                <w:sz w:val="18"/>
                <w:szCs w:val="18"/>
                <w:lang w:val="pt-BR"/>
              </w:rPr>
              <w:t>Esforço contínuo 24x7</w:t>
            </w:r>
          </w:p>
          <w:p w:rsidR="008B1196" w:rsidRPr="00EB4D74" w:rsidRDefault="008B1196" w:rsidP="00EA30FC">
            <w:pPr>
              <w:pStyle w:val="ListBullet3"/>
              <w:numPr>
                <w:ilvl w:val="0"/>
                <w:numId w:val="34"/>
              </w:numPr>
              <w:spacing w:line="276" w:lineRule="auto"/>
              <w:rPr>
                <w:rFonts w:ascii="Tahoma" w:hAnsi="Tahoma" w:cs="Tahoma"/>
                <w:sz w:val="18"/>
                <w:szCs w:val="18"/>
                <w:lang w:val="it-IT"/>
              </w:rPr>
            </w:pPr>
            <w:r w:rsidRPr="00EB4D74">
              <w:rPr>
                <w:rFonts w:ascii="Tahoma" w:hAnsi="Tahoma" w:cs="Tahoma"/>
                <w:color w:val="000000"/>
                <w:sz w:val="18"/>
                <w:szCs w:val="18"/>
                <w:lang w:val="pt-BR"/>
              </w:rPr>
              <w:t>Escalonamento rápido na Microsoft para equipes do Produto</w:t>
            </w:r>
          </w:p>
          <w:p w:rsidR="008B1196" w:rsidRPr="00EB4D74" w:rsidRDefault="008B1196" w:rsidP="00EA30FC">
            <w:pPr>
              <w:pStyle w:val="ListBullet3"/>
              <w:numPr>
                <w:ilvl w:val="0"/>
                <w:numId w:val="34"/>
              </w:numPr>
              <w:spacing w:line="276" w:lineRule="auto"/>
              <w:rPr>
                <w:rFonts w:ascii="Tahoma" w:hAnsi="Tahoma" w:cs="Tahoma"/>
                <w:color w:val="000000"/>
                <w:sz w:val="18"/>
                <w:szCs w:val="18"/>
              </w:rPr>
            </w:pPr>
            <w:r w:rsidRPr="00EB4D74">
              <w:rPr>
                <w:rFonts w:ascii="Tahoma" w:hAnsi="Tahoma" w:cs="Tahoma"/>
                <w:color w:val="000000"/>
                <w:sz w:val="18"/>
                <w:szCs w:val="18"/>
                <w:lang w:val="pt-BR"/>
              </w:rPr>
              <w:t>Notificação aos Executivos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5"/>
              </w:numPr>
              <w:spacing w:line="276" w:lineRule="auto"/>
              <w:rPr>
                <w:rFonts w:ascii="Tahoma" w:hAnsi="Tahoma" w:cs="Tahoma"/>
                <w:sz w:val="18"/>
                <w:szCs w:val="18"/>
              </w:rPr>
            </w:pPr>
            <w:r w:rsidRPr="00EB4D74">
              <w:rPr>
                <w:rFonts w:ascii="Tahoma" w:hAnsi="Tahoma" w:cs="Tahoma"/>
                <w:color w:val="000000"/>
                <w:sz w:val="18"/>
                <w:szCs w:val="18"/>
                <w:lang w:val="pt-BR"/>
              </w:rPr>
              <w:t>Notificação aos Executivos Sêniores do cliente</w:t>
            </w:r>
          </w:p>
          <w:p w:rsidR="008B1196" w:rsidRPr="00EB4D74" w:rsidRDefault="008B1196" w:rsidP="00EA30FC">
            <w:pPr>
              <w:pStyle w:val="ListBullet3"/>
              <w:numPr>
                <w:ilvl w:val="0"/>
                <w:numId w:val="35"/>
              </w:numPr>
              <w:spacing w:line="276" w:lineRule="auto"/>
              <w:rPr>
                <w:rFonts w:ascii="Tahoma" w:hAnsi="Tahoma" w:cs="Tahoma"/>
                <w:sz w:val="18"/>
                <w:szCs w:val="18"/>
              </w:rPr>
            </w:pPr>
            <w:r w:rsidRPr="00EB4D74">
              <w:rPr>
                <w:rFonts w:ascii="Tahoma" w:hAnsi="Tahoma" w:cs="Tahoma"/>
                <w:color w:val="000000"/>
                <w:sz w:val="18"/>
                <w:szCs w:val="18"/>
                <w:lang w:val="pt-BR"/>
              </w:rPr>
              <w:t>Alocação de recursos adequados para manter os esforços contínuos em uma base 24x7</w:t>
            </w:r>
            <w:r w:rsidRPr="00BC039F">
              <w:rPr>
                <w:rFonts w:ascii="Tahoma" w:hAnsi="Tahoma" w:cs="Tahoma"/>
                <w:color w:val="000000"/>
                <w:sz w:val="18"/>
                <w:szCs w:val="18"/>
                <w:vertAlign w:val="superscript"/>
                <w:lang w:val="pt-BR"/>
              </w:rPr>
              <w:t>2</w:t>
            </w:r>
          </w:p>
          <w:p w:rsidR="008B1196" w:rsidRPr="00EB4D74" w:rsidRDefault="008B1196" w:rsidP="00EA30FC">
            <w:pPr>
              <w:pStyle w:val="ListBullet3"/>
              <w:numPr>
                <w:ilvl w:val="0"/>
                <w:numId w:val="35"/>
              </w:numPr>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Acesso e resposta rápidos da autoridade de controle de alterações</w:t>
            </w:r>
          </w:p>
        </w:tc>
      </w:tr>
      <w:tr w:rsidR="008B1196" w:rsidRPr="00EB4D74"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A Solicitação apenas por telefone</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3"/>
              </w:numPr>
              <w:spacing w:line="276" w:lineRule="auto"/>
              <w:rPr>
                <w:rFonts w:ascii="Tahoma" w:hAnsi="Tahoma" w:cs="Tahoma"/>
                <w:sz w:val="18"/>
                <w:szCs w:val="18"/>
              </w:rPr>
            </w:pPr>
            <w:r w:rsidRPr="00EB4D74">
              <w:rPr>
                <w:rFonts w:ascii="Tahoma" w:hAnsi="Tahoma" w:cs="Tahoma"/>
                <w:color w:val="000000"/>
                <w:sz w:val="18"/>
                <w:szCs w:val="18"/>
                <w:lang w:val="pt-BR"/>
              </w:rPr>
              <w:t>Impacto crítico nos negócios:</w:t>
            </w:r>
          </w:p>
          <w:p w:rsidR="008B1196" w:rsidRPr="00EB4D74" w:rsidRDefault="008B1196" w:rsidP="00EA30FC">
            <w:pPr>
              <w:pStyle w:val="ListBullet3"/>
              <w:numPr>
                <w:ilvl w:val="0"/>
                <w:numId w:val="33"/>
              </w:numPr>
              <w:spacing w:line="276" w:lineRule="auto"/>
              <w:rPr>
                <w:rFonts w:ascii="Tahoma" w:hAnsi="Tahoma" w:cs="Tahoma"/>
                <w:sz w:val="18"/>
                <w:szCs w:val="18"/>
                <w:lang w:val="it-IT"/>
              </w:rPr>
            </w:pPr>
            <w:r w:rsidRPr="00EB4D74">
              <w:rPr>
                <w:rFonts w:ascii="Tahoma" w:hAnsi="Tahoma" w:cs="Tahoma"/>
                <w:color w:val="000000"/>
                <w:sz w:val="18"/>
                <w:szCs w:val="18"/>
                <w:lang w:val="pt-BR"/>
              </w:rPr>
              <w:t>Perda ou degradação significativa dos serviços</w:t>
            </w:r>
          </w:p>
          <w:p w:rsidR="008B1196" w:rsidRPr="00EB4D74" w:rsidRDefault="008B1196" w:rsidP="00EA30FC">
            <w:pPr>
              <w:pStyle w:val="ListBullet3"/>
              <w:numPr>
                <w:ilvl w:val="0"/>
                <w:numId w:val="33"/>
              </w:numPr>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Necessita de atenção em 1 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4"/>
              </w:numPr>
              <w:spacing w:line="276" w:lineRule="auto"/>
              <w:rPr>
                <w:rFonts w:ascii="Tahoma" w:hAnsi="Tahoma" w:cs="Tahoma"/>
                <w:sz w:val="18"/>
                <w:szCs w:val="18"/>
                <w:lang w:val="it-IT"/>
              </w:rPr>
            </w:pPr>
            <w:r w:rsidRPr="00EB4D74">
              <w:rPr>
                <w:rFonts w:ascii="Tahoma" w:hAnsi="Tahoma" w:cs="Tahoma"/>
                <w:color w:val="000000"/>
                <w:sz w:val="18"/>
                <w:szCs w:val="18"/>
                <w:lang w:val="pt-BR"/>
              </w:rPr>
              <w:t>Resposta à 1ª chamada em 1 hora ou menos</w:t>
            </w:r>
          </w:p>
          <w:p w:rsidR="008B1196" w:rsidRPr="00EB4D74" w:rsidRDefault="008B1196" w:rsidP="00EA30FC">
            <w:pPr>
              <w:pStyle w:val="ListBullet3"/>
              <w:numPr>
                <w:ilvl w:val="0"/>
                <w:numId w:val="34"/>
              </w:numPr>
              <w:spacing w:line="276" w:lineRule="auto"/>
              <w:rPr>
                <w:rFonts w:ascii="Tahoma" w:hAnsi="Tahoma" w:cs="Tahoma"/>
                <w:sz w:val="18"/>
                <w:szCs w:val="18"/>
              </w:rPr>
            </w:pPr>
            <w:r w:rsidRPr="00EB4D74">
              <w:rPr>
                <w:rFonts w:ascii="Tahoma" w:hAnsi="Tahoma" w:cs="Tahoma"/>
                <w:color w:val="000000"/>
                <w:sz w:val="18"/>
                <w:szCs w:val="18"/>
                <w:lang w:val="pt-BR"/>
              </w:rPr>
              <w:t>Nossos Recursos serão encaminhados ao local do cliente conforme a necessidade</w:t>
            </w:r>
          </w:p>
          <w:p w:rsidR="008B1196" w:rsidRPr="00EB4D74" w:rsidRDefault="008B1196" w:rsidP="00EA30FC">
            <w:pPr>
              <w:pStyle w:val="ListBullet3"/>
              <w:numPr>
                <w:ilvl w:val="0"/>
                <w:numId w:val="34"/>
              </w:numPr>
              <w:spacing w:line="276" w:lineRule="auto"/>
              <w:rPr>
                <w:rFonts w:ascii="Tahoma" w:hAnsi="Tahoma" w:cs="Tahoma"/>
                <w:sz w:val="18"/>
                <w:szCs w:val="18"/>
              </w:rPr>
            </w:pPr>
            <w:r w:rsidRPr="00EB4D74">
              <w:rPr>
                <w:rFonts w:ascii="Tahoma" w:hAnsi="Tahoma" w:cs="Tahoma"/>
                <w:color w:val="000000"/>
                <w:sz w:val="18"/>
                <w:szCs w:val="18"/>
                <w:lang w:val="pt-BR"/>
              </w:rPr>
              <w:t>Esforço contínuo 24x7</w:t>
            </w:r>
          </w:p>
          <w:p w:rsidR="008B1196" w:rsidRPr="00EB4D74" w:rsidRDefault="008B1196" w:rsidP="00EA30FC">
            <w:pPr>
              <w:pStyle w:val="ListBullet3"/>
              <w:numPr>
                <w:ilvl w:val="0"/>
                <w:numId w:val="34"/>
              </w:numPr>
              <w:spacing w:line="276" w:lineRule="auto"/>
              <w:rPr>
                <w:rFonts w:ascii="Tahoma" w:hAnsi="Tahoma" w:cs="Tahoma"/>
                <w:color w:val="000000"/>
                <w:sz w:val="18"/>
                <w:szCs w:val="18"/>
              </w:rPr>
            </w:pPr>
            <w:r w:rsidRPr="00EB4D74">
              <w:rPr>
                <w:rFonts w:ascii="Tahoma" w:hAnsi="Tahoma" w:cs="Tahoma"/>
                <w:color w:val="000000"/>
                <w:sz w:val="18"/>
                <w:szCs w:val="18"/>
                <w:lang w:val="pt-BR"/>
              </w:rPr>
              <w:t>Notificação aos Gerentes Sêniores da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5"/>
              </w:numPr>
              <w:spacing w:line="276" w:lineRule="auto"/>
              <w:rPr>
                <w:rFonts w:ascii="Tahoma" w:hAnsi="Tahoma" w:cs="Tahoma"/>
                <w:sz w:val="18"/>
                <w:szCs w:val="18"/>
              </w:rPr>
            </w:pPr>
            <w:r w:rsidRPr="00EB4D74">
              <w:rPr>
                <w:rFonts w:ascii="Tahoma" w:hAnsi="Tahoma" w:cs="Tahoma"/>
                <w:color w:val="000000"/>
                <w:sz w:val="18"/>
                <w:szCs w:val="18"/>
                <w:lang w:val="pt-BR"/>
              </w:rPr>
              <w:t>Alocação de recursos adequados para manter os esforços contínuos em uma base 24x7</w:t>
            </w:r>
            <w:r w:rsidRPr="00BC039F">
              <w:rPr>
                <w:rFonts w:ascii="Tahoma" w:hAnsi="Tahoma" w:cs="Tahoma"/>
                <w:color w:val="000000"/>
                <w:sz w:val="18"/>
                <w:szCs w:val="18"/>
                <w:vertAlign w:val="superscript"/>
                <w:lang w:val="pt-BR"/>
              </w:rPr>
              <w:t>2</w:t>
            </w:r>
          </w:p>
          <w:p w:rsidR="008B1196" w:rsidRPr="00EB4D74" w:rsidRDefault="008B1196" w:rsidP="00EA30FC">
            <w:pPr>
              <w:pStyle w:val="ListBullet3"/>
              <w:numPr>
                <w:ilvl w:val="0"/>
                <w:numId w:val="35"/>
              </w:numPr>
              <w:spacing w:line="276" w:lineRule="auto"/>
              <w:rPr>
                <w:rFonts w:ascii="Tahoma" w:hAnsi="Tahoma" w:cs="Tahoma"/>
                <w:sz w:val="18"/>
                <w:szCs w:val="18"/>
                <w:lang w:val="it-IT"/>
              </w:rPr>
            </w:pPr>
            <w:r w:rsidRPr="00EB4D74">
              <w:rPr>
                <w:rFonts w:ascii="Tahoma" w:hAnsi="Tahoma" w:cs="Tahoma"/>
                <w:color w:val="000000"/>
                <w:sz w:val="18"/>
                <w:szCs w:val="18"/>
                <w:lang w:val="pt-BR"/>
              </w:rPr>
              <w:t>Acesso e resposta rápidos da autoridade de controle de alterações</w:t>
            </w:r>
          </w:p>
          <w:p w:rsidR="008B1196" w:rsidRPr="00EB4D74" w:rsidRDefault="008B1196" w:rsidP="00EA30FC">
            <w:pPr>
              <w:pStyle w:val="ListBullet3"/>
              <w:numPr>
                <w:ilvl w:val="0"/>
                <w:numId w:val="35"/>
              </w:numPr>
              <w:spacing w:line="276" w:lineRule="auto"/>
              <w:rPr>
                <w:rFonts w:ascii="Tahoma" w:hAnsi="Tahoma" w:cs="Tahoma"/>
                <w:color w:val="000000"/>
                <w:sz w:val="18"/>
                <w:szCs w:val="18"/>
              </w:rPr>
            </w:pPr>
            <w:r w:rsidRPr="00EB4D74">
              <w:rPr>
                <w:rFonts w:ascii="Tahoma" w:hAnsi="Tahoma" w:cs="Tahoma"/>
                <w:color w:val="000000"/>
                <w:sz w:val="18"/>
                <w:szCs w:val="18"/>
                <w:lang w:val="pt-BR"/>
              </w:rPr>
              <w:t>Notificação à gerência</w:t>
            </w:r>
          </w:p>
        </w:tc>
      </w:tr>
      <w:tr w:rsidR="008B1196" w:rsidRPr="00EB4D74"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B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3"/>
              </w:numPr>
              <w:spacing w:line="276" w:lineRule="auto"/>
              <w:rPr>
                <w:rFonts w:ascii="Tahoma" w:hAnsi="Tahoma" w:cs="Tahoma"/>
                <w:sz w:val="18"/>
                <w:szCs w:val="18"/>
              </w:rPr>
            </w:pPr>
            <w:r w:rsidRPr="00EB4D74">
              <w:rPr>
                <w:rFonts w:ascii="Tahoma" w:hAnsi="Tahoma" w:cs="Tahoma"/>
                <w:color w:val="000000"/>
                <w:sz w:val="18"/>
                <w:szCs w:val="18"/>
                <w:lang w:val="pt-BR"/>
              </w:rPr>
              <w:t>Impacto moderado nos negócios:</w:t>
            </w:r>
          </w:p>
          <w:p w:rsidR="008B1196" w:rsidRPr="00EB4D74" w:rsidRDefault="008B1196" w:rsidP="00EA30FC">
            <w:pPr>
              <w:pStyle w:val="ListBullet3"/>
              <w:numPr>
                <w:ilvl w:val="0"/>
                <w:numId w:val="33"/>
              </w:numPr>
              <w:spacing w:line="276" w:lineRule="auto"/>
              <w:rPr>
                <w:rFonts w:ascii="Tahoma" w:hAnsi="Tahoma" w:cs="Tahoma"/>
                <w:sz w:val="18"/>
                <w:szCs w:val="18"/>
                <w:lang w:val="it-IT"/>
              </w:rPr>
            </w:pPr>
            <w:r w:rsidRPr="00EB4D74">
              <w:rPr>
                <w:rFonts w:ascii="Tahoma" w:hAnsi="Tahoma" w:cs="Tahoma"/>
                <w:color w:val="000000"/>
                <w:sz w:val="18"/>
                <w:szCs w:val="18"/>
                <w:lang w:val="pt-BR"/>
              </w:rPr>
              <w:t>Perda ou degradação moderada dos serviços, mas o trabalho pode razoavelmente continuar de maneira prejudicada</w:t>
            </w:r>
          </w:p>
          <w:p w:rsidR="008B1196" w:rsidRPr="00EB4D74" w:rsidRDefault="008B1196" w:rsidP="00EA30FC">
            <w:pPr>
              <w:pStyle w:val="ListBullet3"/>
              <w:numPr>
                <w:ilvl w:val="0"/>
                <w:numId w:val="33"/>
              </w:numPr>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Necessita de atenção dentro de 2 horas comerciais¹</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4"/>
              </w:numPr>
              <w:spacing w:line="276" w:lineRule="auto"/>
              <w:rPr>
                <w:rFonts w:ascii="Tahoma" w:hAnsi="Tahoma" w:cs="Tahoma"/>
                <w:sz w:val="18"/>
                <w:szCs w:val="18"/>
              </w:rPr>
            </w:pPr>
            <w:r w:rsidRPr="00EB4D74">
              <w:rPr>
                <w:rFonts w:ascii="Tahoma" w:hAnsi="Tahoma" w:cs="Tahoma"/>
                <w:color w:val="000000"/>
                <w:sz w:val="18"/>
                <w:szCs w:val="18"/>
                <w:lang w:val="pt-BR"/>
              </w:rPr>
              <w:t>Resposta à 1ª chamada em 2 horas ou menos</w:t>
            </w:r>
          </w:p>
          <w:p w:rsidR="008B1196" w:rsidRPr="00EB4D74" w:rsidRDefault="008B1196" w:rsidP="00EA30FC">
            <w:pPr>
              <w:pStyle w:val="ListBullet3"/>
              <w:numPr>
                <w:ilvl w:val="0"/>
                <w:numId w:val="34"/>
              </w:numPr>
              <w:spacing w:line="276" w:lineRule="auto"/>
              <w:rPr>
                <w:rFonts w:ascii="Tahoma" w:hAnsi="Tahoma" w:cs="Tahoma"/>
                <w:sz w:val="18"/>
                <w:szCs w:val="18"/>
                <w:lang w:val="it-IT"/>
              </w:rPr>
            </w:pPr>
            <w:r w:rsidRPr="00EB4D74">
              <w:rPr>
                <w:rFonts w:ascii="Tahoma" w:hAnsi="Tahoma" w:cs="Tahoma"/>
                <w:color w:val="000000"/>
                <w:sz w:val="18"/>
                <w:szCs w:val="18"/>
                <w:lang w:val="pt-BR"/>
              </w:rPr>
              <w:t>Esforço apenas durante o Horário Comercial¹</w:t>
            </w:r>
          </w:p>
          <w:p w:rsidR="008B1196" w:rsidRPr="00EB4D74" w:rsidRDefault="008B1196" w:rsidP="00EA30FC">
            <w:pPr>
              <w:pStyle w:val="ListBullet3"/>
              <w:tabs>
                <w:tab w:val="clear" w:pos="1080"/>
                <w:tab w:val="left" w:pos="720"/>
              </w:tabs>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5"/>
              </w:numPr>
              <w:spacing w:line="276" w:lineRule="auto"/>
              <w:rPr>
                <w:rFonts w:ascii="Tahoma" w:hAnsi="Tahoma" w:cs="Tahoma"/>
                <w:sz w:val="18"/>
                <w:szCs w:val="18"/>
              </w:rPr>
            </w:pPr>
            <w:r w:rsidRPr="00EB4D74">
              <w:rPr>
                <w:rFonts w:ascii="Tahoma" w:hAnsi="Tahoma" w:cs="Tahoma"/>
                <w:color w:val="000000"/>
                <w:sz w:val="18"/>
                <w:szCs w:val="18"/>
                <w:lang w:val="pt-BR"/>
              </w:rPr>
              <w:t>Alocação de recursos adequados para manter os esforços contínuos no Horário Comercial¹</w:t>
            </w:r>
          </w:p>
          <w:p w:rsidR="008B1196" w:rsidRPr="00EB4D74" w:rsidRDefault="008B1196" w:rsidP="00EA30FC">
            <w:pPr>
              <w:pStyle w:val="ListBullet3"/>
              <w:numPr>
                <w:ilvl w:val="0"/>
                <w:numId w:val="35"/>
              </w:numPr>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Acesso e resposta da autoridade de controle de alterações dentro de 4 horas comerciais¹</w:t>
            </w:r>
          </w:p>
        </w:tc>
      </w:tr>
      <w:tr w:rsidR="008B1196" w:rsidRPr="00EB4D74" w:rsidTr="00EA30FC">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tableclose"/>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C Solicitação por telefone ou pela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3"/>
              </w:numPr>
              <w:spacing w:line="276" w:lineRule="auto"/>
              <w:rPr>
                <w:rFonts w:ascii="Tahoma" w:hAnsi="Tahoma" w:cs="Tahoma"/>
                <w:sz w:val="18"/>
                <w:szCs w:val="18"/>
              </w:rPr>
            </w:pPr>
            <w:r w:rsidRPr="00EB4D74">
              <w:rPr>
                <w:rFonts w:ascii="Tahoma" w:hAnsi="Tahoma" w:cs="Tahoma"/>
                <w:color w:val="000000"/>
                <w:sz w:val="18"/>
                <w:szCs w:val="18"/>
                <w:lang w:val="pt-BR"/>
              </w:rPr>
              <w:t>Impacto mínimo nos negócios:</w:t>
            </w:r>
          </w:p>
          <w:p w:rsidR="008B1196" w:rsidRPr="00EB4D74" w:rsidRDefault="008B1196" w:rsidP="00EA30FC">
            <w:pPr>
              <w:pStyle w:val="ListBullet3"/>
              <w:numPr>
                <w:ilvl w:val="0"/>
                <w:numId w:val="33"/>
              </w:numPr>
              <w:spacing w:line="276" w:lineRule="auto"/>
              <w:rPr>
                <w:rFonts w:ascii="Tahoma" w:hAnsi="Tahoma" w:cs="Tahoma"/>
                <w:sz w:val="18"/>
                <w:szCs w:val="18"/>
                <w:lang w:val="it-IT"/>
              </w:rPr>
            </w:pPr>
            <w:r w:rsidRPr="00EB4D74">
              <w:rPr>
                <w:rFonts w:ascii="Tahoma" w:hAnsi="Tahoma" w:cs="Tahoma"/>
                <w:color w:val="000000"/>
                <w:sz w:val="18"/>
                <w:szCs w:val="18"/>
                <w:lang w:val="pt-BR"/>
              </w:rPr>
              <w:t>Funcionamento de forma substancial, com poucos ou nenhum impedimento dos serviços</w:t>
            </w:r>
          </w:p>
          <w:p w:rsidR="008B1196" w:rsidRPr="00EB4D74" w:rsidRDefault="008B1196" w:rsidP="00EA30FC">
            <w:pPr>
              <w:pStyle w:val="ListBullet3"/>
              <w:numPr>
                <w:ilvl w:val="0"/>
                <w:numId w:val="33"/>
              </w:numPr>
              <w:spacing w:line="276" w:lineRule="auto"/>
              <w:rPr>
                <w:rFonts w:ascii="Tahoma" w:hAnsi="Tahoma" w:cs="Tahoma"/>
                <w:color w:val="000000"/>
                <w:sz w:val="18"/>
                <w:szCs w:val="18"/>
                <w:lang w:val="it-IT"/>
              </w:rPr>
            </w:pPr>
            <w:r w:rsidRPr="00EB4D74">
              <w:rPr>
                <w:rFonts w:ascii="Tahoma" w:hAnsi="Tahoma" w:cs="Tahoma"/>
                <w:color w:val="000000"/>
                <w:sz w:val="18"/>
                <w:szCs w:val="18"/>
                <w:lang w:val="pt-BR"/>
              </w:rPr>
              <w:t>Necessita de atenção dentro de 4 horas comerciais¹</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4"/>
              </w:numPr>
              <w:spacing w:line="276" w:lineRule="auto"/>
              <w:rPr>
                <w:rFonts w:ascii="Tahoma" w:hAnsi="Tahoma" w:cs="Tahoma"/>
                <w:sz w:val="18"/>
                <w:szCs w:val="18"/>
              </w:rPr>
            </w:pPr>
            <w:r w:rsidRPr="00EB4D74">
              <w:rPr>
                <w:rFonts w:ascii="Tahoma" w:hAnsi="Tahoma" w:cs="Tahoma"/>
                <w:color w:val="000000"/>
                <w:sz w:val="18"/>
                <w:szCs w:val="18"/>
                <w:lang w:val="pt-BR"/>
              </w:rPr>
              <w:t>Resposta à 1ª chamada em 4 horas ou menos</w:t>
            </w:r>
          </w:p>
          <w:p w:rsidR="008B1196" w:rsidRPr="00EB4D74" w:rsidRDefault="008B1196" w:rsidP="00EA30FC">
            <w:pPr>
              <w:pStyle w:val="ListBullet3"/>
              <w:numPr>
                <w:ilvl w:val="0"/>
                <w:numId w:val="34"/>
              </w:numPr>
              <w:spacing w:line="276" w:lineRule="auto"/>
              <w:rPr>
                <w:rFonts w:ascii="Tahoma" w:hAnsi="Tahoma" w:cs="Tahoma"/>
                <w:sz w:val="18"/>
                <w:szCs w:val="18"/>
                <w:lang w:val="it-IT"/>
              </w:rPr>
            </w:pPr>
            <w:r w:rsidRPr="00EB4D74">
              <w:rPr>
                <w:rFonts w:ascii="Tahoma" w:hAnsi="Tahoma" w:cs="Tahoma"/>
                <w:color w:val="000000"/>
                <w:sz w:val="18"/>
                <w:szCs w:val="18"/>
                <w:lang w:val="pt-BR"/>
              </w:rPr>
              <w:t>Esforço apenas durante o Horário Comercial¹</w:t>
            </w:r>
          </w:p>
          <w:p w:rsidR="008B1196" w:rsidRPr="00EB4D74" w:rsidRDefault="008B1196" w:rsidP="00EA30FC">
            <w:pPr>
              <w:pStyle w:val="tableclose"/>
              <w:spacing w:line="276" w:lineRule="auto"/>
              <w:ind w:left="529" w:hanging="450"/>
              <w:rPr>
                <w:rFonts w:ascii="Tahoma" w:hAnsi="Tahoma" w:cs="Tahoma"/>
                <w:color w:val="000000"/>
                <w:sz w:val="18"/>
                <w:szCs w:val="18"/>
                <w:lang w:val="it-IT"/>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8B1196" w:rsidRPr="00EB4D74" w:rsidRDefault="008B1196" w:rsidP="00EA30FC">
            <w:pPr>
              <w:pStyle w:val="ListBullet3"/>
              <w:numPr>
                <w:ilvl w:val="0"/>
                <w:numId w:val="35"/>
              </w:numPr>
              <w:spacing w:line="276" w:lineRule="auto"/>
              <w:rPr>
                <w:rFonts w:ascii="Tahoma" w:hAnsi="Tahoma" w:cs="Tahoma"/>
                <w:sz w:val="18"/>
                <w:szCs w:val="18"/>
                <w:lang w:val="it-IT"/>
              </w:rPr>
            </w:pPr>
            <w:r w:rsidRPr="00EB4D74">
              <w:rPr>
                <w:rFonts w:ascii="Tahoma" w:hAnsi="Tahoma" w:cs="Tahoma"/>
                <w:color w:val="000000"/>
                <w:sz w:val="18"/>
                <w:szCs w:val="18"/>
                <w:lang w:val="pt-BR"/>
              </w:rPr>
              <w:t>Informações de contato precisas sobre o proprietário do caso</w:t>
            </w:r>
          </w:p>
          <w:p w:rsidR="008B1196" w:rsidRPr="00EB4D74" w:rsidRDefault="008B1196" w:rsidP="00EA30FC">
            <w:pPr>
              <w:pStyle w:val="ListBullet3"/>
              <w:numPr>
                <w:ilvl w:val="0"/>
                <w:numId w:val="35"/>
              </w:numPr>
              <w:spacing w:line="276" w:lineRule="auto"/>
              <w:rPr>
                <w:rFonts w:ascii="Tahoma" w:hAnsi="Tahoma" w:cs="Tahoma"/>
                <w:color w:val="000000"/>
                <w:sz w:val="18"/>
                <w:szCs w:val="18"/>
              </w:rPr>
            </w:pPr>
            <w:r w:rsidRPr="00EB4D74">
              <w:rPr>
                <w:rFonts w:ascii="Tahoma" w:hAnsi="Tahoma" w:cs="Tahoma"/>
                <w:color w:val="000000"/>
                <w:sz w:val="18"/>
                <w:szCs w:val="18"/>
                <w:lang w:val="pt-BR"/>
              </w:rPr>
              <w:t>Resposta dentro de 24 horas</w:t>
            </w:r>
          </w:p>
        </w:tc>
      </w:tr>
    </w:tbl>
    <w:p w:rsidR="008B1196" w:rsidRPr="00EB4D74" w:rsidRDefault="008B1196" w:rsidP="008B1196">
      <w:pPr>
        <w:pStyle w:val="tableclose"/>
        <w:rPr>
          <w:rFonts w:ascii="Tahoma" w:hAnsi="Tahoma" w:cs="Tahoma"/>
          <w:lang w:val="it-IT"/>
        </w:rPr>
      </w:pPr>
      <w:r w:rsidRPr="00EB4D74">
        <w:rPr>
          <w:rFonts w:ascii="Tahoma" w:hAnsi="Tahoma" w:cs="Tahoma"/>
          <w:i/>
          <w:color w:val="000000"/>
          <w:sz w:val="16"/>
          <w:vertAlign w:val="superscript"/>
          <w:lang w:val="pt-BR"/>
        </w:rPr>
        <w:t>1</w:t>
      </w:r>
      <w:r w:rsidRPr="00EB4D74">
        <w:rPr>
          <w:rFonts w:ascii="Tahoma" w:hAnsi="Tahoma" w:cs="Tahoma"/>
          <w:i/>
          <w:color w:val="000000"/>
          <w:sz w:val="16"/>
          <w:lang w:val="pt-BR"/>
        </w:rPr>
        <w:t xml:space="preserve"> O Horário Comercial é definido localmente.</w:t>
      </w:r>
    </w:p>
    <w:p w:rsidR="008B1196" w:rsidRPr="00EB4D74" w:rsidRDefault="008B1196" w:rsidP="008B1196">
      <w:pPr>
        <w:pStyle w:val="tableclose"/>
        <w:rPr>
          <w:rFonts w:ascii="Tahoma" w:hAnsi="Tahoma" w:cs="Tahoma"/>
          <w:lang w:val="it-IT"/>
        </w:rPr>
      </w:pPr>
      <w:r w:rsidRPr="00EB4D74">
        <w:rPr>
          <w:rFonts w:ascii="Tahoma" w:hAnsi="Tahoma" w:cs="Tahoma"/>
          <w:i/>
          <w:color w:val="000000"/>
          <w:sz w:val="16"/>
          <w:vertAlign w:val="superscript"/>
          <w:lang w:val="pt-BR"/>
        </w:rPr>
        <w:t>2</w:t>
      </w:r>
      <w:r w:rsidRPr="00EB4D74">
        <w:rPr>
          <w:rFonts w:ascii="Tahoma" w:hAnsi="Tahoma" w:cs="Tahoma"/>
          <w:i/>
          <w:color w:val="000000"/>
          <w:sz w:val="16"/>
          <w:lang w:val="pt-BR"/>
        </w:rPr>
        <w:t xml:space="preserve"> Pode ser necessário reduzir o nível de severidade se o cliente não puder fornecer os recursos ou as respostas adequadas para darmos continuidade aos esforços de resolução do problema.</w:t>
      </w:r>
    </w:p>
    <w:p w:rsidR="008B1196" w:rsidRPr="00EB4D74" w:rsidRDefault="008B1196" w:rsidP="008B1196">
      <w:pPr>
        <w:rPr>
          <w:rFonts w:cs="Tahoma"/>
          <w:lang w:val="it-IT"/>
        </w:rPr>
      </w:pPr>
    </w:p>
    <w:p w:rsidR="008B1196" w:rsidRPr="00EB4D74" w:rsidRDefault="008B1196" w:rsidP="008B1196">
      <w:pPr>
        <w:spacing w:after="120"/>
        <w:rPr>
          <w:rFonts w:cs="Tahoma"/>
          <w:lang w:val="it-IT"/>
        </w:rPr>
      </w:pPr>
      <w:r w:rsidRPr="00EB4D74">
        <w:rPr>
          <w:rFonts w:cs="Tahoma"/>
          <w:color w:val="000000"/>
          <w:lang w:val="pt-BR"/>
        </w:rPr>
        <w:lastRenderedPageBreak/>
        <w:t xml:space="preserve">Os </w:t>
      </w:r>
      <w:r w:rsidRPr="00EB4D74">
        <w:rPr>
          <w:rFonts w:cs="Tahoma"/>
          <w:b/>
          <w:color w:val="000000"/>
          <w:lang w:val="pt-BR"/>
        </w:rPr>
        <w:t>Serviços de Informações</w:t>
      </w:r>
      <w:r w:rsidRPr="00EB4D74">
        <w:rPr>
          <w:rFonts w:cs="Tahoma"/>
          <w:color w:val="000000"/>
          <w:lang w:val="pt-BR"/>
        </w:rPr>
        <w:t xml:space="preserve"> incluem o acesso ao site Premier e a webcasts de suporte regularmente agendados conduzidos por gerentes de programas, desenvolvedores e profissionais da Microsoft, que fornecem informações importantes sobre a tecnologia da Microsoft.</w:t>
      </w:r>
    </w:p>
    <w:p w:rsidR="008B1196" w:rsidRPr="00EB4D74" w:rsidRDefault="008B1196" w:rsidP="008B1196">
      <w:pPr>
        <w:rPr>
          <w:rFonts w:cs="Tahoma"/>
          <w:lang w:val="it-IT"/>
        </w:rPr>
      </w:pPr>
      <w:r w:rsidRPr="00EB4D74">
        <w:rPr>
          <w:rFonts w:cs="Tahoma"/>
          <w:color w:val="000000"/>
          <w:lang w:val="pt-BR"/>
        </w:rPr>
        <w:t xml:space="preserve">As </w:t>
      </w:r>
      <w:r w:rsidRPr="00EB4D74">
        <w:rPr>
          <w:rFonts w:cs="Tahoma"/>
          <w:b/>
          <w:color w:val="000000"/>
          <w:lang w:val="pt-BR"/>
        </w:rPr>
        <w:t xml:space="preserve">Horas Complementares </w:t>
      </w:r>
      <w:r w:rsidRPr="00EB4D74">
        <w:rPr>
          <w:rFonts w:cs="Tahoma"/>
          <w:color w:val="000000"/>
          <w:lang w:val="pt-BR"/>
        </w:rPr>
        <w:t>podem ser usadas para a Assistência de Suporte ou o Suporte para Resolução de Problemas.</w:t>
      </w:r>
    </w:p>
    <w:p w:rsidR="008B1196" w:rsidRPr="00EB4D74" w:rsidRDefault="008B1196" w:rsidP="008B1196">
      <w:pPr>
        <w:jc w:val="both"/>
        <w:rPr>
          <w:rFonts w:cs="Tahoma"/>
          <w:lang w:val="it-IT"/>
        </w:rPr>
      </w:pPr>
    </w:p>
    <w:p w:rsidR="008B1196" w:rsidRPr="00EB4D74" w:rsidRDefault="008B1196" w:rsidP="008B1196">
      <w:pPr>
        <w:rPr>
          <w:rFonts w:cs="Tahoma"/>
          <w:lang w:val="it-IT"/>
        </w:rPr>
      </w:pPr>
      <w:r w:rsidRPr="00EB4D74">
        <w:rPr>
          <w:rFonts w:cs="Tahoma"/>
          <w:b/>
          <w:color w:val="000000"/>
          <w:lang w:val="pt-BR"/>
        </w:rPr>
        <w:t xml:space="preserve">Regras Comerciais Associadas. </w:t>
      </w:r>
      <w:r w:rsidRPr="00EB4D74">
        <w:rPr>
          <w:rFonts w:cs="Tahoma"/>
          <w:color w:val="000000"/>
          <w:lang w:val="pt-BR"/>
        </w:rPr>
        <w:t>Todos os Serviços oferecem suporte a Produtos da Microsoft lançados comercialmente e disponível de maneira geral (a menos que especificamente excluído do site Microsoft Premier Online ou do site de Ciclo de Vida de Suporte da Microsoft). Geralmente, os Serviços serão cobrados de acordo com as horas, serão fornecidos de maneira remota e em inglês (a menos que outro idioma esteja disponível). Os Serviços serão fornecidos no país no qual o contrato VL foi assinado. As visitas no local não são pagas com antecedência e estão sujeitas à disponibilidade do recurso. Todos os Serviços que não forem consumidos em uma base anual serão perdidos. Mediante solicitação do cliente, nós podemos acessar o sistema dele por meio de conexão remota para analisar o problema. O cliente deve ter acesso à Internet para poder aproveitar os serviços com base na Internet.</w:t>
      </w:r>
    </w:p>
    <w:p w:rsidR="008B1196" w:rsidRPr="00EB4D74" w:rsidRDefault="008B1196" w:rsidP="008B1196">
      <w:pPr>
        <w:jc w:val="both"/>
        <w:rPr>
          <w:rFonts w:cs="Tahoma"/>
          <w:lang w:val="it-IT"/>
        </w:rPr>
      </w:pPr>
    </w:p>
    <w:p w:rsidR="008B1196" w:rsidRPr="00EB4D74" w:rsidRDefault="008B1196" w:rsidP="008B1196">
      <w:pPr>
        <w:jc w:val="both"/>
        <w:rPr>
          <w:rFonts w:cs="Tahoma"/>
          <w:lang w:val="it-IT"/>
        </w:rPr>
      </w:pPr>
    </w:p>
    <w:p w:rsidR="008B1196" w:rsidRPr="00EB4D74" w:rsidRDefault="008B1196" w:rsidP="008B1196">
      <w:pPr>
        <w:rPr>
          <w:rFonts w:cs="Tahoma"/>
        </w:rPr>
      </w:pPr>
      <w:r w:rsidRPr="00EB4D74">
        <w:rPr>
          <w:rFonts w:cs="Tahoma"/>
          <w:b/>
          <w:sz w:val="24"/>
          <w:lang w:val="pt-BR"/>
        </w:rPr>
        <w:t>Ofertas de Suporte do Microsoft Windows Azure</w:t>
      </w:r>
    </w:p>
    <w:p w:rsidR="008B1196" w:rsidRPr="00EB4D74" w:rsidRDefault="008B1196" w:rsidP="008B1196">
      <w:pPr>
        <w:rPr>
          <w:rFonts w:cs="Tahoma"/>
        </w:rPr>
      </w:pPr>
    </w:p>
    <w:p w:rsidR="008B1196" w:rsidRPr="00EB4D74" w:rsidRDefault="008B1196" w:rsidP="008B1196">
      <w:pPr>
        <w:jc w:val="both"/>
        <w:rPr>
          <w:rFonts w:cs="Tahoma"/>
        </w:rPr>
      </w:pPr>
      <w:r w:rsidRPr="00EB4D74">
        <w:rPr>
          <w:rFonts w:cs="Tahoma"/>
          <w:color w:val="000000"/>
          <w:lang w:val="pt-BR"/>
        </w:rPr>
        <w:t>A menos que seja especificado de outra forma abaixo, os Serviços de suporte do Windows Azure estão disponíveis para o Windows Azure.</w:t>
      </w:r>
    </w:p>
    <w:p w:rsidR="008B1196" w:rsidRPr="00EB4D74" w:rsidRDefault="008B1196" w:rsidP="008B1196">
      <w:pPr>
        <w:tabs>
          <w:tab w:val="left" w:pos="360"/>
        </w:tabs>
        <w:jc w:val="both"/>
        <w:rPr>
          <w:rFonts w:cs="Tahoma"/>
        </w:rPr>
      </w:pPr>
    </w:p>
    <w:p w:rsidR="008B1196" w:rsidRPr="00EB4D74" w:rsidRDefault="008B1196" w:rsidP="008B1196">
      <w:pPr>
        <w:tabs>
          <w:tab w:val="left" w:pos="360"/>
        </w:tabs>
        <w:jc w:val="both"/>
        <w:rPr>
          <w:rFonts w:cs="Tahoma"/>
          <w:lang w:val="it-IT"/>
        </w:rPr>
      </w:pPr>
      <w:r w:rsidRPr="00EB4D74">
        <w:rPr>
          <w:rFonts w:cs="Tahoma"/>
          <w:lang w:val="pt-BR"/>
        </w:rPr>
        <w:t>Os Serviços serão fornecidos pela equipe de Suporte do Windows Azure, que é composta pelos especialistas do Windows Azure que responderão às solicitações de suporte de um cliente para Windows Azure. Os clientes recebem uma experiência de suporte elevada com suporte disponível 24 horas por dia, 7 dias por semana.</w:t>
      </w:r>
    </w:p>
    <w:p w:rsidR="008B1196" w:rsidRPr="00EB4D74" w:rsidRDefault="008B1196" w:rsidP="008B1196">
      <w:pPr>
        <w:tabs>
          <w:tab w:val="left" w:pos="360"/>
        </w:tabs>
        <w:jc w:val="both"/>
        <w:rPr>
          <w:rFonts w:cs="Tahoma"/>
          <w:lang w:val="it-IT"/>
        </w:rPr>
      </w:pPr>
    </w:p>
    <w:p w:rsidR="008B1196" w:rsidRPr="00EB4D74" w:rsidRDefault="008B1196" w:rsidP="008B1196">
      <w:pPr>
        <w:tabs>
          <w:tab w:val="left" w:pos="360"/>
        </w:tabs>
        <w:jc w:val="both"/>
        <w:rPr>
          <w:rFonts w:cs="Tahoma"/>
          <w:lang w:val="it-IT"/>
        </w:rPr>
      </w:pPr>
      <w:r w:rsidRPr="00EB4D74">
        <w:rPr>
          <w:rFonts w:cs="Tahoma"/>
          <w:lang w:val="pt-BR"/>
        </w:rPr>
        <w:t>“Incidente” significa uma solicitação de suporte referente à falha ou interrupção e conserto (fix) assistida para um Problema Único de Suporte. “Problema Único de Suporte” significa um problema que não pode ser subdividido em problemas subordinados. Se o problema consistir em problemas subordinados, cada um será considerado um Incidente separado. Incidentes incluem o valor comercialmente razoável dos serviços necessários para solucionar o problema e auxiliar a resolver o problema de suporte. Incidentes podem ser enviados por meio do site de suporte online assistido em www.windowsazure.com.</w:t>
      </w:r>
    </w:p>
    <w:p w:rsidR="008B1196" w:rsidRPr="00EB4D74" w:rsidRDefault="008B1196" w:rsidP="008B1196">
      <w:pPr>
        <w:tabs>
          <w:tab w:val="left" w:pos="360"/>
        </w:tabs>
        <w:jc w:val="both"/>
        <w:rPr>
          <w:rFonts w:cs="Tahoma"/>
          <w:lang w:val="it-IT"/>
        </w:rPr>
      </w:pPr>
    </w:p>
    <w:p w:rsidR="008B1196" w:rsidRPr="00EB4D74" w:rsidRDefault="008B1196" w:rsidP="008B1196">
      <w:pPr>
        <w:tabs>
          <w:tab w:val="left" w:pos="360"/>
        </w:tabs>
        <w:jc w:val="both"/>
        <w:rPr>
          <w:rFonts w:cs="Tahoma"/>
          <w:lang w:val="pt-BR"/>
        </w:rPr>
      </w:pPr>
      <w:r w:rsidRPr="00EB4D74">
        <w:rPr>
          <w:rFonts w:cs="Tahoma"/>
          <w:lang w:val="pt-BR"/>
        </w:rPr>
        <w:t>Os Serviços serão fornecidos em inglês, salvo acordo contrário entre o cliente e a Microsoft por escrito. Serviços adicionais, inclusive serviços de suporte técnico, podem estar disponíveis para o Windows Azure mediante um contrato separado firmado entre as partes. Esses serviços adicionais serão regidos pelos termos do contrato separado.</w:t>
      </w:r>
    </w:p>
    <w:p w:rsidR="008B1196" w:rsidRPr="00EB4D74" w:rsidRDefault="008B1196" w:rsidP="008B1196">
      <w:pPr>
        <w:pStyle w:val="normal1"/>
        <w:jc w:val="both"/>
        <w:rPr>
          <w:rFonts w:ascii="Tahoma" w:hAnsi="Tahoma" w:cs="Tahoma"/>
          <w:sz w:val="18"/>
          <w:szCs w:val="18"/>
          <w:lang w:val="pt-BR"/>
        </w:rPr>
      </w:pPr>
    </w:p>
    <w:p w:rsidR="008B1196" w:rsidRPr="00EB4D74" w:rsidRDefault="008B1196" w:rsidP="008B1196">
      <w:pPr>
        <w:pStyle w:val="normal1"/>
        <w:jc w:val="both"/>
        <w:rPr>
          <w:rFonts w:ascii="Tahoma" w:hAnsi="Tahoma" w:cs="Tahoma"/>
          <w:sz w:val="18"/>
          <w:szCs w:val="18"/>
          <w:lang w:val="pt-BR"/>
        </w:rPr>
      </w:pPr>
    </w:p>
    <w:p w:rsidR="008B1196" w:rsidRPr="00EB4D74" w:rsidRDefault="008B1196" w:rsidP="008B1196">
      <w:pPr>
        <w:widowControl w:val="0"/>
        <w:tabs>
          <w:tab w:val="left" w:pos="720"/>
          <w:tab w:val="left" w:pos="1170"/>
        </w:tabs>
        <w:rPr>
          <w:rFonts w:cs="Tahoma"/>
          <w:lang w:val="pt-BR"/>
        </w:rPr>
      </w:pPr>
      <w:r w:rsidRPr="00EB4D74">
        <w:rPr>
          <w:rFonts w:cs="Tahoma"/>
          <w:b/>
          <w:sz w:val="24"/>
          <w:lang w:val="pt-BR"/>
        </w:rPr>
        <w:t>Suporte Profissional Direto para Windows Azure</w:t>
      </w:r>
    </w:p>
    <w:p w:rsidR="008B1196" w:rsidRPr="00EB4D74" w:rsidRDefault="008B1196" w:rsidP="008B1196">
      <w:pPr>
        <w:tabs>
          <w:tab w:val="left" w:pos="360"/>
        </w:tabs>
        <w:jc w:val="both"/>
        <w:rPr>
          <w:rFonts w:cs="Tahoma"/>
          <w:lang w:val="pt-BR"/>
        </w:rPr>
      </w:pPr>
    </w:p>
    <w:p w:rsidR="008B1196" w:rsidRPr="00EB4D74" w:rsidRDefault="008B1196" w:rsidP="008B1196">
      <w:pPr>
        <w:tabs>
          <w:tab w:val="left" w:pos="360"/>
        </w:tabs>
        <w:jc w:val="both"/>
        <w:rPr>
          <w:rFonts w:cs="Tahoma"/>
          <w:lang w:val="it-IT"/>
        </w:rPr>
      </w:pPr>
      <w:r w:rsidRPr="00EB4D74">
        <w:rPr>
          <w:rFonts w:cs="Tahoma"/>
          <w:color w:val="000000"/>
          <w:szCs w:val="18"/>
          <w:lang w:val="pt-BR"/>
        </w:rPr>
        <w:t xml:space="preserve">Os clientes são responsáveis pela definição do nível inicial de severidade ao consultar a Microsoft, mas os clientes podem solicitar uma alteração no nível de severidade a qualquer momento. A gravidade do incidente determinará os níveis de resposta na Microsoft, e o tempo estimado de resposta é definido na tabela a seguir. </w:t>
      </w:r>
      <w:r w:rsidRPr="00EB4D74">
        <w:rPr>
          <w:rFonts w:cs="Tahoma"/>
          <w:color w:val="000000"/>
          <w:lang w:val="pt-BR"/>
        </w:rPr>
        <w:t>A capacidade de a Microsoft prestar os serviços ao cliente depende da inteira e pontual cooperação desta, bem como da precisão e da integridade das informações fornecidas ao cliente.</w:t>
      </w:r>
    </w:p>
    <w:p w:rsidR="008B1196" w:rsidRPr="00EB4D74" w:rsidRDefault="008B1196" w:rsidP="008B1196">
      <w:pPr>
        <w:rPr>
          <w:rFonts w:cs="Tahoma"/>
          <w:lang w:val="it-IT"/>
        </w:rPr>
      </w:pPr>
    </w:p>
    <w:tbl>
      <w:tblPr>
        <w:tblW w:w="954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8B1196" w:rsidRPr="00EB4D74" w:rsidTr="00EA30FC">
        <w:trPr>
          <w:tblHeader/>
        </w:trPr>
        <w:tc>
          <w:tcPr>
            <w:tcW w:w="1347" w:type="dxa"/>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Severidade</w:t>
            </w:r>
          </w:p>
        </w:tc>
        <w:tc>
          <w:tcPr>
            <w:tcW w:w="1800" w:type="dxa"/>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Contato</w:t>
            </w:r>
          </w:p>
        </w:tc>
        <w:tc>
          <w:tcPr>
            <w:tcW w:w="3079" w:type="dxa"/>
            <w:shd w:val="clear" w:color="auto" w:fill="FABF8F"/>
          </w:tcPr>
          <w:p w:rsidR="008B1196" w:rsidRPr="00EB4D74" w:rsidRDefault="008B1196" w:rsidP="00EA30FC">
            <w:pPr>
              <w:jc w:val="center"/>
              <w:rPr>
                <w:rFonts w:cs="Tahoma"/>
                <w:b/>
                <w:bCs/>
                <w:color w:val="000000"/>
                <w:sz w:val="20"/>
                <w:szCs w:val="18"/>
              </w:rPr>
            </w:pPr>
            <w:r w:rsidRPr="00EB4D74">
              <w:rPr>
                <w:rFonts w:cs="Tahoma"/>
                <w:b/>
                <w:color w:val="000000"/>
                <w:sz w:val="20"/>
                <w:lang w:val="pt-BR"/>
              </w:rPr>
              <w:t>Situação do Cliente</w:t>
            </w:r>
          </w:p>
        </w:tc>
        <w:tc>
          <w:tcPr>
            <w:tcW w:w="3314" w:type="dxa"/>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Resposta Esperada da Microsoft</w:t>
            </w:r>
          </w:p>
        </w:tc>
      </w:tr>
      <w:tr w:rsidR="008B1196" w:rsidRPr="00EB4D74" w:rsidTr="00EA30FC">
        <w:tc>
          <w:tcPr>
            <w:tcW w:w="1347" w:type="dxa"/>
          </w:tcPr>
          <w:p w:rsidR="008B1196" w:rsidRPr="00EB4D74" w:rsidRDefault="008B1196" w:rsidP="00EA30FC">
            <w:pPr>
              <w:spacing w:after="60" w:line="240" w:lineRule="atLeast"/>
              <w:jc w:val="center"/>
              <w:rPr>
                <w:rFonts w:cs="Tahoma"/>
                <w:szCs w:val="18"/>
              </w:rPr>
            </w:pPr>
            <w:r w:rsidRPr="00EB4D74">
              <w:rPr>
                <w:rFonts w:cs="Tahoma"/>
                <w:szCs w:val="18"/>
              </w:rPr>
              <w:t>1</w:t>
            </w:r>
          </w:p>
        </w:tc>
        <w:tc>
          <w:tcPr>
            <w:tcW w:w="1800" w:type="dxa"/>
          </w:tcPr>
          <w:p w:rsidR="008B1196" w:rsidRPr="00EB4D74" w:rsidRDefault="008B1196" w:rsidP="00EA30FC">
            <w:pPr>
              <w:spacing w:after="60" w:line="240" w:lineRule="atLeast"/>
              <w:jc w:val="center"/>
              <w:rPr>
                <w:rFonts w:cs="Tahoma"/>
                <w:szCs w:val="18"/>
              </w:rPr>
            </w:pPr>
            <w:r w:rsidRPr="00EB4D74">
              <w:rPr>
                <w:rFonts w:cs="Tahoma"/>
                <w:lang w:val="pt-BR"/>
              </w:rPr>
              <w:t>Solicitação pela Web</w:t>
            </w:r>
          </w:p>
        </w:tc>
        <w:tc>
          <w:tcPr>
            <w:tcW w:w="3079" w:type="dxa"/>
          </w:tcPr>
          <w:p w:rsidR="008B1196" w:rsidRPr="00EB4D74" w:rsidRDefault="008B1196" w:rsidP="00EA30FC">
            <w:pPr>
              <w:spacing w:after="60" w:line="240" w:lineRule="atLeast"/>
              <w:rPr>
                <w:rFonts w:cs="Tahoma"/>
                <w:lang w:val="it-IT"/>
              </w:rPr>
            </w:pPr>
            <w:r w:rsidRPr="00EB4D74">
              <w:rPr>
                <w:rFonts w:cs="Tahoma"/>
                <w:szCs w:val="18"/>
                <w:lang w:val="pt-BR"/>
              </w:rPr>
              <w:t>Impacto catastrófico nos negócios:</w:t>
            </w:r>
          </w:p>
          <w:p w:rsidR="008B1196" w:rsidRPr="00EB4D74" w:rsidRDefault="008B1196" w:rsidP="00EA30FC">
            <w:pPr>
              <w:spacing w:after="60" w:line="240" w:lineRule="atLeast"/>
              <w:rPr>
                <w:rFonts w:cs="Tahoma"/>
                <w:lang w:val="it-IT"/>
              </w:rPr>
            </w:pPr>
            <w:r w:rsidRPr="00EB4D74">
              <w:rPr>
                <w:rFonts w:cs="Tahoma"/>
                <w:lang w:val="pt-BR"/>
              </w:rPr>
              <w:t>Perda total de um processo comercial essencial (crítico) e não é possível dar continuidade ao trabalho de maneira razoável</w:t>
            </w:r>
          </w:p>
          <w:p w:rsidR="008B1196" w:rsidRPr="00EB4D74" w:rsidRDefault="008B1196" w:rsidP="00EA30FC">
            <w:pPr>
              <w:spacing w:after="60" w:line="240" w:lineRule="atLeast"/>
              <w:rPr>
                <w:rFonts w:cs="Tahoma"/>
                <w:szCs w:val="18"/>
              </w:rPr>
            </w:pPr>
            <w:r w:rsidRPr="00EB4D74">
              <w:rPr>
                <w:rFonts w:cs="Tahoma"/>
                <w:lang w:val="pt-BR"/>
              </w:rPr>
              <w:t>Necessita de atenção imediata</w:t>
            </w:r>
          </w:p>
        </w:tc>
        <w:tc>
          <w:tcPr>
            <w:tcW w:w="3314" w:type="dxa"/>
          </w:tcPr>
          <w:p w:rsidR="008B1196" w:rsidRPr="00EB4D74" w:rsidRDefault="008B1196" w:rsidP="00EA30FC">
            <w:pPr>
              <w:spacing w:after="60" w:line="240" w:lineRule="atLeast"/>
              <w:rPr>
                <w:rFonts w:cs="Tahoma"/>
                <w:lang w:val="it-IT"/>
              </w:rPr>
            </w:pPr>
            <w:r w:rsidRPr="00EB4D74">
              <w:rPr>
                <w:rFonts w:cs="Tahoma"/>
                <w:lang w:val="pt-BR"/>
              </w:rPr>
              <w:t>1ª resposta em 1 hora ou menos</w:t>
            </w:r>
          </w:p>
          <w:p w:rsidR="008B1196" w:rsidRPr="00EB4D74" w:rsidRDefault="008B1196" w:rsidP="00EA30FC">
            <w:pPr>
              <w:spacing w:after="60" w:line="240" w:lineRule="atLeast"/>
              <w:rPr>
                <w:rFonts w:cs="Tahoma"/>
                <w:szCs w:val="18"/>
                <w:lang w:val="it-IT"/>
              </w:rPr>
            </w:pPr>
          </w:p>
        </w:tc>
      </w:tr>
      <w:tr w:rsidR="008B1196" w:rsidRPr="00EB4D74" w:rsidTr="00EA30FC">
        <w:trPr>
          <w:cantSplit/>
        </w:trPr>
        <w:tc>
          <w:tcPr>
            <w:tcW w:w="1347" w:type="dxa"/>
          </w:tcPr>
          <w:p w:rsidR="008B1196" w:rsidRPr="00EB4D74" w:rsidRDefault="008B1196" w:rsidP="00EA30FC">
            <w:pPr>
              <w:spacing w:after="60" w:line="240" w:lineRule="atLeast"/>
              <w:jc w:val="center"/>
              <w:rPr>
                <w:rFonts w:cs="Tahoma"/>
                <w:szCs w:val="18"/>
              </w:rPr>
            </w:pPr>
            <w:r w:rsidRPr="00EB4D74">
              <w:rPr>
                <w:rFonts w:cs="Tahoma"/>
                <w:szCs w:val="18"/>
                <w:lang w:val="pt-BR"/>
              </w:rPr>
              <w:lastRenderedPageBreak/>
              <w:t>A</w:t>
            </w:r>
          </w:p>
        </w:tc>
        <w:tc>
          <w:tcPr>
            <w:tcW w:w="1800" w:type="dxa"/>
          </w:tcPr>
          <w:p w:rsidR="008B1196" w:rsidRPr="00EB4D74" w:rsidRDefault="008B1196" w:rsidP="00EA30FC">
            <w:pPr>
              <w:spacing w:after="60" w:line="240" w:lineRule="atLeast"/>
              <w:jc w:val="center"/>
              <w:rPr>
                <w:rFonts w:cs="Tahoma"/>
                <w:szCs w:val="18"/>
              </w:rPr>
            </w:pPr>
            <w:r w:rsidRPr="00EB4D74">
              <w:rPr>
                <w:rFonts w:cs="Tahoma"/>
                <w:lang w:val="pt-BR"/>
              </w:rPr>
              <w:t>Solicitação pela Web</w:t>
            </w:r>
          </w:p>
        </w:tc>
        <w:tc>
          <w:tcPr>
            <w:tcW w:w="3079" w:type="dxa"/>
          </w:tcPr>
          <w:p w:rsidR="008B1196" w:rsidRPr="00EB4D74" w:rsidRDefault="008B1196" w:rsidP="00EA30FC">
            <w:pPr>
              <w:spacing w:after="60" w:line="240" w:lineRule="atLeast"/>
              <w:rPr>
                <w:rFonts w:cs="Tahoma"/>
                <w:lang w:val="it-IT"/>
              </w:rPr>
            </w:pPr>
            <w:r w:rsidRPr="00EB4D74">
              <w:rPr>
                <w:rFonts w:cs="Tahoma"/>
                <w:lang w:val="pt-BR"/>
              </w:rPr>
              <w:t>Impacto crítico nos negócios:</w:t>
            </w:r>
          </w:p>
          <w:p w:rsidR="008B1196" w:rsidRPr="00EB4D74" w:rsidRDefault="008B1196" w:rsidP="00EA30FC">
            <w:pPr>
              <w:spacing w:after="60" w:line="240" w:lineRule="atLeast"/>
              <w:rPr>
                <w:rFonts w:cs="Tahoma"/>
                <w:lang w:val="it-IT"/>
              </w:rPr>
            </w:pPr>
            <w:r w:rsidRPr="00EB4D74">
              <w:rPr>
                <w:rFonts w:cs="Tahoma"/>
                <w:lang w:val="pt-BR"/>
              </w:rPr>
              <w:t>Perda ou degradação significativa de serviços (aplicativo inativo)</w:t>
            </w:r>
          </w:p>
          <w:p w:rsidR="008B1196" w:rsidRPr="00EB4D74" w:rsidRDefault="008B1196" w:rsidP="00EA30FC">
            <w:pPr>
              <w:spacing w:after="60" w:line="240" w:lineRule="atLeast"/>
              <w:rPr>
                <w:rFonts w:cs="Tahoma"/>
                <w:szCs w:val="18"/>
                <w:lang w:val="it-IT"/>
              </w:rPr>
            </w:pPr>
            <w:r w:rsidRPr="00EB4D74">
              <w:rPr>
                <w:rFonts w:cs="Tahoma"/>
                <w:lang w:val="pt-BR"/>
              </w:rPr>
              <w:t>Necessita de atenção em 1 hora</w:t>
            </w:r>
          </w:p>
        </w:tc>
        <w:tc>
          <w:tcPr>
            <w:tcW w:w="3314" w:type="dxa"/>
          </w:tcPr>
          <w:p w:rsidR="008B1196" w:rsidRPr="00EB4D74" w:rsidRDefault="008B1196" w:rsidP="00EA30FC">
            <w:pPr>
              <w:spacing w:after="60" w:line="240" w:lineRule="atLeast"/>
              <w:rPr>
                <w:rFonts w:cs="Tahoma"/>
                <w:lang w:val="it-IT"/>
              </w:rPr>
            </w:pPr>
            <w:r w:rsidRPr="00EB4D74">
              <w:rPr>
                <w:rFonts w:cs="Tahoma"/>
                <w:lang w:val="pt-BR"/>
              </w:rPr>
              <w:t>1ª resposta em 1 hora ou menos</w:t>
            </w:r>
          </w:p>
          <w:p w:rsidR="008B1196" w:rsidRPr="00EB4D74" w:rsidRDefault="008B1196" w:rsidP="00EA30FC">
            <w:pPr>
              <w:spacing w:after="60" w:line="240" w:lineRule="atLeast"/>
              <w:rPr>
                <w:rFonts w:cs="Tahoma"/>
                <w:szCs w:val="18"/>
                <w:lang w:val="it-IT"/>
              </w:rPr>
            </w:pPr>
          </w:p>
        </w:tc>
      </w:tr>
      <w:tr w:rsidR="008B1196" w:rsidRPr="00EB4D74" w:rsidTr="00EA30FC">
        <w:tc>
          <w:tcPr>
            <w:tcW w:w="1347" w:type="dxa"/>
          </w:tcPr>
          <w:p w:rsidR="008B1196" w:rsidRPr="00EB4D74" w:rsidRDefault="008B1196" w:rsidP="00EA30FC">
            <w:pPr>
              <w:spacing w:after="60" w:line="240" w:lineRule="atLeast"/>
              <w:jc w:val="center"/>
              <w:rPr>
                <w:rFonts w:cs="Tahoma"/>
                <w:szCs w:val="18"/>
              </w:rPr>
            </w:pPr>
            <w:r w:rsidRPr="00EB4D74">
              <w:rPr>
                <w:rFonts w:cs="Tahoma"/>
                <w:szCs w:val="18"/>
                <w:lang w:val="pt-BR"/>
              </w:rPr>
              <w:t>B</w:t>
            </w:r>
          </w:p>
        </w:tc>
        <w:tc>
          <w:tcPr>
            <w:tcW w:w="1800" w:type="dxa"/>
          </w:tcPr>
          <w:p w:rsidR="008B1196" w:rsidRPr="00EB4D74" w:rsidRDefault="008B1196" w:rsidP="00EA30FC">
            <w:pPr>
              <w:spacing w:after="60" w:line="240" w:lineRule="atLeast"/>
              <w:jc w:val="center"/>
              <w:rPr>
                <w:rFonts w:cs="Tahoma"/>
                <w:szCs w:val="18"/>
              </w:rPr>
            </w:pPr>
            <w:r w:rsidRPr="00EB4D74">
              <w:rPr>
                <w:rFonts w:cs="Tahoma"/>
                <w:lang w:val="pt-BR"/>
              </w:rPr>
              <w:t>Solicitação pela Web</w:t>
            </w:r>
          </w:p>
        </w:tc>
        <w:tc>
          <w:tcPr>
            <w:tcW w:w="3079" w:type="dxa"/>
          </w:tcPr>
          <w:p w:rsidR="008B1196" w:rsidRPr="00EB4D74" w:rsidRDefault="008B1196" w:rsidP="00EA30FC">
            <w:pPr>
              <w:spacing w:after="60" w:line="240" w:lineRule="atLeast"/>
              <w:rPr>
                <w:rFonts w:cs="Tahoma"/>
                <w:lang w:val="it-IT"/>
              </w:rPr>
            </w:pPr>
            <w:r w:rsidRPr="00EB4D74">
              <w:rPr>
                <w:rFonts w:cs="Tahoma"/>
                <w:szCs w:val="18"/>
                <w:lang w:val="pt-BR"/>
              </w:rPr>
              <w:t>Impacto moderado nos negócios:</w:t>
            </w:r>
          </w:p>
          <w:p w:rsidR="008B1196" w:rsidRPr="00EB4D74" w:rsidRDefault="008B1196" w:rsidP="00EA30FC">
            <w:pPr>
              <w:spacing w:line="240" w:lineRule="atLeast"/>
              <w:rPr>
                <w:rFonts w:cs="Tahoma"/>
                <w:lang w:val="it-IT"/>
              </w:rPr>
            </w:pPr>
            <w:r w:rsidRPr="00EB4D74">
              <w:rPr>
                <w:rFonts w:cs="Tahoma"/>
                <w:lang w:val="pt-BR"/>
              </w:rPr>
              <w:t>Perda ou degradação moderada dos serviços, mas o trabalho pode razoavelmente continuar de maneira prejudicada</w:t>
            </w:r>
          </w:p>
          <w:p w:rsidR="008B1196" w:rsidRPr="00EB4D74" w:rsidRDefault="008B1196" w:rsidP="00EA30FC">
            <w:pPr>
              <w:spacing w:after="60" w:line="240" w:lineRule="atLeast"/>
              <w:rPr>
                <w:rFonts w:cs="Tahoma"/>
                <w:szCs w:val="18"/>
                <w:lang w:val="it-IT"/>
              </w:rPr>
            </w:pPr>
            <w:r w:rsidRPr="00EB4D74">
              <w:rPr>
                <w:rFonts w:cs="Tahoma"/>
                <w:lang w:val="pt-BR"/>
              </w:rPr>
              <w:t>Necessita de atenção em 2 horas</w:t>
            </w:r>
          </w:p>
        </w:tc>
        <w:tc>
          <w:tcPr>
            <w:tcW w:w="3314" w:type="dxa"/>
          </w:tcPr>
          <w:p w:rsidR="008B1196" w:rsidRPr="00EB4D74" w:rsidRDefault="008B1196" w:rsidP="00EA30FC">
            <w:pPr>
              <w:spacing w:line="240" w:lineRule="atLeast"/>
              <w:rPr>
                <w:rFonts w:cs="Tahoma"/>
              </w:rPr>
            </w:pPr>
            <w:r w:rsidRPr="00EB4D74">
              <w:rPr>
                <w:rFonts w:cs="Tahoma"/>
                <w:lang w:val="pt-BR"/>
              </w:rPr>
              <w:t>1ª resposta em 2 horas ou menos</w:t>
            </w:r>
          </w:p>
          <w:p w:rsidR="008B1196" w:rsidRPr="00EB4D74" w:rsidRDefault="008B1196" w:rsidP="00EA30FC">
            <w:pPr>
              <w:spacing w:after="60" w:line="240" w:lineRule="atLeast"/>
              <w:rPr>
                <w:rFonts w:cs="Tahoma"/>
                <w:szCs w:val="18"/>
              </w:rPr>
            </w:pPr>
          </w:p>
        </w:tc>
      </w:tr>
      <w:tr w:rsidR="008B1196" w:rsidRPr="00EB4D74" w:rsidTr="00EA30FC">
        <w:tc>
          <w:tcPr>
            <w:tcW w:w="1347" w:type="dxa"/>
          </w:tcPr>
          <w:p w:rsidR="008B1196" w:rsidRPr="00EB4D74" w:rsidRDefault="008B1196" w:rsidP="00EA30FC">
            <w:pPr>
              <w:spacing w:after="60" w:line="240" w:lineRule="atLeast"/>
              <w:jc w:val="center"/>
              <w:rPr>
                <w:rFonts w:cs="Tahoma"/>
                <w:szCs w:val="18"/>
              </w:rPr>
            </w:pPr>
            <w:r w:rsidRPr="00EB4D74">
              <w:rPr>
                <w:rFonts w:cs="Tahoma"/>
                <w:szCs w:val="18"/>
                <w:lang w:val="pt-BR"/>
              </w:rPr>
              <w:t>C</w:t>
            </w:r>
          </w:p>
        </w:tc>
        <w:tc>
          <w:tcPr>
            <w:tcW w:w="1800" w:type="dxa"/>
          </w:tcPr>
          <w:p w:rsidR="008B1196" w:rsidRPr="00EB4D74" w:rsidRDefault="008B1196" w:rsidP="00EA30FC">
            <w:pPr>
              <w:spacing w:after="60" w:line="240" w:lineRule="atLeast"/>
              <w:jc w:val="center"/>
              <w:rPr>
                <w:rFonts w:cs="Tahoma"/>
                <w:szCs w:val="18"/>
              </w:rPr>
            </w:pPr>
            <w:r w:rsidRPr="00EB4D74">
              <w:rPr>
                <w:rFonts w:cs="Tahoma"/>
                <w:szCs w:val="18"/>
                <w:lang w:val="pt-BR"/>
              </w:rPr>
              <w:t>Solicitação pela Web</w:t>
            </w:r>
          </w:p>
        </w:tc>
        <w:tc>
          <w:tcPr>
            <w:tcW w:w="3079" w:type="dxa"/>
          </w:tcPr>
          <w:p w:rsidR="008B1196" w:rsidRPr="00EB4D74" w:rsidRDefault="008B1196" w:rsidP="00EA30FC">
            <w:pPr>
              <w:rPr>
                <w:rFonts w:cs="Tahoma"/>
                <w:lang w:val="it-IT"/>
              </w:rPr>
            </w:pPr>
            <w:r w:rsidRPr="00EB4D74">
              <w:rPr>
                <w:rFonts w:cs="Tahoma"/>
                <w:lang w:val="pt-BR"/>
              </w:rPr>
              <w:t>Impacto mínimo nos negócios:</w:t>
            </w:r>
          </w:p>
          <w:p w:rsidR="008B1196" w:rsidRPr="00EB4D74" w:rsidRDefault="008B1196" w:rsidP="00EA30FC">
            <w:pPr>
              <w:rPr>
                <w:rFonts w:cs="Tahoma"/>
                <w:lang w:val="it-IT"/>
              </w:rPr>
            </w:pPr>
            <w:r w:rsidRPr="00EB4D74">
              <w:rPr>
                <w:rFonts w:cs="Tahoma"/>
                <w:lang w:val="pt-BR"/>
              </w:rPr>
              <w:t>Funcionamento de forma substancial, com poucos ou nenhum impedimento dos serviços</w:t>
            </w:r>
          </w:p>
          <w:p w:rsidR="008B1196" w:rsidRPr="00EB4D74" w:rsidRDefault="008B1196" w:rsidP="00EA30FC">
            <w:pPr>
              <w:spacing w:after="60" w:line="240" w:lineRule="atLeast"/>
              <w:rPr>
                <w:rFonts w:cs="Tahoma"/>
                <w:szCs w:val="18"/>
                <w:lang w:val="it-IT"/>
              </w:rPr>
            </w:pPr>
            <w:r w:rsidRPr="00EB4D74">
              <w:rPr>
                <w:rFonts w:cs="Tahoma"/>
                <w:lang w:val="pt-BR"/>
              </w:rPr>
              <w:t>Necessita de atenção em 4 horas</w:t>
            </w:r>
          </w:p>
        </w:tc>
        <w:tc>
          <w:tcPr>
            <w:tcW w:w="3314" w:type="dxa"/>
          </w:tcPr>
          <w:p w:rsidR="008B1196" w:rsidRPr="00EB4D74" w:rsidRDefault="008B1196" w:rsidP="00EA30FC">
            <w:pPr>
              <w:rPr>
                <w:rFonts w:cs="Tahoma"/>
              </w:rPr>
            </w:pPr>
            <w:r w:rsidRPr="00EB4D74">
              <w:rPr>
                <w:rFonts w:cs="Tahoma"/>
                <w:lang w:val="pt-BR"/>
              </w:rPr>
              <w:t>1ª resposta em 4 horas ou menos</w:t>
            </w:r>
          </w:p>
          <w:p w:rsidR="008B1196" w:rsidRPr="00EB4D74" w:rsidRDefault="008B1196" w:rsidP="00EA30FC">
            <w:pPr>
              <w:spacing w:line="240" w:lineRule="atLeast"/>
              <w:rPr>
                <w:rFonts w:cs="Tahoma"/>
                <w:szCs w:val="18"/>
              </w:rPr>
            </w:pPr>
          </w:p>
        </w:tc>
      </w:tr>
    </w:tbl>
    <w:p w:rsidR="008B1196" w:rsidRPr="00EB4D74" w:rsidRDefault="008B1196" w:rsidP="008B1196">
      <w:pPr>
        <w:rPr>
          <w:rFonts w:cs="Tahoma"/>
        </w:rPr>
      </w:pPr>
    </w:p>
    <w:p w:rsidR="008B1196" w:rsidRPr="00EB4D74" w:rsidRDefault="008B1196" w:rsidP="008B1196">
      <w:pPr>
        <w:tabs>
          <w:tab w:val="left" w:pos="360"/>
        </w:tabs>
        <w:jc w:val="both"/>
        <w:rPr>
          <w:rFonts w:cs="Tahoma"/>
          <w:lang w:val="it-IT"/>
        </w:rPr>
      </w:pPr>
      <w:r w:rsidRPr="00EB4D74">
        <w:rPr>
          <w:rFonts w:cs="Tahoma"/>
          <w:b/>
          <w:color w:val="000000"/>
          <w:lang w:val="pt-BR"/>
        </w:rPr>
        <w:t>Serviços Adicionais de Escalonamento</w:t>
      </w:r>
      <w:r w:rsidRPr="00EB4D74">
        <w:rPr>
          <w:rFonts w:cs="Tahoma"/>
          <w:color w:val="000000"/>
          <w:lang w:val="pt-BR"/>
        </w:rPr>
        <w:t xml:space="preserve">. Além dos Serviços descritos acima, os clientes do Suporte </w:t>
      </w:r>
      <w:r w:rsidRPr="00EB4D74">
        <w:rPr>
          <w:rFonts w:cs="Tahoma"/>
          <w:lang w:val="pt-BR"/>
        </w:rPr>
        <w:t xml:space="preserve">Profissional Direto para Windows Azure recebem ajuda na coordenação do suporte e relacionamento de serviços para </w:t>
      </w:r>
      <w:r w:rsidRPr="00EB4D74">
        <w:rPr>
          <w:rFonts w:cs="Tahoma"/>
          <w:color w:val="000000"/>
          <w:lang w:val="pt-BR"/>
        </w:rPr>
        <w:t>Windows Azure. Esses serviços são fornecidos pelo pessoal de serviços (“</w:t>
      </w:r>
      <w:r w:rsidRPr="00EB4D74">
        <w:rPr>
          <w:rFonts w:cs="Tahoma"/>
          <w:b/>
          <w:color w:val="000000"/>
          <w:lang w:val="pt-BR"/>
        </w:rPr>
        <w:t>Representantes de Escalonamento</w:t>
      </w:r>
      <w:r w:rsidRPr="00EB4D74">
        <w:rPr>
          <w:rFonts w:cs="Tahoma"/>
          <w:color w:val="000000"/>
          <w:lang w:val="pt-BR"/>
        </w:rPr>
        <w:t xml:space="preserve">”). </w:t>
      </w:r>
      <w:r w:rsidRPr="00EB4D74">
        <w:rPr>
          <w:rFonts w:cs="Tahoma"/>
          <w:lang w:val="pt-BR"/>
        </w:rPr>
        <w:t xml:space="preserve">Os Representantes de Escalonamento são advogados do cliente na Microsoft e facilitam a coordenação com as equipes que podem fornecer o suporte técnico disponível para os Serviços Online. Os Representantes de Escalonamento também atuam como o ponto de fornecimento de informações e encaminham o feedback do cliente sobre os Serviços aos outros grupos da Microsoft. </w:t>
      </w:r>
      <w:r w:rsidRPr="00EB4D74">
        <w:rPr>
          <w:rFonts w:cs="Tahoma"/>
          <w:color w:val="000000"/>
          <w:lang w:val="pt-BR"/>
        </w:rPr>
        <w:t>Os Representantes de Escalonamento podem ainda prestar os Serviços adicionais a seguir:</w:t>
      </w:r>
    </w:p>
    <w:p w:rsidR="008B1196" w:rsidRPr="00EB4D74" w:rsidRDefault="008B1196" w:rsidP="008B1196">
      <w:pPr>
        <w:tabs>
          <w:tab w:val="left" w:pos="360"/>
        </w:tabs>
        <w:jc w:val="both"/>
        <w:rPr>
          <w:rFonts w:cs="Tahoma"/>
          <w:lang w:val="it-IT"/>
        </w:rPr>
      </w:pPr>
    </w:p>
    <w:p w:rsidR="008B1196" w:rsidRPr="00EB4D74" w:rsidRDefault="008B1196" w:rsidP="008B1196">
      <w:pPr>
        <w:numPr>
          <w:ilvl w:val="0"/>
          <w:numId w:val="63"/>
        </w:numPr>
        <w:tabs>
          <w:tab w:val="clear" w:pos="720"/>
        </w:tabs>
        <w:spacing w:after="60"/>
        <w:ind w:left="1440"/>
        <w:jc w:val="both"/>
        <w:rPr>
          <w:rFonts w:cs="Tahoma"/>
          <w:lang w:val="it-IT"/>
        </w:rPr>
      </w:pPr>
      <w:r w:rsidRPr="00EB4D74">
        <w:rPr>
          <w:rFonts w:cs="Tahoma"/>
          <w:b/>
          <w:color w:val="000000"/>
          <w:lang w:val="pt-BR"/>
        </w:rPr>
        <w:t xml:space="preserve">Planejamento e Facilitação de Recursos. </w:t>
      </w:r>
      <w:r w:rsidRPr="00EB4D74">
        <w:rPr>
          <w:rFonts w:cs="Tahoma"/>
          <w:lang w:val="pt-BR"/>
        </w:rPr>
        <w:t>No início do presente Contrato, A Microsoft oferece uma sessão de orientação para gerenciamento de clientes e equipe por teleconferência. O objetivo dessa reunião é discutir os Serviços de suporte disponíveis e responder a quaisquer dúvidas de forma que o cliente possa planejar o uso dos Serviços.</w:t>
      </w:r>
    </w:p>
    <w:p w:rsidR="008B1196" w:rsidRPr="00EB4D74" w:rsidRDefault="008B1196" w:rsidP="008B1196">
      <w:pPr>
        <w:numPr>
          <w:ilvl w:val="0"/>
          <w:numId w:val="63"/>
        </w:numPr>
        <w:tabs>
          <w:tab w:val="clear" w:pos="720"/>
        </w:tabs>
        <w:spacing w:after="60"/>
        <w:ind w:left="1440"/>
        <w:jc w:val="both"/>
        <w:rPr>
          <w:rFonts w:cs="Tahoma"/>
          <w:lang w:val="it-IT"/>
        </w:rPr>
      </w:pPr>
      <w:r w:rsidRPr="00EB4D74">
        <w:rPr>
          <w:rFonts w:cs="Tahoma"/>
          <w:b/>
          <w:color w:val="000000"/>
          <w:lang w:val="pt-BR"/>
        </w:rPr>
        <w:t xml:space="preserve">Gerenciamento de Escalonamento. </w:t>
      </w:r>
      <w:r w:rsidRPr="00EB4D74">
        <w:rPr>
          <w:rFonts w:cs="Tahoma"/>
          <w:lang w:val="pt-BR"/>
        </w:rPr>
        <w:t>Um Representante de Escalonamento fornecerá ao cliente os serviços de gerenciamento de escalonamento de suporte técnico para Windows Azure.</w:t>
      </w:r>
    </w:p>
    <w:p w:rsidR="008B1196" w:rsidRPr="00EB4D74" w:rsidRDefault="008B1196" w:rsidP="008B1196">
      <w:pPr>
        <w:tabs>
          <w:tab w:val="left" w:pos="360"/>
        </w:tabs>
        <w:jc w:val="both"/>
        <w:rPr>
          <w:rFonts w:cs="Tahoma"/>
          <w:lang w:val="it-IT"/>
        </w:rPr>
      </w:pPr>
    </w:p>
    <w:p w:rsidR="008B1196" w:rsidRPr="00EB4D74" w:rsidRDefault="008B1196" w:rsidP="008B1196">
      <w:pPr>
        <w:pStyle w:val="normal1"/>
        <w:jc w:val="both"/>
        <w:rPr>
          <w:rFonts w:ascii="Tahoma" w:hAnsi="Tahoma" w:cs="Tahoma"/>
          <w:lang w:val="it-IT"/>
        </w:rPr>
      </w:pPr>
      <w:r w:rsidRPr="00EB4D74">
        <w:rPr>
          <w:rFonts w:ascii="Tahoma" w:hAnsi="Tahoma" w:cs="Tahoma"/>
          <w:sz w:val="18"/>
          <w:lang w:val="pt-BR"/>
        </w:rPr>
        <w:t>Os Serviços de Escalonamento são fornecidos das 9 às 17 horas, Horário Local, de segunda a sexta-feira, com exceção de finais de semana e feriados.</w:t>
      </w:r>
    </w:p>
    <w:p w:rsidR="008B1196" w:rsidRPr="00EB4D74" w:rsidRDefault="008B1196" w:rsidP="008B1196">
      <w:pPr>
        <w:pStyle w:val="normal1"/>
        <w:jc w:val="both"/>
        <w:rPr>
          <w:rFonts w:ascii="Tahoma" w:hAnsi="Tahoma" w:cs="Tahoma"/>
          <w:sz w:val="18"/>
          <w:szCs w:val="18"/>
          <w:lang w:val="it-IT"/>
        </w:rPr>
      </w:pPr>
    </w:p>
    <w:p w:rsidR="008B1196" w:rsidRPr="00EB4D74" w:rsidRDefault="008B1196" w:rsidP="008B1196">
      <w:pPr>
        <w:tabs>
          <w:tab w:val="left" w:pos="360"/>
        </w:tabs>
        <w:jc w:val="both"/>
        <w:rPr>
          <w:rFonts w:cs="Tahoma"/>
        </w:rPr>
      </w:pPr>
      <w:r w:rsidRPr="00EB4D74">
        <w:rPr>
          <w:rFonts w:cs="Tahoma"/>
          <w:b/>
          <w:lang w:val="pt-BR"/>
        </w:rPr>
        <w:t xml:space="preserve">Outros Serviços de Informações e Benefícios. </w:t>
      </w:r>
      <w:r w:rsidRPr="00EB4D74">
        <w:rPr>
          <w:rFonts w:cs="Tahoma"/>
          <w:lang w:val="pt-BR"/>
        </w:rPr>
        <w:t>Os Serviços de Informações fornecem informações técnicas sobre o Windows Azure e ferramentas de suporte que ajudam os clientes a implementar e operar o Windows Azure de maneira mais eficaz e eficiente. Os Serviços de Informações incluem o seguinte:</w:t>
      </w:r>
    </w:p>
    <w:p w:rsidR="008B1196" w:rsidRPr="00EB4D74" w:rsidRDefault="008B1196" w:rsidP="008B1196">
      <w:pPr>
        <w:tabs>
          <w:tab w:val="left" w:pos="360"/>
        </w:tabs>
        <w:jc w:val="both"/>
        <w:rPr>
          <w:rFonts w:cs="Tahoma"/>
        </w:rPr>
      </w:pPr>
    </w:p>
    <w:p w:rsidR="008B1196" w:rsidRPr="00EB4D74" w:rsidRDefault="008B1196" w:rsidP="008B1196">
      <w:pPr>
        <w:pStyle w:val="ListParagraph"/>
        <w:numPr>
          <w:ilvl w:val="0"/>
          <w:numId w:val="64"/>
        </w:numPr>
        <w:tabs>
          <w:tab w:val="left" w:pos="360"/>
        </w:tabs>
        <w:spacing w:after="60"/>
        <w:ind w:left="1440"/>
        <w:contextualSpacing w:val="0"/>
        <w:jc w:val="both"/>
        <w:rPr>
          <w:rFonts w:ascii="Tahoma" w:hAnsi="Tahoma" w:cs="Tahoma"/>
          <w:lang w:val="it-IT"/>
        </w:rPr>
      </w:pPr>
      <w:r w:rsidRPr="00EB4D74">
        <w:rPr>
          <w:rFonts w:ascii="Tahoma" w:hAnsi="Tahoma" w:cs="Tahoma"/>
          <w:b/>
          <w:color w:val="000000"/>
          <w:sz w:val="18"/>
          <w:lang w:val="it-IT"/>
        </w:rPr>
        <w:t xml:space="preserve">Suporte Profissional Direto para conteúdo exclusivo do Windows Azure. </w:t>
      </w:r>
      <w:r w:rsidRPr="00EB4D74">
        <w:rPr>
          <w:rFonts w:ascii="Tahoma" w:hAnsi="Tahoma" w:cs="Tahoma"/>
          <w:sz w:val="18"/>
          <w:lang w:val="it-IT"/>
        </w:rPr>
        <w:t>Aos clientes será concedido acesso ao conteúdo exclusivo do Windows Azure, incluindo, mas não se limitando, publicações online relacionadas aos guias de práticas recomendadas de implantação e arquiteturais, conteúdo de treinamento arquivado, notificações de Webinars futuros e outras informações gerais sobre o Windows Azure.</w:t>
      </w:r>
    </w:p>
    <w:p w:rsidR="008B1196" w:rsidRPr="00EB4D74" w:rsidRDefault="008B1196" w:rsidP="008B1196">
      <w:pPr>
        <w:numPr>
          <w:ilvl w:val="0"/>
          <w:numId w:val="64"/>
        </w:numPr>
        <w:tabs>
          <w:tab w:val="left" w:pos="360"/>
        </w:tabs>
        <w:spacing w:after="60"/>
        <w:ind w:left="1440"/>
        <w:jc w:val="both"/>
        <w:rPr>
          <w:rFonts w:cs="Tahoma"/>
          <w:lang w:val="pt-BR"/>
        </w:rPr>
      </w:pPr>
      <w:r w:rsidRPr="00EB4D74">
        <w:rPr>
          <w:rFonts w:cs="Tahoma"/>
          <w:b/>
          <w:color w:val="000000"/>
          <w:lang w:val="pt-BR"/>
        </w:rPr>
        <w:t xml:space="preserve">Webinars. </w:t>
      </w:r>
      <w:r w:rsidRPr="00EB4D74">
        <w:rPr>
          <w:rFonts w:cs="Tahoma"/>
          <w:lang w:val="pt-BR"/>
        </w:rPr>
        <w:t>Webinars apresentam a programação regular de discussões lideradas por Nossos profissionais, abordando as principais áreas de Serviços Online da Microsoft. Os tópicos de exemplos podem incluir, sem se limitar, “Introdução” ao Windows Azure, Resumo dos Novos Recursos e Perguntas e Respostas “Pergunte aos Especialistas”.</w:t>
      </w:r>
    </w:p>
    <w:p w:rsidR="008B1196" w:rsidRPr="00EB4D74" w:rsidRDefault="008B1196" w:rsidP="008B1196">
      <w:pPr>
        <w:tabs>
          <w:tab w:val="left" w:pos="360"/>
        </w:tabs>
        <w:spacing w:after="60"/>
        <w:jc w:val="both"/>
        <w:rPr>
          <w:rFonts w:cs="Tahoma"/>
          <w:lang w:val="pt-BR"/>
        </w:rPr>
      </w:pPr>
    </w:p>
    <w:p w:rsidR="008B1196" w:rsidRPr="00EB4D74" w:rsidRDefault="008B1196" w:rsidP="008B1196">
      <w:pPr>
        <w:tabs>
          <w:tab w:val="left" w:pos="360"/>
        </w:tabs>
        <w:spacing w:after="60"/>
        <w:jc w:val="both"/>
        <w:rPr>
          <w:rFonts w:cs="Tahoma"/>
          <w:lang w:val="pt-BR"/>
        </w:rPr>
      </w:pPr>
    </w:p>
    <w:p w:rsidR="008B1196" w:rsidRPr="00EB4D74" w:rsidRDefault="008B1196" w:rsidP="008B1196">
      <w:pPr>
        <w:tabs>
          <w:tab w:val="left" w:pos="360"/>
        </w:tabs>
        <w:spacing w:after="60"/>
        <w:jc w:val="both"/>
        <w:rPr>
          <w:rFonts w:cs="Tahoma"/>
          <w:lang w:val="pt-BR"/>
        </w:rPr>
      </w:pPr>
    </w:p>
    <w:p w:rsidR="008B1196" w:rsidRPr="00EB4D74" w:rsidRDefault="008B1196" w:rsidP="008B1196">
      <w:pPr>
        <w:tabs>
          <w:tab w:val="left" w:pos="360"/>
        </w:tabs>
        <w:spacing w:after="60"/>
        <w:jc w:val="both"/>
        <w:rPr>
          <w:rFonts w:cs="Tahoma"/>
          <w:lang w:val="pt-BR"/>
        </w:rPr>
      </w:pPr>
    </w:p>
    <w:p w:rsidR="008B1196" w:rsidRPr="00EB4D74" w:rsidRDefault="008B1196" w:rsidP="008B1196">
      <w:pPr>
        <w:numPr>
          <w:ilvl w:val="0"/>
          <w:numId w:val="64"/>
        </w:numPr>
        <w:tabs>
          <w:tab w:val="left" w:pos="360"/>
        </w:tabs>
        <w:spacing w:after="60"/>
        <w:ind w:left="1440"/>
        <w:jc w:val="both"/>
        <w:rPr>
          <w:rFonts w:cs="Tahoma"/>
        </w:rPr>
      </w:pPr>
      <w:r w:rsidRPr="00EB4D74">
        <w:rPr>
          <w:rFonts w:cs="Tahoma"/>
          <w:b/>
          <w:color w:val="000000"/>
          <w:lang w:val="pt-BR"/>
        </w:rPr>
        <w:lastRenderedPageBreak/>
        <w:t>Serviços Adicionais de Consultoria executados por Representantes de Escalonamento</w:t>
      </w:r>
    </w:p>
    <w:p w:rsidR="008B1196" w:rsidRPr="00EB4D74" w:rsidRDefault="008B1196" w:rsidP="008B1196">
      <w:pPr>
        <w:numPr>
          <w:ilvl w:val="1"/>
          <w:numId w:val="54"/>
        </w:numPr>
        <w:tabs>
          <w:tab w:val="left" w:pos="360"/>
        </w:tabs>
        <w:spacing w:after="60"/>
        <w:ind w:left="1980"/>
        <w:jc w:val="both"/>
        <w:rPr>
          <w:rFonts w:cs="Tahoma"/>
        </w:rPr>
      </w:pPr>
      <w:r w:rsidRPr="00EB4D74">
        <w:rPr>
          <w:rFonts w:cs="Tahoma"/>
          <w:snapToGrid w:val="0"/>
          <w:szCs w:val="18"/>
          <w:lang w:val="pt-BR"/>
        </w:rPr>
        <w:t xml:space="preserve">Refere-se aos principais recursos online. </w:t>
      </w:r>
      <w:r w:rsidRPr="00EB4D74">
        <w:rPr>
          <w:rFonts w:cs="Tahoma"/>
          <w:lang w:val="pt-BR"/>
        </w:rPr>
        <w:t>Um Representante de Escalonamento fornecerá aos clientes recomendações, inclusive instruções sobre como acessar recursos de autoatendimento para ajudar a solucionar as dúvidas sobre recursos e serviços comuns do Windows Azure.</w:t>
      </w:r>
    </w:p>
    <w:p w:rsidR="008B1196" w:rsidRPr="00EB4D74" w:rsidRDefault="008B1196" w:rsidP="008B1196">
      <w:pPr>
        <w:numPr>
          <w:ilvl w:val="1"/>
          <w:numId w:val="54"/>
        </w:numPr>
        <w:spacing w:after="60"/>
        <w:ind w:left="1980"/>
        <w:jc w:val="both"/>
        <w:rPr>
          <w:rFonts w:cs="Tahoma"/>
          <w:lang w:val="it-IT"/>
        </w:rPr>
      </w:pPr>
      <w:r w:rsidRPr="00EB4D74">
        <w:rPr>
          <w:rFonts w:cs="Tahoma"/>
          <w:snapToGrid w:val="0"/>
          <w:szCs w:val="18"/>
          <w:lang w:val="pt-BR"/>
        </w:rPr>
        <w:t xml:space="preserve">Tendência básica de incidentes. </w:t>
      </w:r>
      <w:r w:rsidRPr="00EB4D74">
        <w:rPr>
          <w:rFonts w:cs="Tahoma"/>
          <w:lang w:val="pt-BR"/>
        </w:rPr>
        <w:t>Um Representante de Escalonamento ajudará a detectar e avaliar a causa-raiz de solicitações comuns de suporte enviadas pelos clientes, fornecendo sugestões sobre como minimizar tais problemas de suporte no futuro.</w:t>
      </w:r>
    </w:p>
    <w:p w:rsidR="008B1196" w:rsidRPr="00EB4D74" w:rsidRDefault="008B1196" w:rsidP="008B1196">
      <w:pPr>
        <w:pStyle w:val="ListParagraph"/>
        <w:numPr>
          <w:ilvl w:val="1"/>
          <w:numId w:val="54"/>
        </w:numPr>
        <w:tabs>
          <w:tab w:val="left" w:pos="360"/>
        </w:tabs>
        <w:spacing w:after="60"/>
        <w:ind w:left="1980"/>
        <w:contextualSpacing w:val="0"/>
        <w:jc w:val="both"/>
        <w:rPr>
          <w:rFonts w:ascii="Tahoma" w:hAnsi="Tahoma" w:cs="Tahoma"/>
          <w:lang w:val="it-IT"/>
        </w:rPr>
      </w:pPr>
      <w:r w:rsidRPr="00EB4D74">
        <w:rPr>
          <w:rFonts w:ascii="Tahoma" w:hAnsi="Tahoma" w:cs="Tahoma"/>
          <w:b/>
          <w:color w:val="000000"/>
          <w:sz w:val="18"/>
        </w:rPr>
        <w:t>Relatórios de Otimização do Windows Azure.</w:t>
      </w:r>
      <w:r w:rsidRPr="00EB4D74">
        <w:rPr>
          <w:rFonts w:ascii="Tahoma" w:hAnsi="Tahoma" w:cs="Tahoma"/>
          <w:color w:val="000000"/>
          <w:sz w:val="18"/>
        </w:rPr>
        <w:t xml:space="preserve"> </w:t>
      </w:r>
      <w:r w:rsidRPr="00EB4D74">
        <w:rPr>
          <w:rFonts w:ascii="Tahoma" w:hAnsi="Tahoma" w:cs="Tahoma"/>
          <w:sz w:val="18"/>
          <w:lang w:val="it-IT"/>
        </w:rPr>
        <w:t>Um Representante de Escalonamento fornecerá relatórios regulares para ajudar a identificar riscos de segurança em potencial e oportunidades de otimização.</w:t>
      </w:r>
    </w:p>
    <w:p w:rsidR="008B1196" w:rsidRPr="00EB4D74" w:rsidRDefault="008B1196" w:rsidP="008B1196">
      <w:pPr>
        <w:pStyle w:val="normal1"/>
        <w:jc w:val="both"/>
        <w:rPr>
          <w:rFonts w:ascii="Tahoma" w:hAnsi="Tahoma" w:cs="Tahoma"/>
          <w:sz w:val="18"/>
          <w:szCs w:val="18"/>
          <w:lang w:val="it-IT"/>
        </w:rPr>
      </w:pPr>
    </w:p>
    <w:p w:rsidR="008B1196" w:rsidRPr="00EB4D74" w:rsidRDefault="008B1196" w:rsidP="008B1196">
      <w:pPr>
        <w:tabs>
          <w:tab w:val="left" w:pos="360"/>
        </w:tabs>
        <w:jc w:val="both"/>
        <w:rPr>
          <w:rFonts w:cs="Tahoma"/>
          <w:lang w:val="it-IT"/>
        </w:rPr>
      </w:pPr>
      <w:r w:rsidRPr="00EB4D74">
        <w:rPr>
          <w:rFonts w:cs="Tahoma"/>
          <w:b/>
          <w:sz w:val="20"/>
          <w:lang w:val="pt-BR"/>
        </w:rPr>
        <w:t>Suporte Padrão para Windows Azure</w:t>
      </w:r>
    </w:p>
    <w:p w:rsidR="008B1196" w:rsidRPr="00EB4D74" w:rsidRDefault="008B1196" w:rsidP="008B1196">
      <w:pPr>
        <w:tabs>
          <w:tab w:val="left" w:pos="360"/>
        </w:tabs>
        <w:jc w:val="both"/>
        <w:rPr>
          <w:rFonts w:cs="Tahoma"/>
          <w:lang w:val="it-IT"/>
        </w:rPr>
      </w:pPr>
    </w:p>
    <w:p w:rsidR="008B1196" w:rsidRPr="00EB4D74" w:rsidRDefault="008B1196" w:rsidP="008B1196">
      <w:pPr>
        <w:rPr>
          <w:rFonts w:cs="Tahoma"/>
          <w:lang w:val="it-IT"/>
        </w:rPr>
      </w:pPr>
      <w:r w:rsidRPr="00EB4D74">
        <w:rPr>
          <w:rFonts w:cs="Tahoma"/>
          <w:szCs w:val="18"/>
          <w:lang w:val="pt-BR"/>
        </w:rPr>
        <w:t xml:space="preserve">A Microsoft assumirá como padrão o nível inicial de severidade de todos os Incidentes enviados para Severidade C, mas o cliente pode solicitar uma alteração no nível de severidade a qualquer momento. </w:t>
      </w:r>
      <w:r w:rsidRPr="00EB4D74">
        <w:rPr>
          <w:rFonts w:cs="Tahoma"/>
          <w:lang w:val="pt-BR"/>
        </w:rPr>
        <w:t>A severidade do incidente determinará os níveis de resposta na Microsoft, e o tempo estimado de resposta é definido na tabela abaixo. A capacidade de a Microsoft prestar os serviços ao cliente depende da inteira e pontual cooperação desta, bem como da precisão e da integridade das informações fornecidas ao cliente.</w:t>
      </w:r>
    </w:p>
    <w:p w:rsidR="008B1196" w:rsidRPr="00EB4D74" w:rsidRDefault="008B1196" w:rsidP="008B1196">
      <w:pPr>
        <w:rPr>
          <w:rFonts w:cs="Tahoma"/>
          <w:lang w:val="it-I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8B1196" w:rsidRPr="00EB4D74" w:rsidTr="00EA30FC">
        <w:tc>
          <w:tcPr>
            <w:tcW w:w="779" w:type="pct"/>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Severidade</w:t>
            </w:r>
          </w:p>
        </w:tc>
        <w:tc>
          <w:tcPr>
            <w:tcW w:w="1022" w:type="pct"/>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Contato</w:t>
            </w:r>
          </w:p>
        </w:tc>
        <w:tc>
          <w:tcPr>
            <w:tcW w:w="1571" w:type="pct"/>
            <w:shd w:val="clear" w:color="auto" w:fill="FABF8F"/>
          </w:tcPr>
          <w:p w:rsidR="008B1196" w:rsidRPr="00EB4D74" w:rsidRDefault="008B1196" w:rsidP="00EA30FC">
            <w:pPr>
              <w:jc w:val="center"/>
              <w:rPr>
                <w:rFonts w:cs="Tahoma"/>
                <w:b/>
                <w:bCs/>
                <w:color w:val="000000"/>
                <w:sz w:val="20"/>
                <w:szCs w:val="18"/>
              </w:rPr>
            </w:pPr>
            <w:r w:rsidRPr="00EB4D74">
              <w:rPr>
                <w:rFonts w:cs="Tahoma"/>
                <w:b/>
                <w:color w:val="000000"/>
                <w:sz w:val="20"/>
                <w:lang w:val="pt-BR"/>
              </w:rPr>
              <w:t>Situação do Cliente</w:t>
            </w:r>
          </w:p>
        </w:tc>
        <w:tc>
          <w:tcPr>
            <w:tcW w:w="1628" w:type="pct"/>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Resposta Esperada da Microsoft</w:t>
            </w:r>
          </w:p>
        </w:tc>
      </w:tr>
      <w:tr w:rsidR="008B1196" w:rsidRPr="00EB4D74" w:rsidTr="00EA30FC">
        <w:tc>
          <w:tcPr>
            <w:tcW w:w="779" w:type="pct"/>
          </w:tcPr>
          <w:p w:rsidR="008B1196" w:rsidRPr="00EB4D74" w:rsidRDefault="008B1196" w:rsidP="00EA30FC">
            <w:pPr>
              <w:spacing w:after="60" w:line="240" w:lineRule="atLeast"/>
              <w:jc w:val="center"/>
              <w:rPr>
                <w:rFonts w:cs="Tahoma"/>
                <w:szCs w:val="18"/>
              </w:rPr>
            </w:pPr>
            <w:r w:rsidRPr="00EB4D74">
              <w:rPr>
                <w:rFonts w:cs="Tahoma"/>
                <w:szCs w:val="18"/>
                <w:lang w:val="pt-BR"/>
              </w:rPr>
              <w:t>A</w:t>
            </w:r>
          </w:p>
        </w:tc>
        <w:tc>
          <w:tcPr>
            <w:tcW w:w="1022" w:type="pct"/>
          </w:tcPr>
          <w:p w:rsidR="008B1196" w:rsidRPr="00EB4D74" w:rsidRDefault="008B1196" w:rsidP="00EA30FC">
            <w:pPr>
              <w:spacing w:after="60" w:line="240" w:lineRule="atLeast"/>
              <w:jc w:val="center"/>
              <w:rPr>
                <w:rFonts w:cs="Tahoma"/>
                <w:szCs w:val="18"/>
              </w:rPr>
            </w:pPr>
            <w:r w:rsidRPr="00EB4D74">
              <w:rPr>
                <w:rFonts w:cs="Tahoma"/>
                <w:lang w:val="pt-BR"/>
              </w:rPr>
              <w:t>Solicitação pela Web</w:t>
            </w:r>
          </w:p>
        </w:tc>
        <w:tc>
          <w:tcPr>
            <w:tcW w:w="1571" w:type="pct"/>
          </w:tcPr>
          <w:p w:rsidR="008B1196" w:rsidRPr="00EB4D74" w:rsidRDefault="008B1196" w:rsidP="00EA30FC">
            <w:pPr>
              <w:spacing w:after="60" w:line="240" w:lineRule="atLeast"/>
              <w:rPr>
                <w:rFonts w:cs="Tahoma"/>
                <w:lang w:val="it-IT"/>
              </w:rPr>
            </w:pPr>
            <w:r w:rsidRPr="00EB4D74">
              <w:rPr>
                <w:rFonts w:cs="Tahoma"/>
                <w:lang w:val="pt-BR"/>
              </w:rPr>
              <w:t>Impacto crítico nos negócios:</w:t>
            </w:r>
          </w:p>
          <w:p w:rsidR="008B1196" w:rsidRPr="00EB4D74" w:rsidRDefault="008B1196" w:rsidP="00EA30FC">
            <w:pPr>
              <w:spacing w:after="60" w:line="240" w:lineRule="atLeast"/>
              <w:rPr>
                <w:rFonts w:cs="Tahoma"/>
                <w:lang w:val="it-IT"/>
              </w:rPr>
            </w:pPr>
            <w:r w:rsidRPr="00EB4D74">
              <w:rPr>
                <w:rFonts w:cs="Tahoma"/>
                <w:lang w:val="pt-BR"/>
              </w:rPr>
              <w:t>Perda ou degradação significativa de serviços (aplicativo inativo)</w:t>
            </w:r>
          </w:p>
          <w:p w:rsidR="008B1196" w:rsidRPr="00EB4D74" w:rsidRDefault="008B1196" w:rsidP="00EA30FC">
            <w:pPr>
              <w:spacing w:after="60" w:line="240" w:lineRule="atLeast"/>
              <w:rPr>
                <w:rFonts w:cs="Tahoma"/>
                <w:szCs w:val="18"/>
                <w:lang w:val="it-IT"/>
              </w:rPr>
            </w:pPr>
            <w:r w:rsidRPr="00EB4D74">
              <w:rPr>
                <w:rFonts w:cs="Tahoma"/>
                <w:lang w:val="pt-BR"/>
              </w:rPr>
              <w:t>Necessita de atenção em 2 horas</w:t>
            </w:r>
          </w:p>
        </w:tc>
        <w:tc>
          <w:tcPr>
            <w:tcW w:w="1628" w:type="pct"/>
          </w:tcPr>
          <w:p w:rsidR="008B1196" w:rsidRPr="00EB4D74" w:rsidRDefault="008B1196" w:rsidP="00EA30FC">
            <w:pPr>
              <w:spacing w:after="60" w:line="240" w:lineRule="atLeast"/>
              <w:rPr>
                <w:rFonts w:cs="Tahoma"/>
              </w:rPr>
            </w:pPr>
            <w:r w:rsidRPr="00EB4D74">
              <w:rPr>
                <w:rFonts w:cs="Tahoma"/>
                <w:lang w:val="pt-BR"/>
              </w:rPr>
              <w:t>1ª resposta em 2 horas ou menos</w:t>
            </w:r>
          </w:p>
          <w:p w:rsidR="008B1196" w:rsidRPr="00EB4D74" w:rsidRDefault="008B1196" w:rsidP="00EA30FC">
            <w:pPr>
              <w:spacing w:after="60" w:line="240" w:lineRule="atLeast"/>
              <w:rPr>
                <w:rFonts w:cs="Tahoma"/>
                <w:szCs w:val="18"/>
              </w:rPr>
            </w:pPr>
          </w:p>
        </w:tc>
      </w:tr>
      <w:tr w:rsidR="008B1196" w:rsidRPr="00EB4D74" w:rsidTr="00EA30FC">
        <w:tc>
          <w:tcPr>
            <w:tcW w:w="779" w:type="pct"/>
          </w:tcPr>
          <w:p w:rsidR="008B1196" w:rsidRPr="00EB4D74" w:rsidRDefault="008B1196" w:rsidP="00EA30FC">
            <w:pPr>
              <w:spacing w:after="60" w:line="240" w:lineRule="atLeast"/>
              <w:jc w:val="center"/>
              <w:rPr>
                <w:rFonts w:cs="Tahoma"/>
                <w:szCs w:val="18"/>
              </w:rPr>
            </w:pPr>
            <w:r w:rsidRPr="00EB4D74">
              <w:rPr>
                <w:rFonts w:cs="Tahoma"/>
                <w:szCs w:val="18"/>
                <w:lang w:val="pt-BR"/>
              </w:rPr>
              <w:t>B</w:t>
            </w:r>
          </w:p>
        </w:tc>
        <w:tc>
          <w:tcPr>
            <w:tcW w:w="1022" w:type="pct"/>
          </w:tcPr>
          <w:p w:rsidR="008B1196" w:rsidRPr="00EB4D74" w:rsidRDefault="008B1196" w:rsidP="00EA30FC">
            <w:pPr>
              <w:spacing w:after="60" w:line="240" w:lineRule="atLeast"/>
              <w:jc w:val="center"/>
              <w:rPr>
                <w:rFonts w:cs="Tahoma"/>
                <w:szCs w:val="18"/>
              </w:rPr>
            </w:pPr>
            <w:r w:rsidRPr="00EB4D74">
              <w:rPr>
                <w:rFonts w:cs="Tahoma"/>
                <w:lang w:val="pt-BR"/>
              </w:rPr>
              <w:t>Solicitação pela Web</w:t>
            </w:r>
          </w:p>
        </w:tc>
        <w:tc>
          <w:tcPr>
            <w:tcW w:w="1571" w:type="pct"/>
          </w:tcPr>
          <w:p w:rsidR="008B1196" w:rsidRPr="00EB4D74" w:rsidRDefault="008B1196" w:rsidP="00EA30FC">
            <w:pPr>
              <w:spacing w:after="60" w:line="240" w:lineRule="atLeast"/>
              <w:rPr>
                <w:rFonts w:cs="Tahoma"/>
                <w:lang w:val="it-IT"/>
              </w:rPr>
            </w:pPr>
            <w:r w:rsidRPr="00EB4D74">
              <w:rPr>
                <w:rFonts w:cs="Tahoma"/>
                <w:szCs w:val="18"/>
                <w:lang w:val="pt-BR"/>
              </w:rPr>
              <w:t>Impacto moderado nos negócios:</w:t>
            </w:r>
          </w:p>
          <w:p w:rsidR="008B1196" w:rsidRPr="00EB4D74" w:rsidRDefault="008B1196" w:rsidP="00EA30FC">
            <w:pPr>
              <w:spacing w:line="240" w:lineRule="atLeast"/>
              <w:rPr>
                <w:rFonts w:cs="Tahoma"/>
                <w:lang w:val="it-IT"/>
              </w:rPr>
            </w:pPr>
            <w:r w:rsidRPr="00EB4D74">
              <w:rPr>
                <w:rFonts w:cs="Tahoma"/>
                <w:lang w:val="pt-BR"/>
              </w:rPr>
              <w:t>Perda ou degradação moderada dos serviços, mas o trabalho pode razoavelmente continuar de maneira prejudicada</w:t>
            </w:r>
          </w:p>
          <w:p w:rsidR="008B1196" w:rsidRPr="00EB4D74" w:rsidRDefault="008B1196" w:rsidP="00EA30FC">
            <w:pPr>
              <w:spacing w:after="60" w:line="240" w:lineRule="atLeast"/>
              <w:rPr>
                <w:rFonts w:cs="Tahoma"/>
                <w:szCs w:val="18"/>
                <w:lang w:val="it-IT"/>
              </w:rPr>
            </w:pPr>
            <w:r w:rsidRPr="00EB4D74">
              <w:rPr>
                <w:rFonts w:cs="Tahoma"/>
                <w:lang w:val="pt-BR"/>
              </w:rPr>
              <w:t>Necessita de atenção em 4 horas</w:t>
            </w:r>
          </w:p>
        </w:tc>
        <w:tc>
          <w:tcPr>
            <w:tcW w:w="1628" w:type="pct"/>
          </w:tcPr>
          <w:p w:rsidR="008B1196" w:rsidRPr="00EB4D74" w:rsidRDefault="008B1196" w:rsidP="00EA30FC">
            <w:pPr>
              <w:spacing w:line="240" w:lineRule="atLeast"/>
              <w:rPr>
                <w:rFonts w:cs="Tahoma"/>
              </w:rPr>
            </w:pPr>
            <w:r w:rsidRPr="00EB4D74">
              <w:rPr>
                <w:rFonts w:cs="Tahoma"/>
                <w:lang w:val="pt-BR"/>
              </w:rPr>
              <w:t>1ª resposta em 4 horas ou menos</w:t>
            </w:r>
          </w:p>
          <w:p w:rsidR="008B1196" w:rsidRPr="00EB4D74" w:rsidRDefault="008B1196" w:rsidP="00EA30FC">
            <w:pPr>
              <w:spacing w:after="60" w:line="240" w:lineRule="atLeast"/>
              <w:rPr>
                <w:rFonts w:cs="Tahoma"/>
                <w:szCs w:val="18"/>
              </w:rPr>
            </w:pPr>
          </w:p>
        </w:tc>
      </w:tr>
      <w:tr w:rsidR="008B1196" w:rsidRPr="00EB4D74" w:rsidTr="00EA30FC">
        <w:tc>
          <w:tcPr>
            <w:tcW w:w="779" w:type="pct"/>
          </w:tcPr>
          <w:p w:rsidR="008B1196" w:rsidRPr="00EB4D74" w:rsidRDefault="008B1196" w:rsidP="00EA30FC">
            <w:pPr>
              <w:spacing w:after="60" w:line="240" w:lineRule="atLeast"/>
              <w:jc w:val="center"/>
              <w:rPr>
                <w:rFonts w:cs="Tahoma"/>
                <w:szCs w:val="18"/>
              </w:rPr>
            </w:pPr>
            <w:r w:rsidRPr="00EB4D74">
              <w:rPr>
                <w:rFonts w:cs="Tahoma"/>
                <w:szCs w:val="18"/>
                <w:lang w:val="pt-BR"/>
              </w:rPr>
              <w:t>C</w:t>
            </w:r>
          </w:p>
        </w:tc>
        <w:tc>
          <w:tcPr>
            <w:tcW w:w="1022" w:type="pct"/>
          </w:tcPr>
          <w:p w:rsidR="008B1196" w:rsidRPr="00EB4D74" w:rsidRDefault="008B1196" w:rsidP="00EA30FC">
            <w:pPr>
              <w:spacing w:after="60" w:line="240" w:lineRule="atLeast"/>
              <w:jc w:val="center"/>
              <w:rPr>
                <w:rFonts w:cs="Tahoma"/>
                <w:szCs w:val="18"/>
              </w:rPr>
            </w:pPr>
            <w:r w:rsidRPr="00EB4D74">
              <w:rPr>
                <w:rFonts w:cs="Tahoma"/>
                <w:szCs w:val="18"/>
                <w:lang w:val="pt-BR"/>
              </w:rPr>
              <w:t>Solicitação pela Web</w:t>
            </w:r>
          </w:p>
        </w:tc>
        <w:tc>
          <w:tcPr>
            <w:tcW w:w="1571" w:type="pct"/>
          </w:tcPr>
          <w:p w:rsidR="008B1196" w:rsidRPr="00EB4D74" w:rsidRDefault="008B1196" w:rsidP="00EA30FC">
            <w:pPr>
              <w:rPr>
                <w:rFonts w:cs="Tahoma"/>
                <w:lang w:val="it-IT"/>
              </w:rPr>
            </w:pPr>
            <w:r w:rsidRPr="00EB4D74">
              <w:rPr>
                <w:rFonts w:cs="Tahoma"/>
                <w:lang w:val="pt-BR"/>
              </w:rPr>
              <w:t>Impacto mínimo nos negócios:</w:t>
            </w:r>
          </w:p>
          <w:p w:rsidR="008B1196" w:rsidRPr="00EB4D74" w:rsidRDefault="008B1196" w:rsidP="00EA30FC">
            <w:pPr>
              <w:rPr>
                <w:rFonts w:cs="Tahoma"/>
                <w:lang w:val="it-IT"/>
              </w:rPr>
            </w:pPr>
            <w:r w:rsidRPr="00EB4D74">
              <w:rPr>
                <w:rFonts w:cs="Tahoma"/>
                <w:lang w:val="pt-BR"/>
              </w:rPr>
              <w:t>Funcionamento de forma substancial, com poucos ou nenhum impedimento dos serviços</w:t>
            </w:r>
          </w:p>
          <w:p w:rsidR="008B1196" w:rsidRPr="00EB4D74" w:rsidRDefault="008B1196" w:rsidP="00EA30FC">
            <w:pPr>
              <w:spacing w:after="60" w:line="240" w:lineRule="atLeast"/>
              <w:rPr>
                <w:rFonts w:cs="Tahoma"/>
                <w:szCs w:val="18"/>
                <w:lang w:val="it-IT"/>
              </w:rPr>
            </w:pPr>
            <w:r w:rsidRPr="00EB4D74">
              <w:rPr>
                <w:rFonts w:cs="Tahoma"/>
                <w:lang w:val="pt-BR"/>
              </w:rPr>
              <w:t>Necessita de atenção em 8 horas</w:t>
            </w:r>
          </w:p>
        </w:tc>
        <w:tc>
          <w:tcPr>
            <w:tcW w:w="1628" w:type="pct"/>
          </w:tcPr>
          <w:p w:rsidR="008B1196" w:rsidRPr="00EB4D74" w:rsidRDefault="008B1196" w:rsidP="00EA30FC">
            <w:pPr>
              <w:rPr>
                <w:rFonts w:cs="Tahoma"/>
              </w:rPr>
            </w:pPr>
            <w:r w:rsidRPr="00EB4D74">
              <w:rPr>
                <w:rFonts w:cs="Tahoma"/>
                <w:lang w:val="pt-BR"/>
              </w:rPr>
              <w:t>1ª resposta em 8 horas ou menos</w:t>
            </w:r>
          </w:p>
          <w:p w:rsidR="008B1196" w:rsidRPr="00EB4D74" w:rsidRDefault="008B1196" w:rsidP="00EA30FC">
            <w:pPr>
              <w:spacing w:line="240" w:lineRule="atLeast"/>
              <w:rPr>
                <w:rFonts w:cs="Tahoma"/>
                <w:szCs w:val="18"/>
              </w:rPr>
            </w:pPr>
          </w:p>
        </w:tc>
      </w:tr>
    </w:tbl>
    <w:p w:rsidR="008B1196" w:rsidRPr="00EB4D74" w:rsidRDefault="008B1196" w:rsidP="008B1196">
      <w:pPr>
        <w:rPr>
          <w:rFonts w:cs="Tahoma"/>
        </w:rPr>
      </w:pPr>
    </w:p>
    <w:p w:rsidR="008B1196" w:rsidRPr="00EB4D74" w:rsidRDefault="008B1196" w:rsidP="008B1196">
      <w:pPr>
        <w:tabs>
          <w:tab w:val="left" w:pos="360"/>
        </w:tabs>
        <w:jc w:val="both"/>
        <w:rPr>
          <w:rFonts w:cs="Tahoma"/>
          <w:lang w:val="pt-BR"/>
        </w:rPr>
      </w:pPr>
      <w:r w:rsidRPr="00EB4D74">
        <w:rPr>
          <w:rFonts w:cs="Tahoma"/>
          <w:snapToGrid w:val="0"/>
          <w:color w:val="000000"/>
          <w:szCs w:val="18"/>
          <w:lang w:val="pt-BR"/>
        </w:rPr>
        <w:t>Os clientes podem optar por receber um retorno de chamada da Microsoft em até 3 incidentes por mês. Caso contrário, a equipe de Suporte do Windows Azure solucionará o problema e ajudará a resolver o incidente pelos canais online (por exemplo, por email ou portal do Windows Azure).</w:t>
      </w:r>
    </w:p>
    <w:p w:rsidR="008B1196" w:rsidRPr="00EB4D74" w:rsidRDefault="008B1196" w:rsidP="008B1196">
      <w:pPr>
        <w:tabs>
          <w:tab w:val="left" w:pos="360"/>
        </w:tabs>
        <w:jc w:val="both"/>
        <w:rPr>
          <w:rFonts w:cs="Tahoma"/>
          <w:lang w:val="pt-BR"/>
        </w:rPr>
      </w:pPr>
    </w:p>
    <w:p w:rsidR="008B1196" w:rsidRPr="00EB4D74" w:rsidRDefault="008B1196" w:rsidP="008B1196">
      <w:pPr>
        <w:tabs>
          <w:tab w:val="left" w:pos="360"/>
        </w:tabs>
        <w:jc w:val="both"/>
        <w:rPr>
          <w:rFonts w:cs="Tahoma"/>
        </w:rPr>
      </w:pPr>
      <w:r w:rsidRPr="00EB4D74">
        <w:rPr>
          <w:rFonts w:cs="Tahoma"/>
          <w:b/>
          <w:sz w:val="20"/>
          <w:lang w:val="pt-BR"/>
        </w:rPr>
        <w:t>Suporte ao Desenvolvedor para Windows Azure</w:t>
      </w:r>
    </w:p>
    <w:p w:rsidR="008B1196" w:rsidRPr="00EB4D74" w:rsidRDefault="008B1196" w:rsidP="008B1196">
      <w:pPr>
        <w:tabs>
          <w:tab w:val="left" w:pos="360"/>
        </w:tabs>
        <w:jc w:val="both"/>
        <w:rPr>
          <w:rFonts w:cs="Tahoma"/>
        </w:rPr>
      </w:pPr>
    </w:p>
    <w:p w:rsidR="008B1196" w:rsidRPr="00EB4D74" w:rsidRDefault="008B1196" w:rsidP="008B1196">
      <w:pPr>
        <w:rPr>
          <w:rFonts w:cs="Tahoma"/>
          <w:lang w:val="it-IT"/>
        </w:rPr>
      </w:pPr>
      <w:r w:rsidRPr="00EB4D74">
        <w:rPr>
          <w:rFonts w:cs="Tahoma"/>
          <w:szCs w:val="18"/>
          <w:lang w:val="pt-BR"/>
        </w:rPr>
        <w:t xml:space="preserve">A Microsoft assumirá como padrão o nível inicial de severidade de todos os Incidentes enviados para Severidade C, mas o cliente pode solicitar uma alteração no nível de severidade a qualquer momento. </w:t>
      </w:r>
      <w:r w:rsidRPr="00EB4D74">
        <w:rPr>
          <w:rFonts w:cs="Tahoma"/>
          <w:lang w:val="pt-BR"/>
        </w:rPr>
        <w:t>A severidade do incidente determinará os níveis de resposta na Microsoft, e o tempo estimado de resposta é definido na tabela abaixo. A capacidade de a Microsoft prestar os serviços depende da inteira e pontual cooperação desta, bem como da precisão e da integridade das informações fornecidas ao cliente.</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1762"/>
        <w:gridCol w:w="3342"/>
        <w:gridCol w:w="2834"/>
      </w:tblGrid>
      <w:tr w:rsidR="008B1196" w:rsidRPr="00EB4D74" w:rsidTr="00EA30FC">
        <w:tc>
          <w:tcPr>
            <w:tcW w:w="855" w:type="pct"/>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lastRenderedPageBreak/>
              <w:t>Severidade</w:t>
            </w:r>
          </w:p>
        </w:tc>
        <w:tc>
          <w:tcPr>
            <w:tcW w:w="920" w:type="pct"/>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Contato</w:t>
            </w:r>
          </w:p>
        </w:tc>
        <w:tc>
          <w:tcPr>
            <w:tcW w:w="1745" w:type="pct"/>
            <w:shd w:val="clear" w:color="auto" w:fill="FABF8F"/>
          </w:tcPr>
          <w:p w:rsidR="008B1196" w:rsidRPr="00EB4D74" w:rsidRDefault="008B1196" w:rsidP="00EA30FC">
            <w:pPr>
              <w:jc w:val="center"/>
              <w:rPr>
                <w:rFonts w:cs="Tahoma"/>
                <w:b/>
                <w:bCs/>
                <w:color w:val="000000"/>
                <w:sz w:val="20"/>
                <w:szCs w:val="18"/>
              </w:rPr>
            </w:pPr>
            <w:r w:rsidRPr="00EB4D74">
              <w:rPr>
                <w:rFonts w:cs="Tahoma"/>
                <w:b/>
                <w:color w:val="000000"/>
                <w:sz w:val="20"/>
                <w:lang w:val="pt-BR"/>
              </w:rPr>
              <w:t>Situação do Cliente</w:t>
            </w:r>
          </w:p>
        </w:tc>
        <w:tc>
          <w:tcPr>
            <w:tcW w:w="1480" w:type="pct"/>
            <w:shd w:val="clear" w:color="auto" w:fill="FABF8F"/>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Resposta Esperada da Microsoft</w:t>
            </w:r>
          </w:p>
        </w:tc>
      </w:tr>
      <w:tr w:rsidR="008B1196" w:rsidRPr="00EB4D74" w:rsidTr="00EA30FC">
        <w:tc>
          <w:tcPr>
            <w:tcW w:w="855" w:type="pct"/>
          </w:tcPr>
          <w:p w:rsidR="008B1196" w:rsidRPr="00EB4D74" w:rsidRDefault="008B1196" w:rsidP="00EA30FC">
            <w:pPr>
              <w:spacing w:after="60" w:line="240" w:lineRule="atLeast"/>
              <w:jc w:val="center"/>
              <w:rPr>
                <w:rFonts w:cs="Tahoma"/>
              </w:rPr>
            </w:pPr>
            <w:r w:rsidRPr="00EB4D74">
              <w:rPr>
                <w:rFonts w:cs="Tahoma"/>
                <w:lang w:val="pt-BR"/>
              </w:rPr>
              <w:t>C</w:t>
            </w:r>
          </w:p>
          <w:p w:rsidR="008B1196" w:rsidRPr="00EB4D74" w:rsidRDefault="008B1196" w:rsidP="00EA30FC">
            <w:pPr>
              <w:spacing w:after="60" w:line="240" w:lineRule="atLeast"/>
              <w:jc w:val="center"/>
              <w:rPr>
                <w:rFonts w:cs="Tahoma"/>
                <w:szCs w:val="18"/>
              </w:rPr>
            </w:pPr>
            <w:r w:rsidRPr="00EB4D74">
              <w:rPr>
                <w:rFonts w:cs="Tahoma"/>
                <w:szCs w:val="18"/>
                <w:lang w:val="pt-BR"/>
              </w:rPr>
              <w:t>(Todos os casos assumirão como padrão a Severidade C)</w:t>
            </w:r>
          </w:p>
        </w:tc>
        <w:tc>
          <w:tcPr>
            <w:tcW w:w="920" w:type="pct"/>
          </w:tcPr>
          <w:p w:rsidR="008B1196" w:rsidRPr="00EB4D74" w:rsidRDefault="008B1196" w:rsidP="00EA30FC">
            <w:pPr>
              <w:spacing w:after="60" w:line="240" w:lineRule="atLeast"/>
              <w:jc w:val="center"/>
              <w:rPr>
                <w:rFonts w:cs="Tahoma"/>
                <w:szCs w:val="18"/>
              </w:rPr>
            </w:pPr>
            <w:r w:rsidRPr="00EB4D74">
              <w:rPr>
                <w:rFonts w:cs="Tahoma"/>
                <w:szCs w:val="18"/>
                <w:lang w:val="pt-BR"/>
              </w:rPr>
              <w:t>Solicitação pela Web</w:t>
            </w:r>
          </w:p>
        </w:tc>
        <w:tc>
          <w:tcPr>
            <w:tcW w:w="1745" w:type="pct"/>
          </w:tcPr>
          <w:p w:rsidR="008B1196" w:rsidRPr="00EB4D74" w:rsidRDefault="008B1196" w:rsidP="00EA30FC">
            <w:pPr>
              <w:rPr>
                <w:rFonts w:cs="Tahoma"/>
                <w:lang w:val="it-IT"/>
              </w:rPr>
            </w:pPr>
            <w:r w:rsidRPr="00EB4D74">
              <w:rPr>
                <w:rFonts w:cs="Tahoma"/>
                <w:lang w:val="pt-BR"/>
              </w:rPr>
              <w:t>Impacto mínimo nos negócios:</w:t>
            </w:r>
          </w:p>
          <w:p w:rsidR="008B1196" w:rsidRPr="00EB4D74" w:rsidRDefault="008B1196" w:rsidP="00EA30FC">
            <w:pPr>
              <w:rPr>
                <w:rFonts w:cs="Tahoma"/>
                <w:lang w:val="it-IT"/>
              </w:rPr>
            </w:pPr>
            <w:r w:rsidRPr="00EB4D74">
              <w:rPr>
                <w:rFonts w:cs="Tahoma"/>
                <w:lang w:val="pt-BR"/>
              </w:rPr>
              <w:t>Funcionamento de forma substancial, com poucos ou nenhum impedimento dos serviços</w:t>
            </w:r>
          </w:p>
          <w:p w:rsidR="008B1196" w:rsidRPr="00EB4D74" w:rsidRDefault="008B1196" w:rsidP="00EA30FC">
            <w:pPr>
              <w:spacing w:after="60" w:line="240" w:lineRule="atLeast"/>
              <w:rPr>
                <w:rFonts w:cs="Tahoma"/>
                <w:szCs w:val="18"/>
                <w:lang w:val="it-IT"/>
              </w:rPr>
            </w:pPr>
            <w:r w:rsidRPr="00EB4D74">
              <w:rPr>
                <w:rFonts w:cs="Tahoma"/>
                <w:szCs w:val="18"/>
                <w:lang w:val="pt-BR"/>
              </w:rPr>
              <w:t>Necessita de atenção em 8 horas</w:t>
            </w:r>
          </w:p>
        </w:tc>
        <w:tc>
          <w:tcPr>
            <w:tcW w:w="1480" w:type="pct"/>
          </w:tcPr>
          <w:p w:rsidR="008B1196" w:rsidRPr="00EB4D74" w:rsidRDefault="008B1196" w:rsidP="00EA30FC">
            <w:pPr>
              <w:rPr>
                <w:rFonts w:cs="Tahoma"/>
              </w:rPr>
            </w:pPr>
            <w:r w:rsidRPr="00EB4D74">
              <w:rPr>
                <w:rFonts w:cs="Tahoma"/>
                <w:lang w:val="pt-BR"/>
              </w:rPr>
              <w:t>1ª resposta em 8 horas ou menos</w:t>
            </w:r>
          </w:p>
          <w:p w:rsidR="008B1196" w:rsidRPr="00EB4D74" w:rsidRDefault="008B1196" w:rsidP="00EA30FC">
            <w:pPr>
              <w:spacing w:line="240" w:lineRule="atLeast"/>
              <w:rPr>
                <w:rFonts w:cs="Tahoma"/>
                <w:szCs w:val="18"/>
              </w:rPr>
            </w:pPr>
          </w:p>
        </w:tc>
      </w:tr>
    </w:tbl>
    <w:p w:rsidR="008B1196" w:rsidRPr="00EB4D74" w:rsidRDefault="008B1196" w:rsidP="008B1196">
      <w:pPr>
        <w:tabs>
          <w:tab w:val="left" w:pos="360"/>
        </w:tabs>
        <w:jc w:val="both"/>
        <w:rPr>
          <w:rFonts w:cs="Tahoma"/>
          <w:snapToGrid w:val="0"/>
          <w:color w:val="000000"/>
          <w:sz w:val="22"/>
          <w:lang w:val="pt-BR"/>
        </w:rPr>
      </w:pPr>
    </w:p>
    <w:p w:rsidR="008B1196" w:rsidRPr="00EB4D74" w:rsidRDefault="008B1196" w:rsidP="008B1196">
      <w:pPr>
        <w:tabs>
          <w:tab w:val="left" w:pos="360"/>
        </w:tabs>
        <w:jc w:val="both"/>
        <w:rPr>
          <w:rFonts w:cs="Tahoma"/>
          <w:lang w:val="it-IT"/>
        </w:rPr>
      </w:pPr>
      <w:r w:rsidRPr="00EB4D74">
        <w:rPr>
          <w:rFonts w:cs="Tahoma"/>
          <w:snapToGrid w:val="0"/>
          <w:color w:val="000000"/>
          <w:szCs w:val="18"/>
          <w:lang w:val="pt-BR"/>
        </w:rPr>
        <w:t xml:space="preserve">A equipe de Suporte do Windows Azure trabalhará com clientes para solucionar o problema e ajudar a resolver os Incidentes pelos canais online (por exemplo, por email ou portal do Windows Azure). </w:t>
      </w:r>
      <w:r w:rsidRPr="00EB4D74">
        <w:rPr>
          <w:rFonts w:cs="Tahoma"/>
          <w:color w:val="000000"/>
          <w:lang w:val="pt-BR"/>
        </w:rPr>
        <w:t>A equipe de Suporte do Windows Azure poderá contatar o cliente pelo número de telefone fornecido pelo cliente, se necessário, para resolver um Incidente.</w:t>
      </w:r>
    </w:p>
    <w:p w:rsidR="008B1196" w:rsidRPr="00EB4D74" w:rsidRDefault="008B1196" w:rsidP="008B1196">
      <w:pPr>
        <w:tabs>
          <w:tab w:val="left" w:pos="360"/>
        </w:tabs>
        <w:jc w:val="both"/>
        <w:rPr>
          <w:rFonts w:cs="Tahoma"/>
          <w:lang w:val="it-IT"/>
        </w:rPr>
      </w:pP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sz w:val="24"/>
          <w:lang w:val="pt-BR"/>
        </w:rPr>
        <w:t>Ofertas do Programa Microsoft Enterprise Strategy</w:t>
      </w:r>
    </w:p>
    <w:p w:rsidR="008B1196" w:rsidRPr="00EB4D74" w:rsidRDefault="008B1196" w:rsidP="008B1196">
      <w:pPr>
        <w:rPr>
          <w:rFonts w:cs="Tahoma"/>
          <w:lang w:val="it-IT"/>
        </w:rPr>
      </w:pPr>
    </w:p>
    <w:p w:rsidR="008B1196" w:rsidRPr="00EB4D74" w:rsidRDefault="008B1196" w:rsidP="008B1196">
      <w:pPr>
        <w:widowControl w:val="0"/>
        <w:tabs>
          <w:tab w:val="left" w:pos="720"/>
          <w:tab w:val="left" w:pos="1170"/>
        </w:tabs>
        <w:rPr>
          <w:rFonts w:cs="Tahoma"/>
          <w:lang w:val="it-IT"/>
        </w:rPr>
      </w:pPr>
      <w:r w:rsidRPr="00EB4D74">
        <w:rPr>
          <w:rFonts w:cs="Tahoma"/>
          <w:b/>
          <w:sz w:val="20"/>
          <w:lang w:val="pt-BR"/>
        </w:rPr>
        <w:t>Visão Geral do Programa Enterprise Strategy</w:t>
      </w:r>
    </w:p>
    <w:p w:rsidR="008B1196" w:rsidRPr="00EB4D74" w:rsidRDefault="008B1196" w:rsidP="008B1196">
      <w:pPr>
        <w:widowControl w:val="0"/>
        <w:tabs>
          <w:tab w:val="left" w:pos="720"/>
          <w:tab w:val="left" w:pos="1170"/>
        </w:tabs>
        <w:rPr>
          <w:rFonts w:cs="Tahoma"/>
          <w:lang w:val="it-IT"/>
        </w:rPr>
      </w:pPr>
    </w:p>
    <w:p w:rsidR="008B1196" w:rsidRPr="00EB4D74" w:rsidRDefault="008B1196" w:rsidP="008B1196">
      <w:pPr>
        <w:rPr>
          <w:rFonts w:cs="Tahoma"/>
          <w:lang w:val="it-IT"/>
        </w:rPr>
      </w:pPr>
      <w:r w:rsidRPr="00EB4D74">
        <w:rPr>
          <w:rFonts w:cs="Tahoma"/>
          <w:lang w:val="pt-BR"/>
        </w:rPr>
        <w:t>O Programa Enterprise Strategy para o Contrato Microsoft Enterprise oferece aos clientes a consultoria de um Arquiteto Microsoft Enterprise sobre como acelerar o tempo de implantação e como planejar uma alteração significativa para valorizar seu investimento feito nas tecnologias e nos produtos da Microsoft. Cronogramas, datas e programações de entrega são apenas estimativas e estão sujeitos a alterações.</w:t>
      </w:r>
    </w:p>
    <w:p w:rsidR="008B1196" w:rsidRPr="00EB4D74" w:rsidRDefault="008B1196" w:rsidP="008B1196">
      <w:pPr>
        <w:spacing w:after="60"/>
        <w:rPr>
          <w:rFonts w:cs="Tahoma"/>
          <w:lang w:val="it-IT"/>
        </w:rPr>
      </w:pPr>
    </w:p>
    <w:p w:rsidR="008B1196" w:rsidRPr="00EB4D74" w:rsidRDefault="008B1196" w:rsidP="008B1196">
      <w:pPr>
        <w:spacing w:after="60"/>
        <w:rPr>
          <w:rFonts w:cs="Tahoma"/>
          <w:lang w:val="it-IT"/>
        </w:rPr>
      </w:pPr>
      <w:r w:rsidRPr="00EB4D74">
        <w:rPr>
          <w:rFonts w:cs="Tahoma"/>
          <w:lang w:val="pt-BR"/>
        </w:rPr>
        <w:t>As ofertas do Programa Enterprise Strategy contêm os seguintes componentes, que serão fornecidos para cada ano do Contrato Enterprise do Cliente:</w:t>
      </w:r>
    </w:p>
    <w:p w:rsidR="008B1196" w:rsidRPr="00EB4D74" w:rsidRDefault="008B1196" w:rsidP="008B1196">
      <w:pPr>
        <w:spacing w:after="60"/>
        <w:rPr>
          <w:rFonts w:cs="Tahoma"/>
          <w:lang w:val="it-IT"/>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8B1196" w:rsidRPr="00EB4D74" w:rsidTr="00EA30FC">
        <w:tc>
          <w:tcPr>
            <w:tcW w:w="2555" w:type="dxa"/>
            <w:shd w:val="clear" w:color="auto" w:fill="FABF8F"/>
            <w:vAlign w:val="center"/>
          </w:tcPr>
          <w:p w:rsidR="008B1196" w:rsidRPr="00EB4D74" w:rsidRDefault="008B1196" w:rsidP="00EA30FC">
            <w:pPr>
              <w:jc w:val="center"/>
              <w:rPr>
                <w:rFonts w:cs="Tahoma"/>
                <w:color w:val="000000"/>
                <w:szCs w:val="18"/>
              </w:rPr>
            </w:pPr>
            <w:r w:rsidRPr="00EB4D74">
              <w:rPr>
                <w:rFonts w:cs="Tahoma"/>
                <w:b/>
                <w:color w:val="000000"/>
                <w:sz w:val="20"/>
                <w:lang w:val="pt-BR"/>
              </w:rPr>
              <w:t>Área</w:t>
            </w:r>
          </w:p>
        </w:tc>
        <w:tc>
          <w:tcPr>
            <w:tcW w:w="2215" w:type="dxa"/>
            <w:shd w:val="clear" w:color="auto" w:fill="FABF8F"/>
            <w:vAlign w:val="center"/>
          </w:tcPr>
          <w:p w:rsidR="008B1196" w:rsidRPr="00EB4D74" w:rsidRDefault="008B1196" w:rsidP="00EA30FC">
            <w:pPr>
              <w:jc w:val="center"/>
              <w:rPr>
                <w:rFonts w:cs="Tahoma"/>
                <w:b/>
                <w:bCs/>
                <w:color w:val="000000"/>
                <w:sz w:val="20"/>
                <w:szCs w:val="20"/>
              </w:rPr>
            </w:pPr>
            <w:r w:rsidRPr="00EB4D74">
              <w:rPr>
                <w:rFonts w:cs="Tahoma"/>
                <w:b/>
                <w:color w:val="000000"/>
                <w:sz w:val="20"/>
                <w:lang w:val="pt-BR"/>
              </w:rPr>
              <w:t>Enterprise Strategy Connect</w:t>
            </w:r>
          </w:p>
        </w:tc>
        <w:tc>
          <w:tcPr>
            <w:tcW w:w="2340" w:type="dxa"/>
            <w:shd w:val="clear" w:color="auto" w:fill="FABF8F"/>
            <w:vAlign w:val="center"/>
          </w:tcPr>
          <w:p w:rsidR="008B1196" w:rsidRPr="00EB4D74" w:rsidRDefault="008B1196" w:rsidP="00EA30FC">
            <w:pPr>
              <w:jc w:val="center"/>
              <w:rPr>
                <w:rFonts w:cs="Tahoma"/>
                <w:color w:val="000000"/>
                <w:sz w:val="20"/>
                <w:szCs w:val="20"/>
              </w:rPr>
            </w:pPr>
            <w:r w:rsidRPr="00EB4D74">
              <w:rPr>
                <w:rFonts w:cs="Tahoma"/>
                <w:b/>
                <w:color w:val="000000"/>
                <w:sz w:val="20"/>
                <w:lang w:val="pt-BR"/>
              </w:rPr>
              <w:t>Enterprise Strategy Foundation</w:t>
            </w:r>
          </w:p>
        </w:tc>
        <w:tc>
          <w:tcPr>
            <w:tcW w:w="2250" w:type="dxa"/>
            <w:shd w:val="clear" w:color="auto" w:fill="FABF8F"/>
            <w:vAlign w:val="center"/>
          </w:tcPr>
          <w:p w:rsidR="008B1196" w:rsidRPr="00EB4D74" w:rsidRDefault="008B1196" w:rsidP="00EA30FC">
            <w:pPr>
              <w:jc w:val="center"/>
              <w:rPr>
                <w:rFonts w:cs="Tahoma"/>
                <w:b/>
                <w:bCs/>
                <w:color w:val="000000"/>
                <w:sz w:val="20"/>
                <w:szCs w:val="18"/>
              </w:rPr>
            </w:pPr>
            <w:r w:rsidRPr="00EB4D74">
              <w:rPr>
                <w:rFonts w:cs="Tahoma"/>
                <w:b/>
                <w:bCs/>
                <w:color w:val="000000"/>
                <w:sz w:val="20"/>
                <w:szCs w:val="18"/>
                <w:lang w:val="pt-BR"/>
              </w:rPr>
              <w:t>Enterprise Strategy Portfolio</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szCs w:val="18"/>
                <w:lang w:val="pt-BR"/>
              </w:rPr>
              <w:t>Arquiteto Enterprise</w:t>
            </w:r>
          </w:p>
        </w:tc>
        <w:tc>
          <w:tcPr>
            <w:tcW w:w="2215" w:type="dxa"/>
            <w:vAlign w:val="center"/>
          </w:tcPr>
          <w:p w:rsidR="008B1196" w:rsidRPr="00EB4D74" w:rsidRDefault="008B1196" w:rsidP="00EA30FC">
            <w:pPr>
              <w:jc w:val="center"/>
              <w:rPr>
                <w:rFonts w:eastAsia="MS UI Gothic" w:cs="Tahoma"/>
                <w:color w:val="000000"/>
                <w:szCs w:val="18"/>
                <w:lang w:val="it-IT"/>
              </w:rPr>
            </w:pPr>
            <w:r w:rsidRPr="00EB4D74">
              <w:rPr>
                <w:rFonts w:cs="Tahoma"/>
                <w:color w:val="000000"/>
                <w:lang w:val="pt-BR"/>
              </w:rPr>
              <w:t>1 Arquiteto Microsoft Enterprise disponível 25% do período</w:t>
            </w:r>
          </w:p>
        </w:tc>
        <w:tc>
          <w:tcPr>
            <w:tcW w:w="2340" w:type="dxa"/>
            <w:vAlign w:val="center"/>
          </w:tcPr>
          <w:p w:rsidR="008B1196" w:rsidRPr="00EB4D74" w:rsidRDefault="008B1196" w:rsidP="00EA30FC">
            <w:pPr>
              <w:jc w:val="center"/>
              <w:rPr>
                <w:rFonts w:cs="Tahoma"/>
                <w:color w:val="000000"/>
                <w:szCs w:val="18"/>
                <w:lang w:val="it-IT"/>
              </w:rPr>
            </w:pPr>
            <w:r w:rsidRPr="00EB4D74">
              <w:rPr>
                <w:rFonts w:cs="Tahoma"/>
                <w:color w:val="000000"/>
                <w:lang w:val="pt-BR"/>
              </w:rPr>
              <w:t>1 Arquiteto Microsoft Enterprise de meio período</w:t>
            </w:r>
          </w:p>
        </w:tc>
        <w:tc>
          <w:tcPr>
            <w:tcW w:w="2250" w:type="dxa"/>
            <w:vAlign w:val="center"/>
          </w:tcPr>
          <w:p w:rsidR="008B1196" w:rsidRPr="00EB4D74" w:rsidRDefault="008B1196" w:rsidP="00EA30FC">
            <w:pPr>
              <w:jc w:val="center"/>
              <w:rPr>
                <w:rFonts w:cs="Tahoma"/>
                <w:color w:val="000000"/>
                <w:szCs w:val="18"/>
                <w:lang w:val="it-IT"/>
              </w:rPr>
            </w:pPr>
            <w:r w:rsidRPr="00EB4D74">
              <w:rPr>
                <w:rFonts w:cs="Tahoma"/>
                <w:color w:val="000000"/>
                <w:lang w:val="pt-BR"/>
              </w:rPr>
              <w:t>1 Arquiteto Microsoft Enterprise em período integral</w:t>
            </w:r>
          </w:p>
        </w:tc>
      </w:tr>
      <w:tr w:rsidR="008B1196" w:rsidRPr="00EB4D74" w:rsidTr="00EA30FC">
        <w:tc>
          <w:tcPr>
            <w:tcW w:w="2555" w:type="dxa"/>
            <w:vAlign w:val="center"/>
          </w:tcPr>
          <w:p w:rsidR="008B1196" w:rsidRPr="00EB4D74" w:rsidRDefault="008B1196" w:rsidP="00EA30FC">
            <w:pPr>
              <w:rPr>
                <w:rFonts w:cs="Tahoma"/>
                <w:color w:val="000000"/>
                <w:szCs w:val="18"/>
              </w:rPr>
            </w:pPr>
            <w:bookmarkStart w:id="1022" w:name="OLE_LINK5"/>
            <w:bookmarkStart w:id="1023" w:name="OLE_LINK6"/>
            <w:bookmarkEnd w:id="1022"/>
            <w:bookmarkEnd w:id="1023"/>
            <w:r w:rsidRPr="00EB4D74">
              <w:rPr>
                <w:rFonts w:cs="Tahoma"/>
                <w:color w:val="000000"/>
                <w:lang w:val="pt-BR"/>
              </w:rPr>
              <w:t>Avaliação</w:t>
            </w:r>
            <w:r w:rsidRPr="00EB4D74">
              <w:rPr>
                <w:rFonts w:cs="Tahoma"/>
                <w:b/>
                <w:color w:val="000000"/>
                <w:sz w:val="20"/>
                <w:vertAlign w:val="superscript"/>
                <w:lang w:val="pt-BR"/>
              </w:rPr>
              <w:t>1</w:t>
            </w:r>
          </w:p>
        </w:tc>
        <w:tc>
          <w:tcPr>
            <w:tcW w:w="2215" w:type="dxa"/>
            <w:vAlign w:val="center"/>
          </w:tcPr>
          <w:p w:rsidR="008B1196" w:rsidRPr="00EB4D74" w:rsidRDefault="008B1196" w:rsidP="00EA30FC">
            <w:pPr>
              <w:jc w:val="center"/>
              <w:rPr>
                <w:rFonts w:cs="Tahoma"/>
                <w:color w:val="000000"/>
                <w:szCs w:val="18"/>
              </w:rPr>
            </w:pPr>
            <w:r w:rsidRPr="00EB4D74">
              <w:rPr>
                <w:rFonts w:cs="Tahoma"/>
                <w:color w:val="000000"/>
                <w:lang w:val="pt-BR"/>
              </w:rPr>
              <w:t>Até 25% do esforço do Arquiteto por ano</w:t>
            </w:r>
          </w:p>
        </w:tc>
        <w:tc>
          <w:tcPr>
            <w:tcW w:w="2340" w:type="dxa"/>
            <w:vAlign w:val="center"/>
          </w:tcPr>
          <w:p w:rsidR="008B1196" w:rsidRPr="00EB4D74" w:rsidRDefault="008B1196" w:rsidP="00EA30FC">
            <w:pPr>
              <w:jc w:val="center"/>
              <w:rPr>
                <w:rFonts w:cs="Tahoma"/>
                <w:color w:val="000000"/>
                <w:szCs w:val="18"/>
              </w:rPr>
            </w:pPr>
            <w:r w:rsidRPr="00EB4D74">
              <w:rPr>
                <w:rFonts w:cs="Tahoma"/>
                <w:color w:val="000000"/>
                <w:lang w:val="pt-BR"/>
              </w:rPr>
              <w:t>Até 25% do esforço do Arquiteto por ano</w:t>
            </w:r>
          </w:p>
        </w:tc>
        <w:tc>
          <w:tcPr>
            <w:tcW w:w="2250" w:type="dxa"/>
            <w:vAlign w:val="center"/>
          </w:tcPr>
          <w:p w:rsidR="008B1196" w:rsidRPr="00EB4D74" w:rsidRDefault="008B1196" w:rsidP="00EA30FC">
            <w:pPr>
              <w:jc w:val="center"/>
              <w:rPr>
                <w:rFonts w:cs="Tahoma"/>
                <w:color w:val="000000"/>
                <w:szCs w:val="18"/>
              </w:rPr>
            </w:pPr>
            <w:r w:rsidRPr="00EB4D74">
              <w:rPr>
                <w:rFonts w:cs="Tahoma"/>
                <w:color w:val="000000"/>
                <w:lang w:val="pt-BR"/>
              </w:rPr>
              <w:t>Até 25% do esforço do Arquiteto por ano</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lang w:val="pt-BR"/>
              </w:rPr>
              <w:t>Projeto Enterprise Strategy</w:t>
            </w:r>
            <w:r w:rsidRPr="00EB4D74">
              <w:rPr>
                <w:rFonts w:cs="Tahoma"/>
                <w:b/>
                <w:color w:val="000000"/>
                <w:sz w:val="20"/>
                <w:vertAlign w:val="superscript"/>
                <w:lang w:val="pt-BR"/>
              </w:rPr>
              <w:t>1</w:t>
            </w:r>
          </w:p>
        </w:tc>
        <w:tc>
          <w:tcPr>
            <w:tcW w:w="2215" w:type="dxa"/>
            <w:vAlign w:val="center"/>
          </w:tcPr>
          <w:p w:rsidR="008B1196" w:rsidRPr="00EB4D74" w:rsidRDefault="008B1196" w:rsidP="00EA30FC">
            <w:pPr>
              <w:jc w:val="center"/>
              <w:rPr>
                <w:rFonts w:cs="Tahoma"/>
                <w:color w:val="000000"/>
                <w:szCs w:val="18"/>
              </w:rPr>
            </w:pPr>
            <w:r w:rsidRPr="00EB4D74">
              <w:rPr>
                <w:rFonts w:cs="Tahoma"/>
                <w:color w:val="000000"/>
                <w:lang w:val="pt-BR"/>
              </w:rPr>
              <w:t>Até 75% do esforço do Arquiteto por ano</w:t>
            </w:r>
          </w:p>
        </w:tc>
        <w:tc>
          <w:tcPr>
            <w:tcW w:w="2340" w:type="dxa"/>
            <w:vAlign w:val="center"/>
          </w:tcPr>
          <w:p w:rsidR="008B1196" w:rsidRPr="00EB4D74" w:rsidRDefault="008B1196" w:rsidP="00EA30FC">
            <w:pPr>
              <w:jc w:val="center"/>
              <w:rPr>
                <w:rFonts w:cs="Tahoma"/>
                <w:color w:val="000000"/>
                <w:szCs w:val="18"/>
              </w:rPr>
            </w:pPr>
            <w:r w:rsidRPr="00EB4D74">
              <w:rPr>
                <w:rFonts w:cs="Tahoma"/>
                <w:color w:val="000000"/>
                <w:lang w:val="pt-BR"/>
              </w:rPr>
              <w:t>Até 75% do esforço do Arquiteto por ano</w:t>
            </w:r>
          </w:p>
        </w:tc>
        <w:tc>
          <w:tcPr>
            <w:tcW w:w="2250" w:type="dxa"/>
            <w:vAlign w:val="center"/>
          </w:tcPr>
          <w:p w:rsidR="008B1196" w:rsidRPr="00EB4D74" w:rsidRDefault="008B1196" w:rsidP="00EA30FC">
            <w:pPr>
              <w:jc w:val="center"/>
              <w:rPr>
                <w:rFonts w:cs="Tahoma"/>
                <w:color w:val="000000"/>
                <w:szCs w:val="18"/>
              </w:rPr>
            </w:pPr>
            <w:r w:rsidRPr="00EB4D74">
              <w:rPr>
                <w:rFonts w:cs="Tahoma"/>
                <w:color w:val="000000"/>
                <w:lang w:val="pt-BR"/>
              </w:rPr>
              <w:t>Até 75% do esforço do Arquiteto por ano</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szCs w:val="18"/>
                <w:lang w:val="pt-BR"/>
              </w:rPr>
              <w:t>Oficinas do Compromisso</w:t>
            </w:r>
          </w:p>
        </w:tc>
        <w:tc>
          <w:tcPr>
            <w:tcW w:w="2215" w:type="dxa"/>
            <w:vAlign w:val="center"/>
          </w:tcPr>
          <w:p w:rsidR="008B1196" w:rsidRPr="00EB4D74" w:rsidRDefault="008B1196" w:rsidP="00EA30FC">
            <w:pPr>
              <w:jc w:val="center"/>
              <w:rPr>
                <w:rFonts w:cs="Tahoma"/>
                <w:color w:val="000000"/>
                <w:szCs w:val="18"/>
              </w:rPr>
            </w:pPr>
            <w:r w:rsidRPr="00EB4D74">
              <w:rPr>
                <w:rFonts w:cs="Tahoma"/>
                <w:color w:val="000000"/>
                <w:lang w:val="pt-BR"/>
              </w:rPr>
              <w:t>Até 1 por ano</w:t>
            </w:r>
          </w:p>
        </w:tc>
        <w:tc>
          <w:tcPr>
            <w:tcW w:w="2340" w:type="dxa"/>
            <w:vAlign w:val="center"/>
          </w:tcPr>
          <w:p w:rsidR="008B1196" w:rsidRPr="00EB4D74" w:rsidRDefault="008B1196" w:rsidP="00EA30FC">
            <w:pPr>
              <w:jc w:val="center"/>
              <w:rPr>
                <w:rFonts w:cs="Tahoma"/>
                <w:color w:val="000000"/>
                <w:szCs w:val="18"/>
              </w:rPr>
            </w:pPr>
            <w:r w:rsidRPr="00EB4D74">
              <w:rPr>
                <w:rFonts w:cs="Tahoma"/>
                <w:color w:val="000000"/>
                <w:szCs w:val="18"/>
                <w:lang w:val="pt-BR"/>
              </w:rPr>
              <w:t>Até 2 por ano</w:t>
            </w:r>
          </w:p>
        </w:tc>
        <w:tc>
          <w:tcPr>
            <w:tcW w:w="2250" w:type="dxa"/>
            <w:vAlign w:val="center"/>
          </w:tcPr>
          <w:p w:rsidR="008B1196" w:rsidRPr="00EB4D74" w:rsidRDefault="008B1196" w:rsidP="00EA30FC">
            <w:pPr>
              <w:spacing w:before="120"/>
              <w:jc w:val="center"/>
              <w:rPr>
                <w:rFonts w:cs="Tahoma"/>
                <w:color w:val="000000"/>
                <w:szCs w:val="18"/>
              </w:rPr>
            </w:pPr>
            <w:r w:rsidRPr="00EB4D74">
              <w:rPr>
                <w:rFonts w:cs="Tahoma"/>
                <w:lang w:val="pt-BR"/>
              </w:rPr>
              <w:t>Até 4 por ano</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lang w:val="pt-BR"/>
              </w:rPr>
              <w:t>Enterprise Strategy Network</w:t>
            </w:r>
          </w:p>
        </w:tc>
        <w:tc>
          <w:tcPr>
            <w:tcW w:w="2215" w:type="dxa"/>
            <w:vAlign w:val="center"/>
          </w:tcPr>
          <w:p w:rsidR="008B1196" w:rsidRPr="00EB4D74" w:rsidRDefault="008B1196" w:rsidP="00EA30FC">
            <w:pPr>
              <w:jc w:val="center"/>
              <w:rPr>
                <w:rFonts w:eastAsia="MS UI Gothic" w:cs="Tahoma"/>
                <w:color w:val="000000"/>
                <w:szCs w:val="18"/>
              </w:rPr>
            </w:pPr>
            <w:r w:rsidRPr="00EB4D74">
              <w:rPr>
                <w:rFonts w:ascii="MS UI Gothic" w:eastAsia="MS UI Gothic" w:hAnsi="MS UI Gothic" w:cs="MS UI Gothic" w:hint="eastAsia"/>
                <w:color w:val="000000"/>
                <w:lang w:val="pt-BR"/>
              </w:rPr>
              <w:t>✓</w:t>
            </w:r>
          </w:p>
        </w:tc>
        <w:tc>
          <w:tcPr>
            <w:tcW w:w="2340" w:type="dxa"/>
            <w:vAlign w:val="center"/>
          </w:tcPr>
          <w:p w:rsidR="008B1196" w:rsidRPr="00EB4D74" w:rsidRDefault="008B1196" w:rsidP="00EA30FC">
            <w:pPr>
              <w:jc w:val="center"/>
              <w:rPr>
                <w:rFonts w:eastAsia="MS UI Gothic" w:cs="Tahoma"/>
                <w:color w:val="000000"/>
                <w:szCs w:val="18"/>
              </w:rPr>
            </w:pPr>
            <w:r w:rsidRPr="00EB4D74">
              <w:rPr>
                <w:rFonts w:ascii="MS UI Gothic" w:eastAsia="MS UI Gothic" w:hAnsi="MS UI Gothic" w:cs="MS UI Gothic" w:hint="eastAsia"/>
                <w:color w:val="000000"/>
                <w:lang w:val="pt-BR"/>
              </w:rPr>
              <w:t>✓</w:t>
            </w:r>
          </w:p>
        </w:tc>
        <w:tc>
          <w:tcPr>
            <w:tcW w:w="2250" w:type="dxa"/>
            <w:vAlign w:val="center"/>
          </w:tcPr>
          <w:p w:rsidR="008B1196" w:rsidRPr="00EB4D74" w:rsidRDefault="008B1196" w:rsidP="00EA30FC">
            <w:pPr>
              <w:jc w:val="center"/>
              <w:rPr>
                <w:rFonts w:eastAsia="MS UI Gothic" w:cs="Tahoma"/>
              </w:rPr>
            </w:pPr>
            <w:r w:rsidRPr="00EB4D74">
              <w:rPr>
                <w:rFonts w:ascii="MS UI Gothic" w:eastAsia="MS UI Gothic" w:hAnsi="MS UI Gothic" w:cs="MS UI Gothic" w:hint="eastAsia"/>
                <w:color w:val="000000"/>
                <w:lang w:val="pt-BR"/>
              </w:rPr>
              <w:t>✓</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lang w:val="pt-BR"/>
              </w:rPr>
              <w:t>Enterprise Strategy Library</w:t>
            </w:r>
          </w:p>
        </w:tc>
        <w:tc>
          <w:tcPr>
            <w:tcW w:w="2215" w:type="dxa"/>
            <w:vAlign w:val="center"/>
          </w:tcPr>
          <w:p w:rsidR="008B1196" w:rsidRPr="00EB4D74" w:rsidRDefault="008B1196" w:rsidP="00EA30FC">
            <w:pPr>
              <w:jc w:val="center"/>
              <w:rPr>
                <w:rFonts w:eastAsia="MS UI Gothic" w:cs="Tahoma"/>
                <w:color w:val="000000"/>
                <w:szCs w:val="18"/>
              </w:rPr>
            </w:pPr>
            <w:r w:rsidRPr="00EB4D74">
              <w:rPr>
                <w:rFonts w:ascii="MS UI Gothic" w:eastAsia="MS UI Gothic" w:hAnsi="MS UI Gothic" w:cs="MS UI Gothic" w:hint="eastAsia"/>
                <w:color w:val="000000"/>
                <w:lang w:val="pt-BR"/>
              </w:rPr>
              <w:t>✓</w:t>
            </w:r>
          </w:p>
        </w:tc>
        <w:tc>
          <w:tcPr>
            <w:tcW w:w="2340" w:type="dxa"/>
            <w:vAlign w:val="center"/>
          </w:tcPr>
          <w:p w:rsidR="008B1196" w:rsidRPr="00EB4D74" w:rsidRDefault="008B1196" w:rsidP="00EA30FC">
            <w:pPr>
              <w:jc w:val="center"/>
              <w:rPr>
                <w:rFonts w:eastAsia="MS UI Gothic" w:cs="Tahoma"/>
                <w:color w:val="000000"/>
                <w:szCs w:val="18"/>
              </w:rPr>
            </w:pPr>
            <w:r w:rsidRPr="00EB4D74">
              <w:rPr>
                <w:rFonts w:ascii="MS UI Gothic" w:eastAsia="MS UI Gothic" w:hAnsi="MS UI Gothic" w:cs="MS UI Gothic" w:hint="eastAsia"/>
                <w:color w:val="000000"/>
                <w:lang w:val="pt-BR"/>
              </w:rPr>
              <w:t>✓</w:t>
            </w:r>
          </w:p>
        </w:tc>
        <w:tc>
          <w:tcPr>
            <w:tcW w:w="2250" w:type="dxa"/>
            <w:vAlign w:val="center"/>
          </w:tcPr>
          <w:p w:rsidR="008B1196" w:rsidRPr="00EB4D74" w:rsidRDefault="008B1196" w:rsidP="00EA30FC">
            <w:pPr>
              <w:jc w:val="center"/>
              <w:rPr>
                <w:rFonts w:eastAsia="MS UI Gothic" w:cs="Tahoma"/>
              </w:rPr>
            </w:pPr>
            <w:r w:rsidRPr="00EB4D74">
              <w:rPr>
                <w:rFonts w:ascii="MS UI Gothic" w:eastAsia="MS UI Gothic" w:hAnsi="MS UI Gothic" w:cs="MS UI Gothic" w:hint="eastAsia"/>
                <w:color w:val="000000"/>
                <w:lang w:val="pt-BR"/>
              </w:rPr>
              <w:t>✓</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szCs w:val="18"/>
                <w:lang w:val="pt-BR"/>
              </w:rPr>
              <w:t>Instruções Estratégicas</w:t>
            </w:r>
          </w:p>
        </w:tc>
        <w:tc>
          <w:tcPr>
            <w:tcW w:w="2215" w:type="dxa"/>
            <w:vAlign w:val="center"/>
          </w:tcPr>
          <w:p w:rsidR="008B1196" w:rsidRPr="00EB4D74" w:rsidRDefault="008B1196" w:rsidP="00EA30FC">
            <w:pPr>
              <w:jc w:val="center"/>
              <w:rPr>
                <w:rFonts w:eastAsia="MS UI Gothic" w:cs="Tahoma"/>
                <w:color w:val="000000"/>
                <w:szCs w:val="18"/>
              </w:rPr>
            </w:pPr>
            <w:r w:rsidRPr="00EB4D74">
              <w:rPr>
                <w:rFonts w:ascii="MS UI Gothic" w:eastAsia="MS UI Gothic" w:hAnsi="MS UI Gothic" w:cs="MS UI Gothic" w:hint="eastAsia"/>
                <w:color w:val="000000"/>
                <w:lang w:val="pt-BR"/>
              </w:rPr>
              <w:t>✓</w:t>
            </w:r>
          </w:p>
        </w:tc>
        <w:tc>
          <w:tcPr>
            <w:tcW w:w="234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225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lang w:val="pt-BR"/>
              </w:rPr>
              <w:t>✓</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szCs w:val="18"/>
                <w:lang w:val="pt-BR"/>
              </w:rPr>
              <w:t>Fórum Estratégico para Arquitetos</w:t>
            </w:r>
          </w:p>
        </w:tc>
        <w:tc>
          <w:tcPr>
            <w:tcW w:w="2215" w:type="dxa"/>
            <w:vAlign w:val="center"/>
          </w:tcPr>
          <w:p w:rsidR="008B1196" w:rsidRPr="00EB4D74" w:rsidRDefault="008B1196" w:rsidP="00EA30FC">
            <w:pPr>
              <w:jc w:val="center"/>
              <w:rPr>
                <w:rFonts w:eastAsia="MS UI Gothic" w:cs="Tahoma"/>
                <w:color w:val="000000"/>
                <w:szCs w:val="18"/>
              </w:rPr>
            </w:pPr>
          </w:p>
        </w:tc>
        <w:tc>
          <w:tcPr>
            <w:tcW w:w="234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color w:val="000000"/>
                <w:lang w:val="pt-BR"/>
              </w:rPr>
              <w:t>✓</w:t>
            </w:r>
          </w:p>
        </w:tc>
        <w:tc>
          <w:tcPr>
            <w:tcW w:w="2250" w:type="dxa"/>
            <w:vAlign w:val="center"/>
          </w:tcPr>
          <w:p w:rsidR="008B1196" w:rsidRPr="00EB4D74" w:rsidRDefault="008B1196" w:rsidP="00EA30FC">
            <w:pPr>
              <w:jc w:val="center"/>
              <w:rPr>
                <w:rFonts w:cs="Tahoma"/>
                <w:color w:val="000000"/>
                <w:szCs w:val="18"/>
              </w:rPr>
            </w:pPr>
            <w:r w:rsidRPr="00EB4D74">
              <w:rPr>
                <w:rFonts w:ascii="MS UI Gothic" w:eastAsia="MS UI Gothic" w:hAnsi="MS UI Gothic" w:cs="MS UI Gothic" w:hint="eastAsia"/>
                <w:lang w:val="pt-BR"/>
              </w:rPr>
              <w:t>✓</w:t>
            </w:r>
          </w:p>
        </w:tc>
      </w:tr>
      <w:tr w:rsidR="008B1196" w:rsidRPr="00EB4D74" w:rsidTr="00EA30FC">
        <w:tc>
          <w:tcPr>
            <w:tcW w:w="2555" w:type="dxa"/>
            <w:vAlign w:val="center"/>
          </w:tcPr>
          <w:p w:rsidR="008B1196" w:rsidRPr="00EB4D74" w:rsidRDefault="008B1196" w:rsidP="00EA30FC">
            <w:pPr>
              <w:rPr>
                <w:rFonts w:cs="Tahoma"/>
                <w:color w:val="000000"/>
                <w:szCs w:val="18"/>
              </w:rPr>
            </w:pPr>
            <w:r w:rsidRPr="00EB4D74">
              <w:rPr>
                <w:rFonts w:cs="Tahoma"/>
                <w:color w:val="000000"/>
                <w:lang w:val="pt-BR"/>
              </w:rPr>
              <w:t>Enterprise Strategy Capacity Complementar</w:t>
            </w:r>
          </w:p>
        </w:tc>
        <w:tc>
          <w:tcPr>
            <w:tcW w:w="2215" w:type="dxa"/>
            <w:vAlign w:val="center"/>
          </w:tcPr>
          <w:p w:rsidR="008B1196" w:rsidRPr="00EB4D74" w:rsidRDefault="008B1196" w:rsidP="00EA30FC">
            <w:pPr>
              <w:jc w:val="center"/>
              <w:rPr>
                <w:rFonts w:eastAsia="MS UI Gothic" w:cs="Tahoma"/>
                <w:color w:val="000000"/>
                <w:szCs w:val="18"/>
              </w:rPr>
            </w:pPr>
            <w:r w:rsidRPr="00EB4D74">
              <w:rPr>
                <w:rFonts w:cs="Tahoma"/>
                <w:color w:val="000000"/>
                <w:lang w:val="pt-BR"/>
              </w:rPr>
              <w:t>200 horas</w:t>
            </w:r>
          </w:p>
        </w:tc>
        <w:tc>
          <w:tcPr>
            <w:tcW w:w="2340" w:type="dxa"/>
            <w:vAlign w:val="center"/>
          </w:tcPr>
          <w:p w:rsidR="008B1196" w:rsidRPr="00EB4D74" w:rsidRDefault="008B1196" w:rsidP="00EA30FC">
            <w:pPr>
              <w:jc w:val="center"/>
              <w:rPr>
                <w:rFonts w:eastAsia="MS UI Gothic" w:cs="Tahoma"/>
                <w:color w:val="000000"/>
                <w:szCs w:val="18"/>
              </w:rPr>
            </w:pPr>
            <w:r w:rsidRPr="00EB4D74">
              <w:rPr>
                <w:rFonts w:cs="Tahoma"/>
                <w:color w:val="000000"/>
                <w:lang w:val="pt-BR"/>
              </w:rPr>
              <w:t>200 horas</w:t>
            </w:r>
          </w:p>
        </w:tc>
        <w:tc>
          <w:tcPr>
            <w:tcW w:w="2250" w:type="dxa"/>
            <w:vAlign w:val="center"/>
          </w:tcPr>
          <w:p w:rsidR="008B1196" w:rsidRPr="00EB4D74" w:rsidRDefault="008B1196" w:rsidP="00EA30FC">
            <w:pPr>
              <w:jc w:val="center"/>
              <w:rPr>
                <w:rFonts w:eastAsia="MS UI Gothic" w:cs="Tahoma"/>
              </w:rPr>
            </w:pPr>
            <w:r w:rsidRPr="00EB4D74">
              <w:rPr>
                <w:rFonts w:cs="Tahoma"/>
                <w:color w:val="000000"/>
                <w:lang w:val="pt-BR"/>
              </w:rPr>
              <w:t>200 horas</w:t>
            </w:r>
          </w:p>
        </w:tc>
      </w:tr>
    </w:tbl>
    <w:p w:rsidR="008B1196" w:rsidRPr="00EB4D74" w:rsidRDefault="008B1196" w:rsidP="008B1196">
      <w:pPr>
        <w:rPr>
          <w:rFonts w:cs="Tahoma"/>
          <w:lang w:val="it-IT"/>
        </w:rPr>
      </w:pPr>
      <w:r w:rsidRPr="00EB4D74">
        <w:rPr>
          <w:rFonts w:cs="Tahoma"/>
          <w:b/>
          <w:color w:val="000000"/>
          <w:sz w:val="20"/>
          <w:vertAlign w:val="superscript"/>
          <w:lang w:val="pt-BR"/>
        </w:rPr>
        <w:t>1</w:t>
      </w:r>
      <w:r w:rsidRPr="00EB4D74">
        <w:rPr>
          <w:rFonts w:cs="Tahoma"/>
          <w:color w:val="000000"/>
          <w:sz w:val="20"/>
          <w:vertAlign w:val="superscript"/>
          <w:lang w:val="pt-BR"/>
        </w:rPr>
        <w:t xml:space="preserve"> </w:t>
      </w:r>
      <w:r w:rsidRPr="00EB4D74">
        <w:rPr>
          <w:rFonts w:cs="Tahoma"/>
          <w:i/>
          <w:sz w:val="16"/>
          <w:lang w:val="pt-BR"/>
        </w:rPr>
        <w:t>A quantidade de esforço real éacordada entre a Microsoft e o Cliente</w:t>
      </w:r>
    </w:p>
    <w:p w:rsidR="008B1196" w:rsidRPr="00EB4D74" w:rsidRDefault="008B1196" w:rsidP="008B1196">
      <w:pPr>
        <w:rPr>
          <w:rFonts w:cs="Tahoma"/>
          <w:lang w:val="it-IT"/>
        </w:rPr>
      </w:pPr>
    </w:p>
    <w:p w:rsidR="008B1196" w:rsidRPr="00EB4D74" w:rsidRDefault="008B1196" w:rsidP="008B1196">
      <w:pPr>
        <w:spacing w:after="60"/>
        <w:rPr>
          <w:rFonts w:cs="Tahoma"/>
        </w:rPr>
      </w:pPr>
      <w:r w:rsidRPr="00EB4D74">
        <w:rPr>
          <w:rFonts w:cs="Tahoma"/>
          <w:b/>
          <w:lang w:val="pt-BR"/>
        </w:rPr>
        <w:t>O Arquiteto Enterprise:</w:t>
      </w:r>
    </w:p>
    <w:p w:rsidR="008B1196" w:rsidRPr="00EB4D74" w:rsidRDefault="008B1196" w:rsidP="008B1196">
      <w:pPr>
        <w:numPr>
          <w:ilvl w:val="0"/>
          <w:numId w:val="47"/>
        </w:numPr>
        <w:spacing w:after="60"/>
        <w:ind w:left="1440"/>
        <w:rPr>
          <w:rFonts w:cs="Tahoma"/>
          <w:lang w:val="it-IT"/>
        </w:rPr>
      </w:pPr>
      <w:r w:rsidRPr="00EB4D74">
        <w:rPr>
          <w:rFonts w:cs="Tahoma"/>
          <w:lang w:val="pt-BR"/>
        </w:rPr>
        <w:t>Trabalhará juntamente com o Cliente para criar um Plano de Prestação de Serviços de Arquitetura a ser seguido pelo Cliente que define etapas e metas e estabelece processos, dados e regras para monitorar o progresso com relação ao plano.</w:t>
      </w:r>
    </w:p>
    <w:p w:rsidR="008B1196" w:rsidRPr="00EB4D74" w:rsidRDefault="008B1196" w:rsidP="008B1196">
      <w:pPr>
        <w:numPr>
          <w:ilvl w:val="0"/>
          <w:numId w:val="47"/>
        </w:numPr>
        <w:spacing w:after="60"/>
        <w:ind w:left="1440"/>
        <w:rPr>
          <w:rFonts w:cs="Tahoma"/>
        </w:rPr>
      </w:pPr>
      <w:r w:rsidRPr="00EB4D74">
        <w:rPr>
          <w:rFonts w:cs="Tahoma"/>
          <w:lang w:val="pt-BR"/>
        </w:rPr>
        <w:t>Também apresentará atualizações mensais de status do progresso do Cliente com relação ao plano.</w:t>
      </w:r>
    </w:p>
    <w:p w:rsidR="008B1196" w:rsidRPr="00EB4D74" w:rsidRDefault="008B1196" w:rsidP="008B1196">
      <w:pPr>
        <w:numPr>
          <w:ilvl w:val="0"/>
          <w:numId w:val="47"/>
        </w:numPr>
        <w:spacing w:after="60"/>
        <w:ind w:left="1440"/>
        <w:rPr>
          <w:rFonts w:cs="Tahoma"/>
        </w:rPr>
      </w:pPr>
      <w:r w:rsidRPr="00EB4D74">
        <w:rPr>
          <w:rFonts w:cs="Tahoma"/>
          <w:lang w:val="pt-BR"/>
        </w:rPr>
        <w:t>Gerenciará o acesso à Microsoft Enterprise Strategy Network.</w:t>
      </w:r>
    </w:p>
    <w:p w:rsidR="008B1196" w:rsidRPr="00EB4D74" w:rsidRDefault="008B1196" w:rsidP="008B1196">
      <w:pPr>
        <w:spacing w:after="60"/>
        <w:ind w:left="1440"/>
        <w:rPr>
          <w:rFonts w:cs="Tahoma"/>
        </w:rPr>
      </w:pPr>
    </w:p>
    <w:p w:rsidR="008B1196" w:rsidRPr="00EB4D74" w:rsidRDefault="008B1196" w:rsidP="008B1196">
      <w:pPr>
        <w:spacing w:after="60"/>
        <w:rPr>
          <w:rFonts w:cs="Tahoma"/>
        </w:rPr>
      </w:pPr>
      <w:r w:rsidRPr="00EB4D74">
        <w:rPr>
          <w:rFonts w:cs="Tahoma"/>
          <w:b/>
          <w:lang w:val="pt-BR"/>
        </w:rPr>
        <w:lastRenderedPageBreak/>
        <w:t>A Avaliação:</w:t>
      </w:r>
    </w:p>
    <w:p w:rsidR="008B1196" w:rsidRPr="00EB4D74" w:rsidRDefault="008B1196" w:rsidP="008B1196">
      <w:pPr>
        <w:numPr>
          <w:ilvl w:val="0"/>
          <w:numId w:val="48"/>
        </w:numPr>
        <w:spacing w:after="60"/>
        <w:ind w:left="1440"/>
        <w:contextualSpacing/>
        <w:rPr>
          <w:rFonts w:cs="Tahoma"/>
        </w:rPr>
      </w:pPr>
      <w:r w:rsidRPr="00EB4D74">
        <w:rPr>
          <w:rFonts w:cs="Tahoma"/>
          <w:lang w:val="pt-BR"/>
        </w:rPr>
        <w:t>Identifica oportunidades de TI que se alinhem com os objetivos de negócios do Cliente.</w:t>
      </w:r>
    </w:p>
    <w:p w:rsidR="008B1196" w:rsidRPr="00EB4D74" w:rsidRDefault="008B1196" w:rsidP="008B1196">
      <w:pPr>
        <w:numPr>
          <w:ilvl w:val="0"/>
          <w:numId w:val="48"/>
        </w:numPr>
        <w:spacing w:after="60"/>
        <w:ind w:left="1440"/>
        <w:contextualSpacing/>
        <w:rPr>
          <w:rFonts w:cs="Tahoma"/>
        </w:rPr>
      </w:pPr>
      <w:r w:rsidRPr="00EB4D74">
        <w:rPr>
          <w:rFonts w:cs="Tahoma"/>
          <w:lang w:val="pt-BR"/>
        </w:rPr>
        <w:t>Analisa essas oportunidades com relação aos serviços de TI e grupos comerciais impactados, a fim de reconhecer dependências e definir esforços e custos para justificar o planejamento adicional.</w:t>
      </w:r>
    </w:p>
    <w:p w:rsidR="008B1196" w:rsidRPr="00EB4D74" w:rsidRDefault="008B1196" w:rsidP="008B1196">
      <w:pPr>
        <w:numPr>
          <w:ilvl w:val="0"/>
          <w:numId w:val="48"/>
        </w:numPr>
        <w:spacing w:after="60"/>
        <w:ind w:left="1440"/>
        <w:contextualSpacing/>
        <w:rPr>
          <w:rFonts w:cs="Tahoma"/>
          <w:lang w:val="it-IT"/>
        </w:rPr>
      </w:pPr>
      <w:r w:rsidRPr="00EB4D74">
        <w:rPr>
          <w:rFonts w:cs="Tahoma"/>
          <w:lang w:val="pt-BR"/>
        </w:rPr>
        <w:t>Seleciona, confirma e prioriza oportunidades como iniciativas no Plano de Prestação de Serviços de Arquitetura.</w:t>
      </w:r>
    </w:p>
    <w:p w:rsidR="008B1196" w:rsidRPr="00EB4D74" w:rsidRDefault="008B1196" w:rsidP="008B1196">
      <w:pPr>
        <w:numPr>
          <w:ilvl w:val="0"/>
          <w:numId w:val="48"/>
        </w:numPr>
        <w:spacing w:after="60"/>
        <w:ind w:left="1440"/>
        <w:contextualSpacing/>
        <w:rPr>
          <w:rFonts w:cs="Tahoma"/>
          <w:lang w:val="it-IT"/>
        </w:rPr>
      </w:pPr>
      <w:r w:rsidRPr="00EB4D74">
        <w:rPr>
          <w:rFonts w:cs="Tahoma"/>
          <w:lang w:val="pt-BR"/>
        </w:rPr>
        <w:t>Resulta no Relatório de Avaliação Final que recomenda pelo menos uma atividade como um Projeto Enterprise Strategy.</w:t>
      </w:r>
    </w:p>
    <w:p w:rsidR="008B1196" w:rsidRDefault="008B1196" w:rsidP="008B1196">
      <w:pPr>
        <w:spacing w:after="60"/>
        <w:rPr>
          <w:rFonts w:cs="Tahoma"/>
          <w:b/>
          <w:lang w:val="pt-BR"/>
        </w:rPr>
      </w:pPr>
    </w:p>
    <w:p w:rsidR="008B1196" w:rsidRPr="00EB4D74" w:rsidRDefault="008B1196" w:rsidP="008B1196">
      <w:pPr>
        <w:spacing w:after="60"/>
        <w:rPr>
          <w:rFonts w:cs="Tahoma"/>
          <w:lang w:val="it-IT"/>
        </w:rPr>
      </w:pPr>
      <w:r w:rsidRPr="00EB4D74">
        <w:rPr>
          <w:rFonts w:cs="Tahoma"/>
          <w:b/>
          <w:lang w:val="pt-BR"/>
        </w:rPr>
        <w:t>Projetos Enterprise Strategy:</w:t>
      </w:r>
    </w:p>
    <w:p w:rsidR="008B1196" w:rsidRPr="00EB4D74" w:rsidRDefault="008B1196" w:rsidP="008B1196">
      <w:pPr>
        <w:rPr>
          <w:rFonts w:cs="Tahoma"/>
          <w:lang w:val="it-IT"/>
        </w:rPr>
      </w:pPr>
      <w:r w:rsidRPr="00EB4D74">
        <w:rPr>
          <w:rFonts w:cs="Tahoma"/>
          <w:lang w:val="pt-BR"/>
        </w:rPr>
        <w:t>O Arquiteto Enterprise trabalhará juntamente com o Cliente para desenvolver um plano a fim de ajudar o Cliente a perceber objetivos de negócio identificados para a(s) iniciativa(s) selecionada(s) e mudar para seu futuro estado de TI definido, ajudando a reduzir a implantação e as interrupções de operação, bem como acelerar o retorno sobre investimento.</w:t>
      </w:r>
    </w:p>
    <w:p w:rsidR="008B1196" w:rsidRPr="00EB4D74" w:rsidRDefault="008B1196" w:rsidP="008B1196">
      <w:pPr>
        <w:rPr>
          <w:rFonts w:cs="Tahoma"/>
          <w:lang w:val="it-IT"/>
        </w:rPr>
      </w:pPr>
    </w:p>
    <w:p w:rsidR="008B1196" w:rsidRPr="00EB4D74" w:rsidRDefault="008B1196" w:rsidP="008B1196">
      <w:pPr>
        <w:rPr>
          <w:rFonts w:cs="Tahoma"/>
        </w:rPr>
      </w:pPr>
      <w:r w:rsidRPr="00EB4D74">
        <w:rPr>
          <w:rFonts w:cs="Tahoma"/>
          <w:b/>
          <w:color w:val="000000"/>
          <w:lang w:val="pt-BR"/>
        </w:rPr>
        <w:t>Os Projetos Enterprise Strategy incluem:</w:t>
      </w:r>
    </w:p>
    <w:p w:rsidR="008B1196" w:rsidRPr="00EB4D74" w:rsidRDefault="008B1196" w:rsidP="008B1196">
      <w:pPr>
        <w:numPr>
          <w:ilvl w:val="0"/>
          <w:numId w:val="49"/>
        </w:numPr>
        <w:spacing w:after="60"/>
        <w:ind w:left="1440"/>
        <w:contextualSpacing/>
        <w:rPr>
          <w:rFonts w:cs="Tahoma"/>
          <w:lang w:val="it-IT"/>
        </w:rPr>
      </w:pPr>
      <w:r w:rsidRPr="00EB4D74">
        <w:rPr>
          <w:rFonts w:cs="Tahoma"/>
          <w:szCs w:val="20"/>
          <w:lang w:val="pt-BR"/>
        </w:rPr>
        <w:t>Documentação e alinhamento de tecnologias da Microsoft com os principais objetivos de negócios.</w:t>
      </w:r>
    </w:p>
    <w:p w:rsidR="008B1196" w:rsidRPr="00EB4D74" w:rsidRDefault="008B1196" w:rsidP="008B1196">
      <w:pPr>
        <w:numPr>
          <w:ilvl w:val="0"/>
          <w:numId w:val="49"/>
        </w:numPr>
        <w:tabs>
          <w:tab w:val="left" w:pos="1080"/>
        </w:tabs>
        <w:spacing w:after="60"/>
        <w:ind w:left="1440"/>
        <w:contextualSpacing/>
        <w:rPr>
          <w:rFonts w:cs="Tahoma"/>
          <w:lang w:val="it-IT"/>
        </w:rPr>
      </w:pPr>
      <w:r w:rsidRPr="00EB4D74">
        <w:rPr>
          <w:rFonts w:cs="Tahoma"/>
          <w:lang w:val="pt-BR"/>
        </w:rPr>
        <w:t>Desenvolvimento de um caso de negócios para identificar os benefícios e custos potenciais de cada unidade funcional ou de negócios que pode ser afetada pelo projeto.</w:t>
      </w:r>
    </w:p>
    <w:p w:rsidR="008B1196" w:rsidRPr="00EB4D74" w:rsidRDefault="008B1196" w:rsidP="008B1196">
      <w:pPr>
        <w:numPr>
          <w:ilvl w:val="0"/>
          <w:numId w:val="49"/>
        </w:numPr>
        <w:tabs>
          <w:tab w:val="left" w:pos="1080"/>
        </w:tabs>
        <w:spacing w:after="60"/>
        <w:ind w:left="1440"/>
        <w:contextualSpacing/>
        <w:rPr>
          <w:rFonts w:cs="Tahoma"/>
          <w:lang w:val="it-IT"/>
        </w:rPr>
      </w:pPr>
      <w:r w:rsidRPr="00EB4D74">
        <w:rPr>
          <w:rFonts w:cs="Tahoma"/>
          <w:lang w:val="pt-BR"/>
        </w:rPr>
        <w:t>Criação de um Documento de Definição de Arquitetura que descreve a arquitetura functional de aplicativos e tecnologias, bem como os requisitos de especificações compatíveis com as recomendações.</w:t>
      </w:r>
    </w:p>
    <w:p w:rsidR="008B1196" w:rsidRPr="00EB4D74" w:rsidRDefault="008B1196" w:rsidP="008B1196">
      <w:pPr>
        <w:numPr>
          <w:ilvl w:val="0"/>
          <w:numId w:val="49"/>
        </w:numPr>
        <w:tabs>
          <w:tab w:val="left" w:pos="1080"/>
        </w:tabs>
        <w:spacing w:after="60"/>
        <w:ind w:left="1440"/>
        <w:contextualSpacing/>
        <w:rPr>
          <w:rFonts w:cs="Tahoma"/>
          <w:lang w:val="it-IT"/>
        </w:rPr>
      </w:pPr>
      <w:r w:rsidRPr="00EB4D74">
        <w:rPr>
          <w:rFonts w:cs="Tahoma"/>
          <w:lang w:val="pt-BR"/>
        </w:rPr>
        <w:t>Criação de um Plano de Medição que descreve a métrica para avaliar o progresso com relação aos objetivos desejados de negócios, contabilidade e tempo.</w:t>
      </w:r>
    </w:p>
    <w:p w:rsidR="008B1196" w:rsidRPr="00EB4D74" w:rsidRDefault="008B1196" w:rsidP="008B1196">
      <w:pPr>
        <w:numPr>
          <w:ilvl w:val="0"/>
          <w:numId w:val="49"/>
        </w:numPr>
        <w:spacing w:after="60"/>
        <w:ind w:left="1440"/>
        <w:contextualSpacing/>
        <w:rPr>
          <w:rFonts w:cs="Tahoma"/>
        </w:rPr>
      </w:pPr>
      <w:r w:rsidRPr="00EB4D74">
        <w:rPr>
          <w:rFonts w:cs="Tahoma"/>
          <w:lang w:val="pt-BR"/>
        </w:rPr>
        <w:t>Ajustar as Práticas Recomendadas da Microsoft em supervisão/governança, adoção e medição ao ambiente do Cliente.</w:t>
      </w:r>
    </w:p>
    <w:p w:rsidR="008B1196" w:rsidRPr="00EB4D74" w:rsidRDefault="008B1196" w:rsidP="008B1196">
      <w:pPr>
        <w:numPr>
          <w:ilvl w:val="0"/>
          <w:numId w:val="49"/>
        </w:numPr>
        <w:spacing w:after="60"/>
        <w:ind w:left="1440"/>
        <w:contextualSpacing/>
        <w:rPr>
          <w:rFonts w:cs="Tahoma"/>
          <w:lang w:val="it-IT"/>
        </w:rPr>
      </w:pPr>
      <w:r w:rsidRPr="00EB4D74">
        <w:rPr>
          <w:rFonts w:cs="Tahoma"/>
          <w:lang w:val="pt-BR"/>
        </w:rPr>
        <w:t>Trabalhar com a equipe de gerenciamento do Cliente para estabelecer controle do programa.</w:t>
      </w:r>
    </w:p>
    <w:p w:rsidR="008B1196" w:rsidRPr="00EB4D74" w:rsidDel="00954C6A" w:rsidRDefault="008B1196" w:rsidP="008B1196">
      <w:pPr>
        <w:numPr>
          <w:ilvl w:val="0"/>
          <w:numId w:val="49"/>
        </w:numPr>
        <w:spacing w:after="60"/>
        <w:ind w:left="1440"/>
        <w:contextualSpacing/>
        <w:rPr>
          <w:rFonts w:cs="Tahoma"/>
        </w:rPr>
      </w:pPr>
      <w:r w:rsidRPr="00EB4D74">
        <w:rPr>
          <w:rFonts w:cs="Tahoma"/>
          <w:lang w:val="pt-BR"/>
        </w:rPr>
        <w:t>Revisão regular do progresso do Cliente com relação ao scorecard de objetivos de negócios.</w:t>
      </w:r>
    </w:p>
    <w:p w:rsidR="008B1196" w:rsidRPr="00EB4D74" w:rsidRDefault="008B1196" w:rsidP="008B1196">
      <w:pPr>
        <w:spacing w:after="60"/>
        <w:rPr>
          <w:rFonts w:cs="Tahoma"/>
        </w:rPr>
      </w:pPr>
    </w:p>
    <w:p w:rsidR="008B1196" w:rsidRPr="00EB4D74" w:rsidRDefault="008B1196" w:rsidP="008B1196">
      <w:pPr>
        <w:spacing w:after="60"/>
        <w:rPr>
          <w:rFonts w:cs="Tahoma"/>
        </w:rPr>
      </w:pPr>
    </w:p>
    <w:p w:rsidR="008B1196" w:rsidRPr="00EB4D74" w:rsidRDefault="008B1196" w:rsidP="008B1196">
      <w:pPr>
        <w:rPr>
          <w:rFonts w:cs="Tahoma"/>
          <w:lang w:val="it-IT"/>
        </w:rPr>
      </w:pPr>
      <w:r w:rsidRPr="00EB4D74">
        <w:rPr>
          <w:rFonts w:cs="Tahoma"/>
          <w:b/>
          <w:sz w:val="24"/>
          <w:lang w:val="pt-BR"/>
        </w:rPr>
        <w:t>Benefícios do Programa</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eastAsia="Times New Roman" w:cs="Tahoma"/>
          <w:szCs w:val="18"/>
          <w:lang w:val="pt-BR" w:eastAsia="ja-JP"/>
        </w:rPr>
        <w:t>Em todo o compromisso, estão disponíveis os seguintes benefícios do programa:</w:t>
      </w:r>
    </w:p>
    <w:p w:rsidR="008B1196" w:rsidRPr="00EB4D74" w:rsidRDefault="008B1196" w:rsidP="008B1196">
      <w:pPr>
        <w:spacing w:after="60"/>
        <w:rPr>
          <w:rFonts w:cs="Tahoma"/>
          <w:lang w:val="it-IT"/>
        </w:rPr>
      </w:pPr>
    </w:p>
    <w:p w:rsidR="008B1196" w:rsidRPr="00EB4D74" w:rsidRDefault="008B1196" w:rsidP="008B1196">
      <w:pPr>
        <w:rPr>
          <w:rFonts w:cs="Tahoma"/>
          <w:lang w:val="it-IT"/>
        </w:rPr>
      </w:pPr>
      <w:r w:rsidRPr="00EB4D74">
        <w:rPr>
          <w:rFonts w:cs="Tahoma"/>
          <w:b/>
          <w:lang w:val="pt-BR"/>
        </w:rPr>
        <w:t xml:space="preserve">Enterprise Strategy Network: </w:t>
      </w:r>
      <w:r w:rsidRPr="00EB4D74">
        <w:rPr>
          <w:rFonts w:cs="Tahoma"/>
          <w:szCs w:val="18"/>
          <w:lang w:val="pt-BR"/>
        </w:rPr>
        <w:t>O Programa Enterprise Strategy inclui uma conexão integral com as equipes de desenvolvimento e pesquisa da Microsoft e com os especialistas no assunto dos departamentos de serviços da Microsoft. Os Arquitetos Enterprise usam essa experiência no assunto para fornecer aos Clientes notificações de</w:t>
      </w:r>
      <w:r w:rsidRPr="00EB4D74">
        <w:rPr>
          <w:lang w:val="pt-BR"/>
        </w:rPr>
        <w:t> </w:t>
      </w:r>
      <w:r w:rsidRPr="00EB4D74">
        <w:rPr>
          <w:rFonts w:cs="Tahoma"/>
          <w:szCs w:val="18"/>
          <w:lang w:val="pt-BR"/>
        </w:rPr>
        <w:t xml:space="preserve">práticas recomendadas, orientações específicas em determinadas arquiteturas de referência e tecnologias da Microsoft. </w:t>
      </w:r>
      <w:r w:rsidRPr="00EB4D74">
        <w:rPr>
          <w:rFonts w:cs="Tahoma"/>
          <w:lang w:val="pt-BR"/>
        </w:rPr>
        <w:t>As recomendações de práticas recomendadas e materiais associados e ferramentas são incluídos na Biblioteca do Microsoft Enterprise Strategy para ajudar a acelerar o fornecimento de projetos ESP aos clientes.</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lang w:val="pt-BR"/>
        </w:rPr>
        <w:t xml:space="preserve">Enterprise Strategy Library: </w:t>
      </w:r>
      <w:r w:rsidRPr="00EB4D74">
        <w:rPr>
          <w:rFonts w:cs="Tahoma"/>
          <w:lang w:val="pt-BR"/>
        </w:rPr>
        <w:t>O Programa Enterprise Strategy inclui uma ampla coleção de materiais inclusive Ideias do Setor e ferramentas de Benchmarks, métodos e modelos de referência de Arquitetura Enterprise e Arquitetura de Tecnologia. Dependendo das necessidades dos Clientes, o Arquiteto Enterprise usa o conjunto de materiais e ferramentas apropriados.</w:t>
      </w:r>
    </w:p>
    <w:p w:rsidR="008B1196" w:rsidRPr="00EB4D74" w:rsidRDefault="008B1196" w:rsidP="008B1196">
      <w:pPr>
        <w:spacing w:after="60"/>
        <w:rPr>
          <w:rFonts w:cs="Tahoma"/>
          <w:lang w:val="it-IT"/>
        </w:rPr>
      </w:pPr>
    </w:p>
    <w:p w:rsidR="008B1196" w:rsidRPr="00EB4D74" w:rsidRDefault="008B1196" w:rsidP="008B1196">
      <w:pPr>
        <w:spacing w:after="60"/>
        <w:rPr>
          <w:rFonts w:cs="Tahoma"/>
          <w:lang w:val="it-IT"/>
        </w:rPr>
      </w:pPr>
      <w:r w:rsidRPr="00EB4D74">
        <w:rPr>
          <w:rFonts w:eastAsia="Times New Roman" w:cs="Tahoma"/>
          <w:b/>
          <w:lang w:val="pt-BR" w:eastAsia="ja-JP"/>
        </w:rPr>
        <w:t xml:space="preserve">Oficinas do Compromisso: </w:t>
      </w:r>
      <w:r w:rsidRPr="00EB4D74">
        <w:rPr>
          <w:rFonts w:eastAsia="Times New Roman" w:cs="Tahoma"/>
          <w:lang w:val="pt-BR" w:eastAsia="ja-JP"/>
        </w:rPr>
        <w:t xml:space="preserve">Essas oficinas de nível executivo tem duração de até um dia e geralmente são conduzidas em escritórios regionais da Microsoft na subsidiária local. Elas são criadas e personalizadas para que os líderes de negócios e TI do Cliente compreendam a relevância das tecnologias emergentes e das ideias do setor para seus negócios. </w:t>
      </w:r>
      <w:r w:rsidRPr="00EB4D74">
        <w:rPr>
          <w:rFonts w:cs="Tahoma"/>
          <w:lang w:val="pt-BR"/>
        </w:rPr>
        <w:t>O Cliente é responsável por arcar com os custos de participar dessas oficinas.</w:t>
      </w:r>
    </w:p>
    <w:p w:rsidR="008B1196" w:rsidRPr="00EB4D74" w:rsidRDefault="008B1196" w:rsidP="008B1196">
      <w:pPr>
        <w:spacing w:after="60"/>
        <w:rPr>
          <w:rFonts w:cs="Tahoma"/>
          <w:lang w:val="it-IT"/>
        </w:rPr>
      </w:pPr>
    </w:p>
    <w:p w:rsidR="008B1196" w:rsidRPr="00EB4D74" w:rsidRDefault="008B1196" w:rsidP="008B1196">
      <w:pPr>
        <w:spacing w:after="60"/>
        <w:rPr>
          <w:rFonts w:cs="Tahoma"/>
          <w:lang w:val="it-IT"/>
        </w:rPr>
      </w:pPr>
      <w:r w:rsidRPr="00EB4D74">
        <w:rPr>
          <w:rFonts w:eastAsia="Times New Roman" w:cs="Tahoma"/>
          <w:b/>
          <w:lang w:val="pt-BR" w:eastAsia="ja-JP"/>
        </w:rPr>
        <w:t xml:space="preserve">Instruções Estratégicas: </w:t>
      </w:r>
      <w:r w:rsidRPr="00EB4D74">
        <w:rPr>
          <w:rFonts w:eastAsia="Times New Roman" w:cs="Tahoma"/>
          <w:lang w:val="pt-BR" w:eastAsia="ja-JP"/>
        </w:rPr>
        <w:t xml:space="preserve">Trata-se de webconferências globais com duração de uma hora para líderes de negócios e TI a respeito de oportunidades de negócios e do setor, tendências de tecnologia e perspectiva da Microsoft sobre pontos de vistas estratégicos para problemas importantes. </w:t>
      </w:r>
      <w:r w:rsidRPr="00EB4D74">
        <w:rPr>
          <w:rFonts w:cs="Tahoma"/>
          <w:lang w:val="pt-BR"/>
        </w:rPr>
        <w:t>Os Clientes também podem ver Instruções Estratégicas gravadas anteriormente.</w:t>
      </w:r>
    </w:p>
    <w:p w:rsidR="008B1196" w:rsidRPr="00EB4D74" w:rsidRDefault="008B1196" w:rsidP="008B1196">
      <w:pPr>
        <w:spacing w:after="60"/>
        <w:rPr>
          <w:rFonts w:cs="Tahoma"/>
          <w:lang w:val="pt-BR"/>
        </w:rPr>
      </w:pPr>
      <w:r w:rsidRPr="00EB4D74">
        <w:rPr>
          <w:rFonts w:eastAsia="Times New Roman" w:cs="Tahoma"/>
          <w:b/>
          <w:lang w:val="pt-BR" w:eastAsia="ja-JP"/>
        </w:rPr>
        <w:lastRenderedPageBreak/>
        <w:t xml:space="preserve">Fórum Estratégico para Arquitetos: </w:t>
      </w:r>
      <w:r w:rsidRPr="00EB4D74">
        <w:rPr>
          <w:rFonts w:eastAsia="Times New Roman" w:cs="Tahoma"/>
          <w:lang w:val="pt-BR" w:eastAsia="ja-JP"/>
        </w:rPr>
        <w:t xml:space="preserve">Uma conferência apenas para clientes com convite para Arquitetos Principais e sua equipe de gerenciamento, exclusiva para os clientes do Programa Enterprise Strategy de todo o mundo. Ela dá aos Arquitetos Principais a oportunidade de encontrar-se com seus parceiros e executivos da Microsoft para debater alguns dos problemas de nossos maiores clientes e como esses problemas podem ser resolvidos. </w:t>
      </w:r>
      <w:r w:rsidRPr="00EB4D74">
        <w:rPr>
          <w:rFonts w:cs="Tahoma"/>
          <w:lang w:val="pt-BR"/>
        </w:rPr>
        <w:t>O Cliente é responsável por arcar com os custos de participar desses fóruns.</w:t>
      </w:r>
    </w:p>
    <w:p w:rsidR="008B1196" w:rsidRPr="00EB4D74" w:rsidRDefault="008B1196" w:rsidP="008B1196">
      <w:pPr>
        <w:rPr>
          <w:rFonts w:cs="Tahoma"/>
          <w:lang w:val="pt-BR"/>
        </w:rPr>
      </w:pPr>
    </w:p>
    <w:p w:rsidR="008B1196" w:rsidRPr="00EB4D74" w:rsidRDefault="008B1196" w:rsidP="008B1196">
      <w:pPr>
        <w:rPr>
          <w:rFonts w:cs="Tahoma"/>
          <w:lang w:val="pt-BR"/>
        </w:rPr>
      </w:pPr>
      <w:r w:rsidRPr="00EB4D74">
        <w:rPr>
          <w:rFonts w:cs="Tahoma"/>
          <w:b/>
          <w:bCs/>
          <w:color w:val="000000"/>
          <w:szCs w:val="18"/>
          <w:lang w:val="pt-BR"/>
        </w:rPr>
        <w:t xml:space="preserve">Enterprise Strategy Capacity Complementar: </w:t>
      </w:r>
      <w:r w:rsidRPr="00EB4D74">
        <w:rPr>
          <w:rFonts w:cs="Tahoma"/>
          <w:color w:val="000000"/>
          <w:lang w:val="pt-BR"/>
        </w:rPr>
        <w:t>O Cliente pode comprar blocos de 200 horas de recursos do Programa Enterprise Strategy para aprimorar o fornecimento de capacidade para Projetos Enterprise Strategy. O Enterprise Strategy Capacity Complementar está disponível para Clientes que compraram a oferta Enterprise Strategy Connect, Enterprise Strategy Foundation ou Enterprise Strategy Portfolio.</w:t>
      </w:r>
    </w:p>
    <w:p w:rsidR="008B1196" w:rsidRPr="00EB4D74" w:rsidRDefault="008B1196" w:rsidP="008B1196">
      <w:pPr>
        <w:spacing w:after="60"/>
        <w:rPr>
          <w:rFonts w:cs="Tahoma"/>
          <w:lang w:val="pt-BR"/>
        </w:rPr>
      </w:pPr>
    </w:p>
    <w:p w:rsidR="008B1196" w:rsidRPr="00EB4D74" w:rsidRDefault="008B1196" w:rsidP="008B1196">
      <w:pPr>
        <w:rPr>
          <w:rFonts w:cs="Tahoma"/>
          <w:sz w:val="24"/>
          <w:szCs w:val="24"/>
          <w:lang w:val="it-IT"/>
        </w:rPr>
      </w:pPr>
      <w:r w:rsidRPr="00EB4D74">
        <w:rPr>
          <w:rFonts w:cs="Tahoma"/>
          <w:b/>
          <w:sz w:val="24"/>
          <w:szCs w:val="24"/>
          <w:lang w:val="pt-BR"/>
        </w:rPr>
        <w:t>Serviços Fora do Escopo</w:t>
      </w:r>
      <w:r w:rsidRPr="00EB4D74">
        <w:rPr>
          <w:rFonts w:cs="Tahoma"/>
          <w:sz w:val="24"/>
          <w:szCs w:val="24"/>
          <w:lang w:val="pt-BR"/>
        </w:rPr>
        <w:t>.</w:t>
      </w:r>
    </w:p>
    <w:p w:rsidR="008B1196" w:rsidRPr="00EB4D74" w:rsidRDefault="008B1196" w:rsidP="008B1196">
      <w:pPr>
        <w:rPr>
          <w:rFonts w:cs="Tahoma"/>
          <w:lang w:val="it-IT"/>
        </w:rPr>
      </w:pPr>
    </w:p>
    <w:p w:rsidR="008B1196" w:rsidRPr="00EB4D74" w:rsidRDefault="008B1196" w:rsidP="008B1196">
      <w:pPr>
        <w:rPr>
          <w:rFonts w:cs="Tahoma"/>
          <w:color w:val="000000"/>
          <w:spacing w:val="-5"/>
          <w:szCs w:val="20"/>
          <w:lang w:val="it-IT"/>
        </w:rPr>
      </w:pPr>
      <w:r w:rsidRPr="00EB4D74">
        <w:rPr>
          <w:rFonts w:cs="Tahoma"/>
          <w:color w:val="000000"/>
          <w:spacing w:val="-5"/>
          <w:szCs w:val="20"/>
          <w:lang w:val="pt-BR"/>
        </w:rPr>
        <w:t>O Programa Enterprise Strategy engloba exclusivamente consultoria e orientação a respeito da implantação e do uso das tecnologias da Microsoft por parte do Cliente. Fica a critério exclusivo do Cliente escolher seguir ou desconsiderar a consultoria, a orientação e as recomendações da Microsoft. A Microsoft não faz promessas nem oferece garantias de nenhuma forma com relação aos resultados que possam ser alcançados pelo Cliente como resultado do seguimento da consultoria, das orientações ou das recomendações da Microsoft. As licenças de produto não estão incluídas. Os Serviços do Arquiteto Enterprise também não incluem implantação do produto, resolução de problemas ou suporte de reparo assistido, revisão do código-fonte de produtos que não sejam da Microsoft nem consultas técnicas ou arquiteturais que esteja além da Avaliação descrita acima. Quando se tratar de qualquer código-fonte que não seja da Microsoft, nossos Serviços serão limitados à análise de dados binários, tais como dump de processamento ou rastreamento de monitores de rede.</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sz w:val="24"/>
          <w:lang w:val="pt-BR"/>
        </w:rPr>
        <w:t>Responsabilidades do Cliente</w:t>
      </w:r>
      <w:r w:rsidRPr="00EB4D74">
        <w:rPr>
          <w:rFonts w:cs="Tahoma"/>
          <w:sz w:val="24"/>
          <w:lang w:val="pt-BR"/>
        </w:rPr>
        <w:t>.</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lang w:val="pt-BR"/>
        </w:rPr>
        <w:t>O sucesso do Programa Enterprise Strategy, bem como o desempenho de nossas obrigações, dependem do envolvimento do Cliente ao longo do programa, incluindo, sem limitação:</w:t>
      </w:r>
    </w:p>
    <w:p w:rsidR="008B1196" w:rsidRPr="00EB4D74" w:rsidRDefault="008B1196" w:rsidP="008B1196">
      <w:pPr>
        <w:rPr>
          <w:rFonts w:cs="Tahoma"/>
          <w:lang w:val="it-IT"/>
        </w:rPr>
      </w:pPr>
    </w:p>
    <w:p w:rsidR="008B1196" w:rsidRPr="00EB4D74" w:rsidRDefault="008B1196" w:rsidP="008B1196">
      <w:pPr>
        <w:numPr>
          <w:ilvl w:val="0"/>
          <w:numId w:val="50"/>
        </w:numPr>
        <w:tabs>
          <w:tab w:val="left" w:pos="1440"/>
        </w:tabs>
        <w:spacing w:after="60"/>
        <w:ind w:left="1440"/>
        <w:rPr>
          <w:rFonts w:cs="Tahoma"/>
          <w:lang w:val="it-IT"/>
        </w:rPr>
      </w:pPr>
      <w:r w:rsidRPr="00EB4D74">
        <w:rPr>
          <w:rFonts w:cs="Tahoma"/>
          <w:color w:val="000000"/>
          <w:lang w:val="pt-BR"/>
        </w:rPr>
        <w:t>A disponibilidade de representantes, equipe de TI e recursos do Cliente, incluindo, sem limitação, hardware, software, conectividade de Internet e espaço no escritório;</w:t>
      </w:r>
    </w:p>
    <w:p w:rsidR="008B1196" w:rsidRPr="00EB4D74" w:rsidRDefault="008B1196" w:rsidP="008B1196">
      <w:pPr>
        <w:numPr>
          <w:ilvl w:val="0"/>
          <w:numId w:val="50"/>
        </w:numPr>
        <w:tabs>
          <w:tab w:val="left" w:pos="1440"/>
        </w:tabs>
        <w:spacing w:after="60"/>
        <w:ind w:left="1440"/>
        <w:rPr>
          <w:rFonts w:cs="Tahoma"/>
          <w:lang w:val="it-IT"/>
        </w:rPr>
      </w:pPr>
      <w:r w:rsidRPr="00EB4D74">
        <w:rPr>
          <w:rFonts w:cs="Tahoma"/>
          <w:color w:val="000000"/>
          <w:lang w:val="pt-BR"/>
        </w:rPr>
        <w:t>Fornecimento de informações precisas e completas em tempo hábil por parte do Cliente;</w:t>
      </w:r>
    </w:p>
    <w:p w:rsidR="008B1196" w:rsidRPr="00EB4D74" w:rsidRDefault="008B1196" w:rsidP="008B1196">
      <w:pPr>
        <w:numPr>
          <w:ilvl w:val="0"/>
          <w:numId w:val="50"/>
        </w:numPr>
        <w:tabs>
          <w:tab w:val="left" w:pos="1440"/>
        </w:tabs>
        <w:spacing w:after="60"/>
        <w:ind w:left="1440"/>
        <w:rPr>
          <w:rFonts w:cs="Tahoma"/>
        </w:rPr>
      </w:pPr>
      <w:r w:rsidRPr="00EB4D74">
        <w:rPr>
          <w:rFonts w:cs="Tahoma"/>
          <w:color w:val="000000"/>
          <w:lang w:val="pt-BR"/>
        </w:rPr>
        <w:t>Acesso a informações sobre a organização do Cliente;</w:t>
      </w:r>
    </w:p>
    <w:p w:rsidR="008B1196" w:rsidRPr="00EB4D74" w:rsidRDefault="008B1196" w:rsidP="008B1196">
      <w:pPr>
        <w:numPr>
          <w:ilvl w:val="0"/>
          <w:numId w:val="50"/>
        </w:numPr>
        <w:tabs>
          <w:tab w:val="left" w:pos="1440"/>
        </w:tabs>
        <w:spacing w:after="60"/>
        <w:ind w:left="1440"/>
        <w:rPr>
          <w:rFonts w:cs="Tahoma"/>
          <w:lang w:val="it-IT"/>
        </w:rPr>
      </w:pPr>
      <w:r w:rsidRPr="00EB4D74">
        <w:rPr>
          <w:rFonts w:cs="Tahoma"/>
          <w:color w:val="000000"/>
          <w:lang w:val="pt-BR"/>
        </w:rPr>
        <w:t>Cumprimento tempestivo e eficaz das responsabilidades atribuídas ao Cliente; e</w:t>
      </w:r>
    </w:p>
    <w:p w:rsidR="008B1196" w:rsidRPr="00EB4D74" w:rsidRDefault="008B1196" w:rsidP="008B1196">
      <w:pPr>
        <w:numPr>
          <w:ilvl w:val="0"/>
          <w:numId w:val="50"/>
        </w:numPr>
        <w:tabs>
          <w:tab w:val="left" w:pos="1440"/>
        </w:tabs>
        <w:spacing w:after="60"/>
        <w:ind w:left="1440"/>
        <w:rPr>
          <w:rFonts w:cs="Tahoma"/>
          <w:lang w:val="it-IT"/>
        </w:rPr>
      </w:pPr>
      <w:r w:rsidRPr="00EB4D74">
        <w:rPr>
          <w:rFonts w:cs="Tahoma"/>
          <w:color w:val="000000"/>
          <w:szCs w:val="18"/>
          <w:lang w:val="pt-BR"/>
        </w:rPr>
        <w:t>Decisões e aprovações tempestivas da administração do Cliente.</w:t>
      </w:r>
    </w:p>
    <w:p w:rsidR="008B1196" w:rsidRPr="00EB4D74" w:rsidRDefault="008B1196" w:rsidP="008B1196">
      <w:pPr>
        <w:rPr>
          <w:rFonts w:cs="Tahoma"/>
          <w:lang w:val="it-IT"/>
        </w:rPr>
      </w:pPr>
      <w:bookmarkStart w:id="1024" w:name="_Toc288760404"/>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sz w:val="24"/>
          <w:lang w:val="pt-BR"/>
        </w:rPr>
        <w:t>Termos e Condições Adicionais dos Serviços</w:t>
      </w:r>
    </w:p>
    <w:p w:rsidR="008B1196" w:rsidRPr="00EB4D74" w:rsidRDefault="008B1196" w:rsidP="008B1196">
      <w:pPr>
        <w:rPr>
          <w:rFonts w:cs="Tahoma"/>
          <w:lang w:val="it-IT"/>
        </w:rPr>
      </w:pPr>
    </w:p>
    <w:p w:rsidR="008B1196" w:rsidRPr="00EB4D74" w:rsidRDefault="008B1196" w:rsidP="008B1196">
      <w:pPr>
        <w:rPr>
          <w:rFonts w:cs="Tahoma"/>
          <w:lang w:val="it-IT"/>
        </w:rPr>
      </w:pPr>
      <w:bookmarkStart w:id="1025" w:name="_Toc317591257"/>
      <w:bookmarkStart w:id="1026" w:name="_Toc336338248"/>
      <w:bookmarkStart w:id="1027" w:name="_Toc342914885"/>
      <w:bookmarkEnd w:id="1024"/>
      <w:bookmarkEnd w:id="1025"/>
      <w:bookmarkEnd w:id="1026"/>
      <w:r w:rsidRPr="00EB4D74">
        <w:rPr>
          <w:rStyle w:val="Heading2Char"/>
          <w:rFonts w:ascii="Tahoma" w:hAnsi="Tahoma" w:cs="Tahoma"/>
          <w:sz w:val="20"/>
          <w:lang w:val="pt-BR"/>
        </w:rPr>
        <w:t>Direitos de uso, propriedade e licença.</w:t>
      </w:r>
      <w:bookmarkEnd w:id="1027"/>
    </w:p>
    <w:p w:rsidR="008B1196" w:rsidRPr="00EB4D74" w:rsidRDefault="008B1196" w:rsidP="008B1196">
      <w:pPr>
        <w:pStyle w:val="normal1"/>
        <w:rPr>
          <w:rFonts w:ascii="Tahoma" w:hAnsi="Tahoma" w:cs="Tahoma"/>
          <w:lang w:val="it-IT"/>
        </w:rPr>
      </w:pPr>
    </w:p>
    <w:p w:rsidR="008B1196" w:rsidRPr="00EB4D74" w:rsidRDefault="008B1196" w:rsidP="008B1196">
      <w:pPr>
        <w:pStyle w:val="normal1"/>
        <w:rPr>
          <w:rFonts w:ascii="Tahoma" w:hAnsi="Tahoma" w:cs="Tahoma"/>
          <w:lang w:val="it-IT"/>
        </w:rPr>
      </w:pPr>
      <w:r w:rsidRPr="00EB4D74">
        <w:rPr>
          <w:rFonts w:ascii="Tahoma" w:eastAsia="Times New Roman" w:hAnsi="Tahoma" w:cs="Tahoma"/>
          <w:b/>
          <w:color w:val="000000"/>
          <w:sz w:val="18"/>
          <w:lang w:val="pt-BR"/>
        </w:rPr>
        <w:t xml:space="preserve">Consertos. </w:t>
      </w:r>
      <w:r w:rsidRPr="00EB4D74">
        <w:rPr>
          <w:rFonts w:ascii="Tahoma" w:hAnsi="Tahoma" w:cs="Tahoma"/>
          <w:color w:val="000000"/>
          <w:sz w:val="18"/>
          <w:lang w:val="pt-BR"/>
        </w:rPr>
        <w:t>Se a Microsoft fornecer Consertos ao Cliente no decorrer da execu</w:t>
      </w:r>
      <w:r w:rsidRPr="00EB4D74">
        <w:rPr>
          <w:rFonts w:ascii="Tahoma" w:eastAsia="Times New Roman" w:hAnsi="Tahoma" w:cs="Tahoma"/>
          <w:color w:val="000000"/>
          <w:sz w:val="18"/>
          <w:lang w:val="pt-BR"/>
        </w:rPr>
        <w:t>çã</w:t>
      </w:r>
      <w:r w:rsidRPr="00EB4D74">
        <w:rPr>
          <w:rFonts w:ascii="Tahoma" w:hAnsi="Tahoma" w:cs="Tahoma"/>
          <w:color w:val="000000"/>
          <w:sz w:val="18"/>
          <w:lang w:val="pt-BR"/>
        </w:rPr>
        <w:t>o dos Servi</w:t>
      </w:r>
      <w:r w:rsidRPr="00EB4D74">
        <w:rPr>
          <w:rFonts w:ascii="Tahoma" w:eastAsia="Times New Roman" w:hAnsi="Tahoma" w:cs="Tahoma"/>
          <w:color w:val="000000"/>
          <w:sz w:val="18"/>
          <w:lang w:val="pt-BR"/>
        </w:rPr>
        <w:t>ç</w:t>
      </w:r>
      <w:r w:rsidRPr="00EB4D74">
        <w:rPr>
          <w:rFonts w:ascii="Tahoma" w:hAnsi="Tahoma" w:cs="Tahoma"/>
          <w:color w:val="000000"/>
          <w:sz w:val="18"/>
          <w:lang w:val="pt-BR"/>
        </w:rPr>
        <w:t>os, tais Consertos ser</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licenciados de acordo com os termos da licen</w:t>
      </w:r>
      <w:r w:rsidRPr="00EB4D74">
        <w:rPr>
          <w:rFonts w:ascii="Tahoma" w:eastAsia="Times New Roman" w:hAnsi="Tahoma" w:cs="Tahoma"/>
          <w:color w:val="000000"/>
          <w:sz w:val="18"/>
          <w:lang w:val="pt-BR"/>
        </w:rPr>
        <w:t>ç</w:t>
      </w:r>
      <w:r w:rsidRPr="00EB4D74">
        <w:rPr>
          <w:rFonts w:ascii="Tahoma" w:hAnsi="Tahoma" w:cs="Tahoma"/>
          <w:color w:val="000000"/>
          <w:sz w:val="18"/>
          <w:lang w:val="pt-BR"/>
        </w:rPr>
        <w:t>a aplic</w:t>
      </w:r>
      <w:r w:rsidRPr="00EB4D74">
        <w:rPr>
          <w:rFonts w:ascii="Tahoma" w:eastAsia="Times New Roman" w:hAnsi="Tahoma" w:cs="Tahoma"/>
          <w:color w:val="000000"/>
          <w:sz w:val="18"/>
          <w:lang w:val="pt-BR"/>
        </w:rPr>
        <w:t>á</w:t>
      </w:r>
      <w:r w:rsidRPr="00EB4D74">
        <w:rPr>
          <w:rFonts w:ascii="Tahoma" w:hAnsi="Tahoma" w:cs="Tahoma"/>
          <w:color w:val="000000"/>
          <w:sz w:val="18"/>
          <w:lang w:val="pt-BR"/>
        </w:rPr>
        <w:t>veis ao Produto ao qual os Consertos est</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relacionados. Se os Consertos n</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forem fornecidos para um determinado Produto, qualquer outro termo de uso que a Microsoft fornecer com os Consertos dever</w:t>
      </w:r>
      <w:r w:rsidRPr="00EB4D74">
        <w:rPr>
          <w:rFonts w:ascii="Tahoma" w:eastAsia="Times New Roman" w:hAnsi="Tahoma" w:cs="Tahoma"/>
          <w:color w:val="000000"/>
          <w:sz w:val="18"/>
          <w:lang w:val="pt-BR"/>
        </w:rPr>
        <w:t>á</w:t>
      </w:r>
      <w:r w:rsidRPr="00EB4D74">
        <w:rPr>
          <w:rFonts w:ascii="Tahoma" w:hAnsi="Tahoma" w:cs="Tahoma"/>
          <w:color w:val="000000"/>
          <w:sz w:val="18"/>
          <w:lang w:val="pt-BR"/>
        </w:rPr>
        <w:t xml:space="preserve"> se aplicar, e se nenhum termo de uso for fornecido, o Cliente dever</w:t>
      </w:r>
      <w:r w:rsidRPr="00EB4D74">
        <w:rPr>
          <w:rFonts w:ascii="Tahoma" w:eastAsia="Times New Roman" w:hAnsi="Tahoma" w:cs="Tahoma"/>
          <w:color w:val="000000"/>
          <w:sz w:val="18"/>
          <w:lang w:val="pt-BR"/>
        </w:rPr>
        <w:t>á</w:t>
      </w:r>
      <w:r w:rsidRPr="00EB4D74">
        <w:rPr>
          <w:rFonts w:ascii="Tahoma" w:hAnsi="Tahoma" w:cs="Tahoma"/>
          <w:color w:val="000000"/>
          <w:sz w:val="18"/>
          <w:lang w:val="pt-BR"/>
        </w:rPr>
        <w:t xml:space="preserve"> ter uma licen</w:t>
      </w:r>
      <w:r w:rsidRPr="00EB4D74">
        <w:rPr>
          <w:rFonts w:ascii="Tahoma" w:eastAsia="Times New Roman" w:hAnsi="Tahoma" w:cs="Tahoma"/>
          <w:color w:val="000000"/>
          <w:sz w:val="18"/>
          <w:lang w:val="pt-BR"/>
        </w:rPr>
        <w:t>ç</w:t>
      </w:r>
      <w:r w:rsidRPr="00EB4D74">
        <w:rPr>
          <w:rFonts w:ascii="Tahoma" w:hAnsi="Tahoma" w:cs="Tahoma"/>
          <w:color w:val="000000"/>
          <w:sz w:val="18"/>
          <w:lang w:val="pt-BR"/>
        </w:rPr>
        <w:t>a n</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exclusiva, perp</w:t>
      </w:r>
      <w:r w:rsidRPr="00EB4D74">
        <w:rPr>
          <w:rFonts w:ascii="Tahoma" w:eastAsia="Times New Roman" w:hAnsi="Tahoma" w:cs="Tahoma"/>
          <w:color w:val="000000"/>
          <w:sz w:val="18"/>
          <w:lang w:val="pt-BR"/>
        </w:rPr>
        <w:t>é</w:t>
      </w:r>
      <w:r w:rsidRPr="00EB4D74">
        <w:rPr>
          <w:rFonts w:ascii="Tahoma" w:hAnsi="Tahoma" w:cs="Tahoma"/>
          <w:color w:val="000000"/>
          <w:sz w:val="18"/>
          <w:lang w:val="pt-BR"/>
        </w:rPr>
        <w:t>tua e paga integralmente para usar e reproduzir os Consertos exclusivamente para seu uso interno. O Cliente n</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pode modificar, alterar o nome do arquivo dos Consertos ou combinar quaisquer Consertos com nenhum c</w:t>
      </w:r>
      <w:r w:rsidRPr="00EB4D74">
        <w:rPr>
          <w:rFonts w:ascii="Tahoma" w:eastAsia="Times New Roman" w:hAnsi="Tahoma" w:cs="Tahoma"/>
          <w:color w:val="000000"/>
          <w:sz w:val="18"/>
          <w:lang w:val="pt-BR"/>
        </w:rPr>
        <w:t>ó</w:t>
      </w:r>
      <w:r w:rsidRPr="00EB4D74">
        <w:rPr>
          <w:rFonts w:ascii="Tahoma" w:hAnsi="Tahoma" w:cs="Tahoma"/>
          <w:color w:val="000000"/>
          <w:sz w:val="18"/>
          <w:lang w:val="pt-BR"/>
        </w:rPr>
        <w:t>digo de computador que n</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seja da Microsoft.</w:t>
      </w:r>
    </w:p>
    <w:p w:rsidR="008B1196" w:rsidRPr="00EB4D74" w:rsidRDefault="008B1196" w:rsidP="008B1196">
      <w:pPr>
        <w:pStyle w:val="normal1"/>
        <w:rPr>
          <w:rFonts w:ascii="Tahoma" w:hAnsi="Tahoma" w:cs="Tahoma"/>
          <w:lang w:val="it-IT"/>
        </w:rPr>
      </w:pPr>
    </w:p>
    <w:p w:rsidR="008B1196" w:rsidRPr="00EB4D74" w:rsidRDefault="008B1196" w:rsidP="008B1196">
      <w:pPr>
        <w:pStyle w:val="normal1"/>
        <w:rPr>
          <w:rFonts w:ascii="Tahoma" w:hAnsi="Tahoma" w:cs="Tahoma"/>
          <w:lang w:val="pt-BR"/>
        </w:rPr>
      </w:pPr>
      <w:r w:rsidRPr="00EB4D74">
        <w:rPr>
          <w:rFonts w:ascii="Tahoma" w:eastAsia="Times New Roman" w:hAnsi="Tahoma" w:cs="Tahoma"/>
          <w:b/>
          <w:color w:val="000000"/>
          <w:sz w:val="18"/>
          <w:lang w:val="pt-BR"/>
        </w:rPr>
        <w:t xml:space="preserve">Trabalho Preexistente. </w:t>
      </w:r>
      <w:r w:rsidRPr="00EB4D74">
        <w:rPr>
          <w:rFonts w:ascii="Tahoma" w:hAnsi="Tahoma" w:cs="Tahoma"/>
          <w:color w:val="000000"/>
          <w:sz w:val="18"/>
          <w:lang w:val="pt-BR"/>
        </w:rPr>
        <w:t>Todos os direitos em qualquer código de computador ou materiais escritos não baseados em código desenvolvidos ou de outra forma obtidos pelas ou para as partes ou suas Afiliadas, independentemente do presente contrato (“Trabalho Preexistente”), devem permanecer como propriedade exclusiva da parte que fornece o Trabalho Preexistente. Durante a realização dos Serviços, cada uma das partes concede à outra (bem como aos subcontratados da Microsoft, conforme necessário) uma licença temporária e não exclusiva para usar, reproduzir e modificar seu Trabalho pré-existente fornecido à outra parte, unicamente conforme a necessidade para cumprir suas obrigações relacionadas aos Serviços.</w:t>
      </w:r>
    </w:p>
    <w:p w:rsidR="008B1196" w:rsidRPr="00EB4D74" w:rsidRDefault="008B1196" w:rsidP="008B1196">
      <w:pPr>
        <w:pStyle w:val="normal1"/>
        <w:rPr>
          <w:rFonts w:ascii="Tahoma" w:hAnsi="Tahoma" w:cs="Tahoma"/>
          <w:color w:val="000000"/>
          <w:spacing w:val="-2"/>
          <w:sz w:val="18"/>
          <w:lang w:val="pt-BR"/>
        </w:rPr>
      </w:pPr>
      <w:r w:rsidRPr="00EB4D74">
        <w:rPr>
          <w:rFonts w:ascii="Tahoma" w:hAnsi="Tahoma" w:cs="Tahoma"/>
          <w:color w:val="000000"/>
          <w:spacing w:val="-2"/>
          <w:sz w:val="18"/>
          <w:szCs w:val="18"/>
          <w:lang w:val="pt-BR"/>
        </w:rPr>
        <w:lastRenderedPageBreak/>
        <w:t xml:space="preserve">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w:t>
      </w:r>
      <w:r w:rsidRPr="00EB4D74">
        <w:rPr>
          <w:rFonts w:ascii="Tahoma" w:hAnsi="Tahoma" w:cs="Tahoma"/>
          <w:color w:val="000000"/>
          <w:spacing w:val="-2"/>
          <w:sz w:val="18"/>
          <w:lang w:val="pt-BR"/>
        </w:rPr>
        <w:t>A licença para o Trabalho Preexistente da Microsoft está sujeita ao cumprimento dos termos do presente contrato por parte do Cliente.</w:t>
      </w:r>
    </w:p>
    <w:p w:rsidR="008B1196" w:rsidRPr="00EB4D74" w:rsidRDefault="008B1196" w:rsidP="008B1196">
      <w:pPr>
        <w:pStyle w:val="normal1"/>
        <w:rPr>
          <w:rFonts w:ascii="Tahoma" w:hAnsi="Tahoma" w:cs="Tahoma"/>
          <w:lang w:val="it-IT"/>
        </w:rPr>
      </w:pPr>
    </w:p>
    <w:p w:rsidR="008B1196" w:rsidRPr="00EB4D74" w:rsidRDefault="008B1196" w:rsidP="008B1196">
      <w:pPr>
        <w:pStyle w:val="normal1"/>
        <w:rPr>
          <w:rFonts w:ascii="Tahoma" w:hAnsi="Tahoma" w:cs="Tahoma"/>
          <w:lang w:val="it-IT"/>
        </w:rPr>
      </w:pPr>
      <w:r w:rsidRPr="00EB4D74">
        <w:rPr>
          <w:rFonts w:ascii="Tahoma" w:hAnsi="Tahoma" w:cs="Tahoma"/>
          <w:b/>
          <w:color w:val="000000"/>
          <w:sz w:val="18"/>
          <w:lang w:val="pt-BR"/>
        </w:rPr>
        <w:t xml:space="preserve">Desenvolvimentos. </w:t>
      </w:r>
      <w:r w:rsidRPr="00EB4D74">
        <w:rPr>
          <w:rFonts w:ascii="Tahoma" w:hAnsi="Tahoma" w:cs="Tahoma"/>
          <w:color w:val="000000"/>
          <w:sz w:val="18"/>
          <w:lang w:val="pt-BR"/>
        </w:rPr>
        <w:t>Mediante pagamento integral, a Microsoft concede ao Cliente a propriedade conjunta de qualquer código de computador ou materiais escritos sem código (que não sejam Produtos, Consertos ou Trabalhos Preexistentes) desenvolvidos pela Microsoft ou em colaboração com o Cliente e deixados com o Cliente após a conclusão de uma contratação de Serviços (“Desenvolvimentos”). Cada uma das partes dever</w:t>
      </w:r>
      <w:r w:rsidRPr="00EB4D74">
        <w:rPr>
          <w:rFonts w:ascii="Tahoma" w:eastAsia="Times New Roman" w:hAnsi="Tahoma" w:cs="Tahoma"/>
          <w:color w:val="000000"/>
          <w:sz w:val="18"/>
          <w:lang w:val="pt-BR"/>
        </w:rPr>
        <w:t>á</w:t>
      </w:r>
      <w:r w:rsidRPr="00EB4D74">
        <w:rPr>
          <w:rFonts w:ascii="Tahoma" w:hAnsi="Tahoma" w:cs="Tahoma"/>
          <w:color w:val="000000"/>
          <w:sz w:val="18"/>
          <w:lang w:val="pt-BR"/>
        </w:rPr>
        <w:t xml:space="preserve"> ser a </w:t>
      </w:r>
      <w:r w:rsidRPr="00EB4D74">
        <w:rPr>
          <w:rFonts w:ascii="Tahoma" w:eastAsia="Times New Roman" w:hAnsi="Tahoma" w:cs="Tahoma"/>
          <w:color w:val="000000"/>
          <w:sz w:val="18"/>
          <w:lang w:val="pt-BR"/>
        </w:rPr>
        <w:t>ú</w:t>
      </w:r>
      <w:r w:rsidRPr="00EB4D74">
        <w:rPr>
          <w:rFonts w:ascii="Tahoma" w:hAnsi="Tahoma" w:cs="Tahoma"/>
          <w:color w:val="000000"/>
          <w:sz w:val="18"/>
          <w:lang w:val="pt-BR"/>
        </w:rPr>
        <w:t>nica propriet</w:t>
      </w:r>
      <w:r w:rsidRPr="00EB4D74">
        <w:rPr>
          <w:rFonts w:ascii="Tahoma" w:eastAsia="Times New Roman" w:hAnsi="Tahoma" w:cs="Tahoma"/>
          <w:color w:val="000000"/>
          <w:sz w:val="18"/>
          <w:lang w:val="pt-BR"/>
        </w:rPr>
        <w:t>á</w:t>
      </w:r>
      <w:r w:rsidRPr="00EB4D74">
        <w:rPr>
          <w:rFonts w:ascii="Tahoma" w:hAnsi="Tahoma" w:cs="Tahoma"/>
          <w:color w:val="000000"/>
          <w:sz w:val="18"/>
          <w:lang w:val="pt-BR"/>
        </w:rPr>
        <w:t>ria de quaisquer modifica</w:t>
      </w:r>
      <w:r w:rsidRPr="00EB4D74">
        <w:rPr>
          <w:rFonts w:ascii="Tahoma" w:eastAsia="Times New Roman" w:hAnsi="Tahoma" w:cs="Tahoma"/>
          <w:color w:val="000000"/>
          <w:sz w:val="18"/>
          <w:lang w:val="pt-BR"/>
        </w:rPr>
        <w:t>çõ</w:t>
      </w:r>
      <w:r w:rsidRPr="00EB4D74">
        <w:rPr>
          <w:rFonts w:ascii="Tahoma" w:hAnsi="Tahoma" w:cs="Tahoma"/>
          <w:color w:val="000000"/>
          <w:sz w:val="18"/>
          <w:lang w:val="pt-BR"/>
        </w:rPr>
        <w:t>es feitas a partir dos Desenvolvimentos. O Cliente concorda em exercer seus direitos sobre quaisquer Desenvolvimentos unicamente para as operações comerciais internas do Cliente, e não para revender ou distribuir quaisquer Desenvolvimentos a terceiros.</w:t>
      </w:r>
    </w:p>
    <w:p w:rsidR="008B1196" w:rsidRPr="00EB4D74" w:rsidRDefault="008B1196" w:rsidP="008B1196">
      <w:pPr>
        <w:pStyle w:val="normal1"/>
        <w:rPr>
          <w:rFonts w:ascii="Tahoma" w:hAnsi="Tahoma" w:cs="Tahoma"/>
          <w:lang w:val="it-IT"/>
        </w:rPr>
      </w:pPr>
    </w:p>
    <w:p w:rsidR="008B1196" w:rsidRPr="00EB4D74" w:rsidRDefault="008B1196" w:rsidP="008B1196">
      <w:pPr>
        <w:rPr>
          <w:rFonts w:cs="Tahoma"/>
          <w:lang w:val="pt-BR"/>
        </w:rPr>
      </w:pPr>
      <w:r w:rsidRPr="00EB4D74">
        <w:rPr>
          <w:rFonts w:eastAsia="Times New Roman" w:cs="Tahoma"/>
          <w:b/>
          <w:bCs/>
          <w:color w:val="000000"/>
          <w:szCs w:val="18"/>
          <w:lang w:val="pt-BR"/>
        </w:rPr>
        <w:t xml:space="preserve">Materiais. </w:t>
      </w:r>
      <w:r w:rsidRPr="00EB4D74">
        <w:rPr>
          <w:rFonts w:cs="Tahoma"/>
          <w:color w:val="000000"/>
          <w:lang w:val="pt-BR"/>
        </w:rPr>
        <w:t>Todos os direitos sobre os materiais desenvolvidos por Nós (que não sejam código de software) e fornecidos ao cliente junto com o Suporte Profissional e Suporte para Windows Azure (“Materiais”) são de Nossa propriedade, exceto na medida em que esses Materiais fizerem parte do Trabalho Pré-existente do cliente. A Microsoft outorgará aos clientes uma licença não exclusiva, perpétua e totalmente quitada para uso, reprodução e modificação dos Materiais somente para uso nas operações empresariais internas dos clientes e sem obrigação de contabilidade ou pagamento de royalties. Os clientes poderão sublicenciar os direitos outorgados neste documento para suas Afiliadas. Todos os direitos não outorgados expressamente estão reservados.</w:t>
      </w:r>
    </w:p>
    <w:p w:rsidR="008B1196" w:rsidRPr="00EB4D74" w:rsidRDefault="008B1196" w:rsidP="008B1196">
      <w:pPr>
        <w:rPr>
          <w:rFonts w:cs="Tahoma"/>
          <w:lang w:val="pt-BR"/>
        </w:rPr>
      </w:pPr>
    </w:p>
    <w:p w:rsidR="008B1196" w:rsidRPr="00EB4D74" w:rsidRDefault="008B1196" w:rsidP="008B1196">
      <w:pPr>
        <w:rPr>
          <w:rFonts w:cs="Tahoma"/>
          <w:spacing w:val="-2"/>
          <w:lang w:val="it-IT"/>
        </w:rPr>
      </w:pPr>
      <w:r w:rsidRPr="00EB4D74">
        <w:rPr>
          <w:rFonts w:eastAsia="Times New Roman" w:cs="Tahoma"/>
          <w:b/>
          <w:spacing w:val="-2"/>
          <w:lang w:val="pt-BR"/>
        </w:rPr>
        <w:t xml:space="preserve">Código de Amostra. </w:t>
      </w:r>
      <w:r w:rsidRPr="00EB4D74">
        <w:rPr>
          <w:rFonts w:cs="Tahoma"/>
          <w:spacing w:val="-2"/>
          <w:lang w:val="pt-BR"/>
        </w:rPr>
        <w:t>A Microsoft concede aos clientes o direito não exclusivo, perpétuo e livre de royalties para usar e modificar códigos de software fornecidos para fins de esclarecimento (“Código de Amostra”) e reproduzir e distribuir o formato do código-objeto do Código de Amostra desde que os clientes concordem em: (i) não usar o nome, logotipo ou marcas da Microsoft para comercializar o software em que o Código de Amostra estiver incorporado; (ii) incluir uma notificação de direitos autorais válida no software em que o Código de Amostra estiver incorporado e (iii) indenizar, isentar de responsabilidade e defender a Microsoft e Seus fornecedores de requerimentos judiciais ou extrajudiciais ou ações judiciais, incluindo honorários advocatícios, decorrentes de uso ou distribuição do Código de Amostra.</w:t>
      </w:r>
    </w:p>
    <w:p w:rsidR="008B1196" w:rsidRPr="00EB4D74" w:rsidRDefault="008B1196" w:rsidP="008B1196">
      <w:pPr>
        <w:rPr>
          <w:rFonts w:cs="Tahoma"/>
          <w:lang w:val="it-IT"/>
        </w:rPr>
      </w:pPr>
    </w:p>
    <w:p w:rsidR="008B1196" w:rsidRPr="00EB4D74" w:rsidRDefault="008B1196" w:rsidP="008B1196">
      <w:pPr>
        <w:pStyle w:val="normal1"/>
        <w:rPr>
          <w:rFonts w:ascii="Tahoma" w:hAnsi="Tahoma" w:cs="Tahoma"/>
          <w:lang w:val="it-IT"/>
        </w:rPr>
      </w:pPr>
      <w:r w:rsidRPr="00EB4D74">
        <w:rPr>
          <w:rFonts w:ascii="Tahoma" w:hAnsi="Tahoma" w:cs="Tahoma"/>
          <w:b/>
          <w:color w:val="000000"/>
          <w:sz w:val="18"/>
          <w:lang w:val="pt-BR"/>
        </w:rPr>
        <w:t>Restrições de Licença de Software Livre.</w:t>
      </w:r>
      <w:r w:rsidRPr="00EB4D74">
        <w:rPr>
          <w:rFonts w:ascii="Tahoma" w:hAnsi="Tahoma" w:cs="Tahoma"/>
          <w:color w:val="000000"/>
          <w:sz w:val="18"/>
          <w:lang w:val="pt-BR"/>
        </w:rPr>
        <w:t xml:space="preserve"> Como alguns termos de licença de terceiros exigem que os códigos do computador sejam, em geral, (i) divulgados a terceiros em forma de código-fonte; (ii) licenciados a terceiros com a finalidade de fazer trabalhos derivados; ou (iii) redistribuíveis a terceiros sem nenhum custo (em conjunto, “Termos de Licença de Software Livre”), os direitos de licença que cada parte concedeu a qualquer código de computador (ou qualquer propriedade intelectual associada ao mesmo) não incluem nenhuma licença, direito, poder ou autoridade para incorporar, modificar, combinar e/ou distribuir o referido código de computador com qualquer outro código de computador de uma maneira que sujeitaria o código de computador de outrem aos Termos de Licença de Software Livre. Al</w:t>
      </w:r>
      <w:r w:rsidRPr="00EB4D74">
        <w:rPr>
          <w:rFonts w:ascii="Tahoma" w:eastAsia="Times New Roman" w:hAnsi="Tahoma" w:cs="Tahoma"/>
          <w:color w:val="000000"/>
          <w:sz w:val="18"/>
          <w:lang w:val="pt-BR"/>
        </w:rPr>
        <w:t>é</w:t>
      </w:r>
      <w:r w:rsidRPr="00EB4D74">
        <w:rPr>
          <w:rFonts w:ascii="Tahoma" w:hAnsi="Tahoma" w:cs="Tahoma"/>
          <w:color w:val="000000"/>
          <w:sz w:val="18"/>
          <w:lang w:val="pt-BR"/>
        </w:rPr>
        <w:t>m disso, cada uma das partes garante que n</w:t>
      </w:r>
      <w:r w:rsidRPr="00EB4D74">
        <w:rPr>
          <w:rFonts w:ascii="Tahoma" w:eastAsia="Times New Roman" w:hAnsi="Tahoma" w:cs="Tahoma"/>
          <w:color w:val="000000"/>
          <w:sz w:val="18"/>
          <w:lang w:val="pt-BR"/>
        </w:rPr>
        <w:t>ã</w:t>
      </w:r>
      <w:r w:rsidRPr="00EB4D74">
        <w:rPr>
          <w:rFonts w:ascii="Tahoma" w:hAnsi="Tahoma" w:cs="Tahoma"/>
          <w:color w:val="000000"/>
          <w:sz w:val="18"/>
          <w:lang w:val="pt-BR"/>
        </w:rPr>
        <w:t>o fornecer</w:t>
      </w:r>
      <w:r w:rsidRPr="00EB4D74">
        <w:rPr>
          <w:rFonts w:ascii="Tahoma" w:eastAsia="Times New Roman" w:hAnsi="Tahoma" w:cs="Tahoma"/>
          <w:color w:val="000000"/>
          <w:sz w:val="18"/>
          <w:lang w:val="pt-BR"/>
        </w:rPr>
        <w:t>á</w:t>
      </w:r>
      <w:r w:rsidRPr="00EB4D74">
        <w:rPr>
          <w:rFonts w:ascii="Tahoma" w:hAnsi="Tahoma" w:cs="Tahoma"/>
          <w:color w:val="000000"/>
          <w:sz w:val="18"/>
          <w:lang w:val="pt-BR"/>
        </w:rPr>
        <w:t xml:space="preserve"> ou entregar</w:t>
      </w:r>
      <w:r w:rsidRPr="00EB4D74">
        <w:rPr>
          <w:rFonts w:ascii="Tahoma" w:eastAsia="Times New Roman" w:hAnsi="Tahoma" w:cs="Tahoma"/>
          <w:color w:val="000000"/>
          <w:sz w:val="18"/>
          <w:lang w:val="pt-BR"/>
        </w:rPr>
        <w:t>áà</w:t>
      </w:r>
      <w:r w:rsidRPr="00EB4D74">
        <w:rPr>
          <w:rFonts w:ascii="Tahoma" w:hAnsi="Tahoma" w:cs="Tahoma"/>
          <w:color w:val="000000"/>
          <w:sz w:val="18"/>
          <w:lang w:val="pt-BR"/>
        </w:rPr>
        <w:t xml:space="preserve"> outra parte nenhum c</w:t>
      </w:r>
      <w:r w:rsidRPr="00EB4D74">
        <w:rPr>
          <w:rFonts w:ascii="Tahoma" w:eastAsia="Times New Roman" w:hAnsi="Tahoma" w:cs="Tahoma"/>
          <w:color w:val="000000"/>
          <w:sz w:val="18"/>
          <w:lang w:val="pt-BR"/>
        </w:rPr>
        <w:t>ó</w:t>
      </w:r>
      <w:r w:rsidRPr="00EB4D74">
        <w:rPr>
          <w:rFonts w:ascii="Tahoma" w:hAnsi="Tahoma" w:cs="Tahoma"/>
          <w:color w:val="000000"/>
          <w:sz w:val="18"/>
          <w:lang w:val="pt-BR"/>
        </w:rPr>
        <w:t>digo de computador que seja regido pelos Termos de Licen</w:t>
      </w:r>
      <w:r w:rsidRPr="00EB4D74">
        <w:rPr>
          <w:rFonts w:ascii="Tahoma" w:eastAsia="Times New Roman" w:hAnsi="Tahoma" w:cs="Tahoma"/>
          <w:color w:val="000000"/>
          <w:sz w:val="18"/>
          <w:lang w:val="pt-BR"/>
        </w:rPr>
        <w:t>ç</w:t>
      </w:r>
      <w:r w:rsidRPr="00EB4D74">
        <w:rPr>
          <w:rFonts w:ascii="Tahoma" w:hAnsi="Tahoma" w:cs="Tahoma"/>
          <w:color w:val="000000"/>
          <w:sz w:val="18"/>
          <w:lang w:val="pt-BR"/>
        </w:rPr>
        <w:t>a de Software Livre.</w:t>
      </w:r>
    </w:p>
    <w:p w:rsidR="008B1196" w:rsidRPr="00EB4D74" w:rsidRDefault="008B1196" w:rsidP="008B1196">
      <w:pPr>
        <w:pStyle w:val="normal1"/>
        <w:rPr>
          <w:rFonts w:ascii="Tahoma" w:hAnsi="Tahoma" w:cs="Tahoma"/>
          <w:lang w:val="it-IT"/>
        </w:rPr>
      </w:pPr>
    </w:p>
    <w:p w:rsidR="008B1196" w:rsidRPr="00EB4D74" w:rsidRDefault="008B1196" w:rsidP="008B1196">
      <w:pPr>
        <w:pStyle w:val="normal1"/>
        <w:rPr>
          <w:rFonts w:ascii="Tahoma" w:hAnsi="Tahoma" w:cs="Tahoma"/>
          <w:lang w:val="it-IT"/>
        </w:rPr>
      </w:pPr>
      <w:r w:rsidRPr="00EB4D74">
        <w:rPr>
          <w:rFonts w:ascii="Tahoma" w:hAnsi="Tahoma" w:cs="Tahoma"/>
          <w:b/>
          <w:color w:val="000000"/>
          <w:sz w:val="18"/>
          <w:lang w:val="pt-BR"/>
        </w:rPr>
        <w:t xml:space="preserve">Direitos das Afiliadas. </w:t>
      </w:r>
      <w:r w:rsidRPr="00EB4D74">
        <w:rPr>
          <w:rFonts w:ascii="Tahoma" w:hAnsi="Tahoma" w:cs="Tahoma"/>
          <w:color w:val="000000"/>
          <w:sz w:val="18"/>
          <w:lang w:val="pt-BR"/>
        </w:rPr>
        <w:t>O Cliente pode sublicenciar a suas Afiliadas os direitos contidos nesta subseção relacionados aos Serviços Entregues, mas as Afiliadas do Cliente não podem sublicenciar esses direitos e o uso feito pelas Afiliadas do Cliente deve ser compatível com os termos de licença previstos neste contrato.</w:t>
      </w:r>
    </w:p>
    <w:p w:rsidR="008B1196" w:rsidRPr="00EB4D74" w:rsidRDefault="008B1196" w:rsidP="008B1196">
      <w:pPr>
        <w:pStyle w:val="normal1"/>
        <w:rPr>
          <w:rFonts w:ascii="Tahoma" w:hAnsi="Tahoma" w:cs="Tahoma"/>
          <w:lang w:val="it-IT"/>
        </w:rPr>
      </w:pPr>
    </w:p>
    <w:p w:rsidR="008B1196" w:rsidRPr="00EB4D74" w:rsidRDefault="008B1196" w:rsidP="008B1196">
      <w:pPr>
        <w:rPr>
          <w:rFonts w:cs="Tahoma"/>
          <w:lang w:val="it-IT"/>
        </w:rPr>
      </w:pPr>
      <w:r w:rsidRPr="00EB4D74">
        <w:rPr>
          <w:rFonts w:cs="Tahoma"/>
          <w:b/>
          <w:color w:val="000000"/>
          <w:lang w:val="pt-BR"/>
        </w:rPr>
        <w:t xml:space="preserve">Reserva de direitos. </w:t>
      </w:r>
      <w:r w:rsidRPr="00EB4D74">
        <w:rPr>
          <w:rFonts w:cs="Tahoma"/>
          <w:color w:val="000000"/>
          <w:lang w:val="pt-BR"/>
        </w:rPr>
        <w:t>Qualquer direito não concedido expressamente permanece reservado.</w:t>
      </w:r>
    </w:p>
    <w:p w:rsidR="008B1196" w:rsidRPr="00EB4D74" w:rsidRDefault="008B1196" w:rsidP="008B1196">
      <w:pPr>
        <w:rPr>
          <w:rFonts w:cs="Tahoma"/>
          <w:lang w:val="it-IT"/>
        </w:rPr>
      </w:pPr>
    </w:p>
    <w:p w:rsidR="008B1196" w:rsidRPr="00EB4D74" w:rsidRDefault="008B1196" w:rsidP="008B1196">
      <w:pPr>
        <w:rPr>
          <w:rFonts w:cs="Tahoma"/>
          <w:lang w:val="it-IT"/>
        </w:rPr>
      </w:pPr>
      <w:r w:rsidRPr="00EB4D74">
        <w:rPr>
          <w:rFonts w:cs="Tahoma"/>
          <w:b/>
          <w:lang w:val="pt-BR"/>
        </w:rPr>
        <w:t>Garantias, Isenções e Limitações de Responsabilidade</w:t>
      </w:r>
      <w:r w:rsidRPr="00EB4D74">
        <w:rPr>
          <w:rFonts w:cs="Tahoma"/>
          <w:lang w:val="pt-BR"/>
        </w:rPr>
        <w:t>.</w:t>
      </w:r>
    </w:p>
    <w:p w:rsidR="008B1196" w:rsidRPr="00EB4D74" w:rsidRDefault="008B1196" w:rsidP="008B1196">
      <w:pPr>
        <w:rPr>
          <w:rFonts w:cs="Tahoma"/>
          <w:lang w:val="it-IT"/>
        </w:rPr>
      </w:pPr>
    </w:p>
    <w:p w:rsidR="008B1196" w:rsidRPr="00EB4D74" w:rsidRDefault="008B1196" w:rsidP="008B1196">
      <w:pPr>
        <w:ind w:left="360"/>
        <w:rPr>
          <w:rFonts w:cs="Tahoma"/>
          <w:lang w:val="it-IT"/>
        </w:rPr>
      </w:pPr>
      <w:r w:rsidRPr="00EB4D74">
        <w:rPr>
          <w:rFonts w:cs="Tahoma"/>
          <w:b/>
          <w:color w:val="000000"/>
          <w:lang w:val="pt-BR"/>
        </w:rPr>
        <w:t>Garantia dos Serviços</w:t>
      </w:r>
      <w:r w:rsidRPr="00EB4D74">
        <w:rPr>
          <w:rFonts w:cs="Tahoma"/>
          <w:color w:val="000000"/>
          <w:lang w:val="pt-BR"/>
        </w:rPr>
        <w:t>. A Microsoft garante que todos os Serviços serão realizados com cuidado e qualificação profissionais.</w:t>
      </w:r>
    </w:p>
    <w:p w:rsidR="008B1196" w:rsidRPr="00EB4D74" w:rsidRDefault="008B1196" w:rsidP="008B1196">
      <w:pPr>
        <w:ind w:left="360"/>
        <w:rPr>
          <w:rFonts w:cs="Tahoma"/>
          <w:lang w:val="it-IT"/>
        </w:rPr>
      </w:pPr>
    </w:p>
    <w:p w:rsidR="008B1196" w:rsidRPr="00EB4D74" w:rsidRDefault="008B1196" w:rsidP="008B1196">
      <w:pPr>
        <w:ind w:left="360"/>
        <w:rPr>
          <w:rFonts w:cs="Tahoma"/>
          <w:spacing w:val="-4"/>
          <w:lang w:val="pt-BR"/>
        </w:rPr>
      </w:pPr>
      <w:r w:rsidRPr="00EB4D74">
        <w:rPr>
          <w:rFonts w:cs="Tahoma"/>
          <w:b/>
          <w:spacing w:val="-4"/>
          <w:lang w:val="pt-BR"/>
        </w:rPr>
        <w:t xml:space="preserve">AUSÊNCIA DE OUTRAS GARANTIAS. </w:t>
      </w:r>
      <w:r w:rsidRPr="00EB4D74">
        <w:rPr>
          <w:rFonts w:cs="Tahoma"/>
          <w:spacing w:val="-4"/>
          <w:lang w:val="pt-BR"/>
        </w:rPr>
        <w:t>NO LIMITE PERMITIDO PELA LEI APLICÁVEL, A MICROSOFT EXCLUI E ISENTA-SE DE TODAS AS DECLARAÇÕES, GARANTIAS E CONDIÇÕES, EXPRESSAS, IMPLÍCITAS OU CONTIDAS EM LEI, QUE NÃO SEJAM AQUELAS IDENTIFICADAS DE MANEIRA EXPRESSA NESTE CONTRATO. A ISENÇÃO DE RESPONSABILIDADE INCLUI TODA E QUALQUER GARANTIA OU CONDIÇÃO DE TITULARIDADE DO DIREITO, NÃO VIOLAÇÃO, QUALIDADE OU RESULTADOS SATISFATÓRIOS, PADRÕES DE COMERCIALIZAÇÃO OU ADEQUAÇÃO PARA UM PROPÓSITO ESPECÍFICO, COM RESPEITO A QUALQUER CONSULTORIA, RECOMENDAÇÃO, CONSERTO, SERVIÇOS ENTREGES E OUTROS MATERIAIS RELACIONADOS FORNECIDOS PELA MICROSOFT E SUAS AFILIADAS, FORNECEDORES E CONTRATANTES NA EXECUÇÃO DO SERVIÇO.</w:t>
      </w:r>
    </w:p>
    <w:p w:rsidR="008B1196" w:rsidRPr="00EB4D74" w:rsidRDefault="008B1196" w:rsidP="008B1196">
      <w:pPr>
        <w:ind w:left="360"/>
        <w:rPr>
          <w:rFonts w:cs="Tahoma"/>
          <w:lang w:val="pt-BR"/>
        </w:rPr>
      </w:pPr>
      <w:r w:rsidRPr="00EB4D74">
        <w:rPr>
          <w:rFonts w:cs="Tahoma"/>
          <w:b/>
          <w:lang w:val="pt-BR"/>
        </w:rPr>
        <w:lastRenderedPageBreak/>
        <w:t>Limitação de Responsabilidade</w:t>
      </w:r>
      <w:r w:rsidRPr="00EB4D74">
        <w:rPr>
          <w:rFonts w:cs="Tahoma"/>
          <w:lang w:val="pt-BR"/>
        </w:rPr>
        <w:t>. A responsabilidade da Microsoft por danos diretos será limitada até a máxima extensão permitida pela lei aplicável aos valores pagos pelo Cliente pelos Serviços que originaram o requerimento judicial ou extrajudicial de violação nos 12 meses que precedem o referido requerimento.</w:t>
      </w:r>
    </w:p>
    <w:p w:rsidR="008B1196" w:rsidRPr="00EB4D74" w:rsidRDefault="008B1196" w:rsidP="008B1196">
      <w:pPr>
        <w:ind w:left="360"/>
        <w:rPr>
          <w:rFonts w:cs="Tahoma"/>
          <w:lang w:val="it-IT"/>
        </w:rPr>
      </w:pPr>
    </w:p>
    <w:p w:rsidR="008B1196" w:rsidRPr="00EB4D74" w:rsidRDefault="008B1196" w:rsidP="008B1196">
      <w:pPr>
        <w:ind w:left="360"/>
        <w:rPr>
          <w:rFonts w:cs="Tahoma"/>
          <w:lang w:val="it-IT"/>
        </w:rPr>
      </w:pPr>
      <w:r w:rsidRPr="00EB4D74">
        <w:rPr>
          <w:rFonts w:cs="Tahoma"/>
          <w:b/>
          <w:lang w:val="pt-BR"/>
        </w:rPr>
        <w:t>NENHUMA RESPONSABILIDADE POR DANOS DETERMINADOS.</w:t>
      </w:r>
      <w:r w:rsidRPr="00EB4D74">
        <w:rPr>
          <w:rFonts w:cs="Tahoma"/>
          <w:lang w:val="pt-BR"/>
        </w:rPr>
        <w:t xml:space="preserve"> NA EXTENSÃO MÁXIMA PERMITIDA PELA LEI APLICÁVEL, NENHUMA DAS PARTES, SUAS AFILIADAS, FORNECEDORAS OU CONTRATANTES RESPONDERÃO POR DANOS INDIRETOS (INCLUINDO, SEM LIMITAÇÃO, DANOS CONSEQUENCIAIS, ESPECIAIS OU INCIDENTAIS, DANOS POR PERDA DE LUCRO OU RECEITA, INTERRUPÇÃO DOS NEGÓCIOS OU PERDA DE INFORMAÇÕES DO NEGÓCIO), QUE VENHAM A SURGIR EM DECORRÊNCIA DESTE CONTRATO, AINDA QUE AVISADAS DA POSSIBILIDADE DE OCORRÊNCIA DOS REFERIDOS DANOS OU DE QUE ESSA POSSIBILIDADE POSSA SER RAZOAVELMENTE PREVISTA. ESSA EXCLUSÃO DE RESPONSABILIDADE NÃO SE APLICA À RESPONSABILIDADE DE QUAISQUER DAS PARTES EM RELAÇÃO À OUTRA PELA VIOLAÇÃO DE SUA OBRIGAÇÃO DE CONFIDENCIALIDADE OU PELA VIOLAÇÃO DE DIREITOS DE PROPRIEDADE INTELECTUAL DA OUTRA PARTE.</w:t>
      </w:r>
    </w:p>
    <w:p w:rsidR="008B1196" w:rsidRPr="00EB4D74" w:rsidRDefault="008B1196" w:rsidP="008B1196">
      <w:pPr>
        <w:ind w:left="360" w:hanging="360"/>
        <w:jc w:val="both"/>
        <w:rPr>
          <w:rFonts w:cs="Tahoma"/>
          <w:lang w:val="it-IT"/>
        </w:rPr>
      </w:pPr>
    </w:p>
    <w:p w:rsidR="008B1196" w:rsidRPr="00EB4D74" w:rsidRDefault="008B1196" w:rsidP="008B1196">
      <w:pPr>
        <w:ind w:left="360"/>
        <w:rPr>
          <w:rFonts w:cs="Tahoma"/>
          <w:lang w:val="it-IT"/>
        </w:rPr>
      </w:pPr>
      <w:r w:rsidRPr="00EB4D74">
        <w:rPr>
          <w:rFonts w:cs="Tahoma"/>
          <w:b/>
          <w:lang w:val="pt-BR"/>
        </w:rPr>
        <w:t>Aplicação.</w:t>
      </w:r>
      <w:r w:rsidRPr="00EB4D74">
        <w:rPr>
          <w:rFonts w:cs="Tahoma"/>
          <w:lang w:val="pt-BR"/>
        </w:rPr>
        <w:t xml:space="preserve"> Exceto conforme especificado de maneira expressa neste documento, as limitações e exclusões de responsabilidade por danos definidos neste contrato se aplicam independentemente de a responsabilidade se basear em violação de contrato, ato ilícito extracontratual (incluindo negligência), responsabilidade objetiva, descumprimento das garantias ou qualquer outro embasamento jurídico.</w:t>
      </w:r>
    </w:p>
    <w:p w:rsidR="008B1196" w:rsidRPr="00EB4D74" w:rsidRDefault="008B1196" w:rsidP="008B1196">
      <w:pPr>
        <w:tabs>
          <w:tab w:val="left" w:pos="2936"/>
        </w:tabs>
        <w:rPr>
          <w:rFonts w:cs="Tahoma"/>
          <w:lang w:val="it-IT"/>
        </w:rPr>
      </w:pPr>
    </w:p>
    <w:p w:rsidR="008B1196" w:rsidRPr="00EB4D74" w:rsidRDefault="008B1196" w:rsidP="008B1196">
      <w:pPr>
        <w:rPr>
          <w:rFonts w:cs="Tahoma"/>
          <w:lang w:val="it-IT"/>
        </w:rPr>
      </w:pPr>
      <w:r w:rsidRPr="00EB4D74">
        <w:rPr>
          <w:rFonts w:cs="Tahoma"/>
          <w:lang w:val="it-IT" w:eastAsia="ja-JP"/>
        </w:rPr>
        <w:br w:type="page"/>
      </w:r>
    </w:p>
    <w:p w:rsidR="008B1196" w:rsidRPr="00EB4D74" w:rsidRDefault="008B1196" w:rsidP="008B1196">
      <w:pPr>
        <w:pStyle w:val="Heading1"/>
        <w:spacing w:after="120"/>
      </w:pPr>
      <w:bookmarkStart w:id="1028" w:name="_Toc336338249"/>
      <w:bookmarkStart w:id="1029" w:name="_Toc342914886"/>
      <w:bookmarkEnd w:id="1028"/>
      <w:r w:rsidRPr="00EB4D74">
        <w:lastRenderedPageBreak/>
        <w:t>seção 9 – Termos Adicionais</w:t>
      </w:r>
      <w:bookmarkEnd w:id="1029"/>
    </w:p>
    <w:p w:rsidR="008B1196" w:rsidRPr="00EB4D74" w:rsidRDefault="008B1196" w:rsidP="008B1196">
      <w:pPr>
        <w:pStyle w:val="Heading1"/>
        <w:spacing w:before="200" w:after="120"/>
        <w:rPr>
          <w:sz w:val="20"/>
          <w:szCs w:val="20"/>
          <w:lang w:val="x-none" w:eastAsia="x-none"/>
        </w:rPr>
      </w:pPr>
      <w:bookmarkStart w:id="1030" w:name="_Toc323159781"/>
      <w:bookmarkStart w:id="1031" w:name="_Toc336338250"/>
      <w:bookmarkStart w:id="1032" w:name="_Toc342914887"/>
      <w:bookmarkEnd w:id="1030"/>
      <w:bookmarkEnd w:id="1031"/>
    </w:p>
    <w:p w:rsidR="008B1196" w:rsidRPr="00EB4D74" w:rsidRDefault="008B1196" w:rsidP="008B1196">
      <w:pPr>
        <w:pStyle w:val="Heading3"/>
        <w:ind w:left="800" w:right="720" w:hanging="800"/>
        <w:rPr>
          <w:rFonts w:ascii="Tahoma" w:hAnsi="Tahoma" w:cs="Tahoma"/>
          <w:lang w:val="it-IT"/>
        </w:rPr>
      </w:pPr>
      <w:r w:rsidRPr="00EB4D74">
        <w:rPr>
          <w:rFonts w:ascii="Tahoma" w:hAnsi="Tahoma" w:cs="Tahoma"/>
          <w:color w:val="000000"/>
          <w:sz w:val="24"/>
          <w:lang w:val="pt-BR"/>
        </w:rPr>
        <w:t>Licenças de Acesso para Cliente (CALs) e Licenças de Gerenciamento (MLs) de Cliente</w:t>
      </w:r>
      <w:bookmarkEnd w:id="1032"/>
    </w:p>
    <w:p w:rsidR="008B1196" w:rsidRPr="00EB4D74" w:rsidRDefault="008B1196" w:rsidP="008B1196">
      <w:pPr>
        <w:pStyle w:val="AppendixFlushBulletedList"/>
        <w:tabs>
          <w:tab w:val="clear" w:pos="360"/>
        </w:tabs>
        <w:ind w:left="720" w:right="720" w:firstLine="0"/>
        <w:rPr>
          <w:rFonts w:ascii="Tahoma" w:hAnsi="Tahoma" w:cs="Tahoma"/>
          <w:lang w:val="it-IT"/>
        </w:rPr>
      </w:pPr>
    </w:p>
    <w:p w:rsidR="008B1196" w:rsidRPr="00EB4D74" w:rsidRDefault="008B1196" w:rsidP="008B1196">
      <w:pPr>
        <w:pStyle w:val="AppendixFlushBulletedList"/>
        <w:numPr>
          <w:ilvl w:val="0"/>
          <w:numId w:val="51"/>
        </w:numPr>
        <w:ind w:left="1440" w:right="720"/>
        <w:rPr>
          <w:rFonts w:ascii="Tahoma" w:hAnsi="Tahoma" w:cs="Tahoma"/>
          <w:lang w:val="it-IT"/>
        </w:rPr>
      </w:pPr>
      <w:r w:rsidRPr="00EB4D74">
        <w:rPr>
          <w:rFonts w:ascii="Tahoma" w:hAnsi="Tahoma" w:cs="Tahoma"/>
          <w:b/>
          <w:color w:val="000000"/>
          <w:sz w:val="18"/>
          <w:lang w:val="pt-BR"/>
        </w:rPr>
        <w:t>Transição entre CALs do Usuário e do Dispositivo</w:t>
      </w:r>
    </w:p>
    <w:p w:rsidR="008B1196" w:rsidRPr="00EB4D74" w:rsidRDefault="008B1196" w:rsidP="008B1196">
      <w:pPr>
        <w:pStyle w:val="AppendixBodyText"/>
        <w:numPr>
          <w:ilvl w:val="0"/>
          <w:numId w:val="52"/>
        </w:numPr>
        <w:spacing w:afterLines="60" w:after="144"/>
        <w:ind w:left="1800" w:right="720"/>
        <w:rPr>
          <w:rFonts w:ascii="Tahoma" w:hAnsi="Tahoma" w:cs="Tahoma"/>
        </w:rPr>
      </w:pPr>
      <w:r w:rsidRPr="00EB4D74">
        <w:rPr>
          <w:rFonts w:ascii="Tahoma" w:hAnsi="Tahoma" w:cs="Tahoma"/>
          <w:color w:val="000000"/>
          <w:sz w:val="18"/>
          <w:lang w:val="pt-BR"/>
        </w:rPr>
        <w:t>Os clientes com Software Assurance atual para CALs podem alternar entre Usuário e Dispositivo na renovação da cobertura do Software Assurance. Essa transição não muda a edição da CAL (ou seja, de Standard para Empresarial). Consulte as Notas do Produto referentes aos produtos individuais.</w:t>
      </w:r>
    </w:p>
    <w:p w:rsidR="008B1196" w:rsidRPr="00EB4D74" w:rsidRDefault="008B1196" w:rsidP="008B1196">
      <w:pPr>
        <w:pStyle w:val="AppendixFlushBulletedList"/>
        <w:numPr>
          <w:ilvl w:val="0"/>
          <w:numId w:val="51"/>
        </w:numPr>
        <w:ind w:left="1440" w:right="720"/>
        <w:rPr>
          <w:rFonts w:ascii="Tahoma" w:hAnsi="Tahoma" w:cs="Tahoma"/>
          <w:lang w:val="it-IT"/>
        </w:rPr>
      </w:pPr>
      <w:r w:rsidRPr="00EB4D74">
        <w:rPr>
          <w:rFonts w:ascii="Tahoma" w:hAnsi="Tahoma" w:cs="Tahoma"/>
          <w:b/>
          <w:color w:val="000000"/>
          <w:sz w:val="18"/>
          <w:lang w:val="pt-BR"/>
        </w:rPr>
        <w:t>Transição entre MLs de cliente para Usuário e OSE</w:t>
      </w:r>
    </w:p>
    <w:p w:rsidR="008B1196" w:rsidRPr="00EB4D74" w:rsidRDefault="008B1196" w:rsidP="008B1196">
      <w:pPr>
        <w:pStyle w:val="AppendixBodyText"/>
        <w:numPr>
          <w:ilvl w:val="0"/>
          <w:numId w:val="52"/>
        </w:numPr>
        <w:spacing w:afterLines="60" w:after="144"/>
        <w:ind w:left="1800" w:right="720"/>
        <w:rPr>
          <w:rFonts w:ascii="Tahoma" w:hAnsi="Tahoma" w:cs="Tahoma"/>
        </w:rPr>
      </w:pPr>
      <w:r w:rsidRPr="00EB4D74">
        <w:rPr>
          <w:rFonts w:ascii="Tahoma" w:hAnsi="Tahoma" w:cs="Tahoma"/>
          <w:color w:val="000000"/>
          <w:sz w:val="18"/>
          <w:lang w:val="pt-BR"/>
        </w:rPr>
        <w:t>Os clientes com Software Assurance atual para MLs de cliente podem alternar entre Usuário e OSE na renovação da cobertura do Software Assurance. Consulte as Notas do Produto referentes aos produtos individuais para obter detalhes.</w:t>
      </w:r>
    </w:p>
    <w:p w:rsidR="008B1196" w:rsidRPr="00EB4D74" w:rsidRDefault="008B1196" w:rsidP="008B1196">
      <w:pPr>
        <w:pStyle w:val="AppendixFlushBulletedList"/>
        <w:numPr>
          <w:ilvl w:val="0"/>
          <w:numId w:val="51"/>
        </w:numPr>
        <w:ind w:left="1440" w:right="720"/>
        <w:rPr>
          <w:rFonts w:ascii="Tahoma" w:hAnsi="Tahoma" w:cs="Tahoma"/>
        </w:rPr>
      </w:pPr>
      <w:r w:rsidRPr="00EB4D74">
        <w:rPr>
          <w:rFonts w:ascii="Tahoma" w:hAnsi="Tahoma" w:cs="Tahoma"/>
          <w:b/>
          <w:color w:val="000000"/>
          <w:sz w:val="18"/>
          <w:lang w:val="pt-BR"/>
        </w:rPr>
        <w:t>Na renovação</w:t>
      </w:r>
    </w:p>
    <w:p w:rsidR="008B1196" w:rsidRPr="00EB4D74" w:rsidRDefault="008B1196" w:rsidP="008B1196">
      <w:pPr>
        <w:pStyle w:val="AppendixBodyText"/>
        <w:numPr>
          <w:ilvl w:val="0"/>
          <w:numId w:val="52"/>
        </w:numPr>
        <w:spacing w:afterLines="60" w:after="144"/>
        <w:ind w:left="1800" w:right="720"/>
        <w:rPr>
          <w:rFonts w:ascii="Tahoma" w:hAnsi="Tahoma" w:cs="Tahoma"/>
        </w:rPr>
      </w:pPr>
      <w:r w:rsidRPr="00EB4D74">
        <w:rPr>
          <w:rFonts w:ascii="Tahoma" w:hAnsi="Tahoma" w:cs="Tahoma"/>
          <w:color w:val="000000"/>
          <w:sz w:val="18"/>
          <w:lang w:val="pt-BR"/>
        </w:rPr>
        <w:t>Caso estejam disponíveis CALs do Usuário e do Dispositivo, os clientes poderão renovar o Software Assurance para qualquer um dos dois tipos. Os direitos de uso de produto referentes ao tipo de CAL para a qual o Software Assurance é solicitado determinam como as CALs poderão ser alocadas e usadas. Os clientes de Registro Enterprise que optarem por solicitar o Software Assurance para CALs do Usuário podem adquirir CALs com base na contagem de usuários. Consulte as notas referentes aos produtos individuais para obter detalhes.</w:t>
      </w:r>
    </w:p>
    <w:p w:rsidR="008B1196" w:rsidRPr="00EB4D74" w:rsidRDefault="008B1196" w:rsidP="008B1196">
      <w:pPr>
        <w:pStyle w:val="AppendixFlushBulletedList"/>
        <w:numPr>
          <w:ilvl w:val="0"/>
          <w:numId w:val="51"/>
        </w:numPr>
        <w:ind w:left="1440" w:right="720"/>
        <w:rPr>
          <w:rFonts w:ascii="Tahoma" w:hAnsi="Tahoma" w:cs="Tahoma"/>
        </w:rPr>
      </w:pPr>
      <w:r w:rsidRPr="00EB4D74">
        <w:rPr>
          <w:rFonts w:ascii="Tahoma" w:hAnsi="Tahoma" w:cs="Tahoma"/>
          <w:b/>
          <w:color w:val="000000"/>
          <w:sz w:val="18"/>
          <w:lang w:val="pt-BR"/>
        </w:rPr>
        <w:t>CALs excedentes</w:t>
      </w:r>
    </w:p>
    <w:p w:rsidR="008B1196" w:rsidRPr="00EB4D74" w:rsidRDefault="008B1196" w:rsidP="008B1196">
      <w:pPr>
        <w:pStyle w:val="AppendixBodyText"/>
        <w:numPr>
          <w:ilvl w:val="0"/>
          <w:numId w:val="52"/>
        </w:numPr>
        <w:spacing w:afterLines="60" w:after="144"/>
        <w:ind w:left="1800" w:right="720"/>
        <w:rPr>
          <w:rFonts w:ascii="Tahoma" w:hAnsi="Tahoma" w:cs="Tahoma"/>
          <w:lang w:val="it-IT"/>
        </w:rPr>
      </w:pPr>
      <w:r w:rsidRPr="00EB4D74">
        <w:rPr>
          <w:rFonts w:ascii="Tahoma" w:hAnsi="Tahoma" w:cs="Tahoma"/>
          <w:color w:val="000000"/>
          <w:sz w:val="18"/>
          <w:lang w:val="pt-BR"/>
        </w:rPr>
        <w:t>A transição entre CALs do Usuário e do Dispositivo, conforme permitido acima, poderia resultar em um excesso de CALs. Os clientes poderão realocar as CALs excedentes à medida que o número de usuários ou dispositivos aumentar. Na época da renovação, os clientes poderão optar por manter o Software Assurance nas CALs excedentes. Os clientes não poderão renovar posteriormente o Software Assurance de qualquer CAL excedente cuja cobertura tiver expirado.</w:t>
      </w:r>
    </w:p>
    <w:p w:rsidR="008B1196" w:rsidRPr="00EB4D74" w:rsidRDefault="008B1196" w:rsidP="008B1196">
      <w:pPr>
        <w:pStyle w:val="AppendixFlushBulletedList"/>
        <w:numPr>
          <w:ilvl w:val="0"/>
          <w:numId w:val="51"/>
        </w:numPr>
        <w:ind w:left="1440" w:right="720"/>
        <w:rPr>
          <w:rFonts w:ascii="Tahoma" w:hAnsi="Tahoma" w:cs="Tahoma"/>
        </w:rPr>
      </w:pPr>
      <w:r w:rsidRPr="00EB4D74">
        <w:rPr>
          <w:rFonts w:ascii="Tahoma" w:hAnsi="Tahoma" w:cs="Tahoma"/>
          <w:b/>
          <w:color w:val="000000"/>
          <w:sz w:val="18"/>
          <w:lang w:val="pt-BR"/>
        </w:rPr>
        <w:t>MLs excedentes</w:t>
      </w:r>
    </w:p>
    <w:p w:rsidR="008B1196" w:rsidRPr="00EB4D74" w:rsidRDefault="008B1196" w:rsidP="008B1196">
      <w:pPr>
        <w:pStyle w:val="AppendixBodyText"/>
        <w:numPr>
          <w:ilvl w:val="0"/>
          <w:numId w:val="52"/>
        </w:numPr>
        <w:spacing w:afterLines="60" w:after="144"/>
        <w:ind w:left="1800" w:right="720"/>
        <w:rPr>
          <w:rFonts w:ascii="Tahoma" w:hAnsi="Tahoma" w:cs="Tahoma"/>
          <w:lang w:val="it-IT"/>
        </w:rPr>
      </w:pPr>
      <w:r w:rsidRPr="00EB4D74">
        <w:rPr>
          <w:rFonts w:ascii="Tahoma" w:hAnsi="Tahoma" w:cs="Tahoma"/>
          <w:color w:val="000000"/>
          <w:sz w:val="18"/>
          <w:lang w:val="pt-BR"/>
        </w:rPr>
        <w:t>A transição entre MLs de cliente para Usuário e OSE, conforme permitido acima, poderia resultar em um excesso de MLs. Os clientes poderão realocar as MLs excedentes à medida que o número de usuários ou OSEs gerenciados aumentar. Na época da renovação, os clientes poderão optar por manter o Software Assurance nas MLs excedentes. Os clientes não poderão renovar posteriormente o Software Assurance de qualquer ML excedente cuja cobertura tiver expirado.</w:t>
      </w:r>
    </w:p>
    <w:p w:rsidR="008B1196" w:rsidRPr="00EB4D74" w:rsidRDefault="008B1196" w:rsidP="008B1196">
      <w:pPr>
        <w:pStyle w:val="AppendixFlushBulletedList"/>
        <w:numPr>
          <w:ilvl w:val="0"/>
          <w:numId w:val="51"/>
        </w:numPr>
        <w:ind w:left="1440" w:right="720"/>
        <w:rPr>
          <w:rFonts w:ascii="Tahoma" w:hAnsi="Tahoma" w:cs="Tahoma"/>
        </w:rPr>
      </w:pPr>
      <w:r w:rsidRPr="00EB4D74">
        <w:rPr>
          <w:rFonts w:ascii="Tahoma" w:hAnsi="Tahoma" w:cs="Tahoma"/>
          <w:b/>
          <w:color w:val="000000"/>
          <w:sz w:val="18"/>
          <w:lang w:val="pt-BR"/>
        </w:rPr>
        <w:t>Comprovante de Licenças</w:t>
      </w:r>
    </w:p>
    <w:p w:rsidR="008B1196" w:rsidRPr="00EB4D74" w:rsidRDefault="008B1196" w:rsidP="008B1196">
      <w:pPr>
        <w:pStyle w:val="AppendixBodyText"/>
        <w:numPr>
          <w:ilvl w:val="0"/>
          <w:numId w:val="52"/>
        </w:numPr>
        <w:spacing w:afterLines="60" w:after="144"/>
        <w:ind w:left="1800" w:right="720"/>
        <w:rPr>
          <w:rFonts w:ascii="Tahoma" w:hAnsi="Tahoma" w:cs="Tahoma"/>
          <w:lang w:val="it-IT"/>
        </w:rPr>
      </w:pPr>
      <w:r w:rsidRPr="00EB4D74">
        <w:rPr>
          <w:rFonts w:ascii="Tahoma" w:hAnsi="Tahoma" w:cs="Tahoma"/>
          <w:color w:val="000000"/>
          <w:sz w:val="18"/>
          <w:szCs w:val="18"/>
          <w:lang w:val="pt-BR"/>
        </w:rPr>
        <w:t xml:space="preserve">O direito de migrar para e utilizar CALs do Usuário é comprovado por esta Lista de Produtos, pelos registros do Software Assurance e pelas CALs básicas dos clientes. </w:t>
      </w:r>
      <w:r w:rsidRPr="00EB4D74">
        <w:rPr>
          <w:rFonts w:ascii="Tahoma" w:hAnsi="Tahoma" w:cs="Tahoma"/>
          <w:color w:val="000000"/>
          <w:sz w:val="18"/>
          <w:lang w:val="pt-BR"/>
        </w:rPr>
        <w:t>O direito de migrar para e utilizar MLs do Usuário é comprovado por esta Lista de Produtos, pelos registros do Software Assurance e pelas MLs básicas dos clientes.</w:t>
      </w:r>
    </w:p>
    <w:p w:rsidR="008B1196" w:rsidRPr="00EB4D74" w:rsidRDefault="008B1196" w:rsidP="008B1196">
      <w:pPr>
        <w:pStyle w:val="AppendixBodyText"/>
        <w:spacing w:after="0"/>
        <w:ind w:right="720"/>
        <w:rPr>
          <w:rFonts w:ascii="Tahoma" w:hAnsi="Tahoma" w:cs="Tahoma"/>
          <w:sz w:val="18"/>
          <w:szCs w:val="18"/>
          <w:lang w:val="it-IT"/>
        </w:rPr>
      </w:pPr>
    </w:p>
    <w:p w:rsidR="008B1196" w:rsidRPr="00EB4D74" w:rsidRDefault="008B1196" w:rsidP="008B1196">
      <w:pPr>
        <w:pStyle w:val="AppendixBodyText"/>
        <w:spacing w:after="0"/>
        <w:ind w:right="720"/>
        <w:rPr>
          <w:rFonts w:ascii="Tahoma" w:hAnsi="Tahoma" w:cs="Tahoma"/>
          <w:sz w:val="18"/>
          <w:szCs w:val="18"/>
          <w:lang w:val="it-IT"/>
        </w:rPr>
      </w:pPr>
    </w:p>
    <w:p w:rsidR="008B1196" w:rsidRPr="00EB4D74" w:rsidRDefault="008B1196" w:rsidP="008B1196">
      <w:pPr>
        <w:pStyle w:val="Heading3"/>
        <w:ind w:right="720"/>
        <w:rPr>
          <w:rFonts w:ascii="Tahoma" w:hAnsi="Tahoma" w:cs="Tahoma"/>
          <w:lang w:val="it-IT"/>
        </w:rPr>
      </w:pPr>
      <w:bookmarkStart w:id="1033" w:name="_Toc323159782"/>
      <w:bookmarkStart w:id="1034" w:name="_Toc336338251"/>
      <w:bookmarkStart w:id="1035" w:name="_Toc342914888"/>
      <w:bookmarkEnd w:id="1033"/>
      <w:bookmarkEnd w:id="1034"/>
      <w:r w:rsidRPr="00EB4D74">
        <w:rPr>
          <w:rFonts w:ascii="Tahoma" w:hAnsi="Tahoma" w:cs="Tahoma"/>
          <w:sz w:val="24"/>
          <w:lang w:val="pt-BR"/>
        </w:rPr>
        <w:t>Restrições dos Controles de EI</w:t>
      </w:r>
      <w:bookmarkEnd w:id="1035"/>
    </w:p>
    <w:p w:rsidR="008B1196" w:rsidRPr="00EB4D74" w:rsidRDefault="008B1196" w:rsidP="008B1196">
      <w:pPr>
        <w:ind w:right="720"/>
        <w:rPr>
          <w:rFonts w:cs="Tahoma"/>
          <w:lang w:val="it-IT"/>
        </w:rPr>
      </w:pPr>
    </w:p>
    <w:p w:rsidR="008B1196" w:rsidRPr="00EB4D74" w:rsidRDefault="008B1196" w:rsidP="008B1196">
      <w:pPr>
        <w:pStyle w:val="AppendixBodyText"/>
        <w:ind w:right="720"/>
        <w:rPr>
          <w:rStyle w:val="Hyperlink"/>
          <w:rFonts w:ascii="Tahoma" w:hAnsi="Tahoma" w:cs="Tahoma"/>
          <w:spacing w:val="-2"/>
          <w:sz w:val="18"/>
        </w:rPr>
      </w:pPr>
      <w:r w:rsidRPr="00EB4D74">
        <w:rPr>
          <w:rFonts w:ascii="Tahoma" w:hAnsi="Tahoma" w:cs="Tahoma"/>
          <w:spacing w:val="-2"/>
          <w:sz w:val="18"/>
          <w:lang w:val="pt-BR"/>
        </w:rPr>
        <w:t xml:space="preserve">A exportação de determinados produtos da Microsoft para fora dos Estados Unidos é regulamentada pelos “Controles de EI” das Export Administration Regulations (Normas de Administração de Exportações) (EAR, 15 CFR 730-744) emitidas pelo BXA (Bureau de Administração de Exportações) do Departamento de Comércio dos EUA. Para obter mais informações, visite: </w:t>
      </w:r>
      <w:hyperlink r:id="rId22" w:history="1">
        <w:r w:rsidRPr="00EB4D74">
          <w:rPr>
            <w:rStyle w:val="Hyperlink"/>
            <w:rFonts w:ascii="Tahoma" w:hAnsi="Tahoma" w:cs="Tahoma"/>
            <w:spacing w:val="-2"/>
            <w:sz w:val="18"/>
          </w:rPr>
          <w:t>www.microsoft.com/products/exporting/basics.htm</w:t>
        </w:r>
      </w:hyperlink>
    </w:p>
    <w:p w:rsidR="008B1196" w:rsidRPr="00EB4D74" w:rsidRDefault="008B1196" w:rsidP="008B1196">
      <w:pPr>
        <w:pStyle w:val="AppendixBodyText"/>
        <w:ind w:right="720"/>
        <w:rPr>
          <w:rFonts w:ascii="Tahoma" w:hAnsi="Tahoma" w:cs="Tahoma"/>
          <w:spacing w:val="-2"/>
        </w:rPr>
      </w:pPr>
    </w:p>
    <w:p w:rsidR="008B1196" w:rsidRPr="00EB4D74" w:rsidRDefault="008B1196" w:rsidP="008B1196">
      <w:pPr>
        <w:pStyle w:val="Heading3"/>
        <w:ind w:right="720"/>
        <w:rPr>
          <w:rFonts w:ascii="Tahoma" w:hAnsi="Tahoma" w:cs="Tahoma"/>
        </w:rPr>
      </w:pPr>
      <w:bookmarkStart w:id="1036" w:name="_Toc323159783"/>
      <w:bookmarkStart w:id="1037" w:name="_Toc336338252"/>
      <w:bookmarkStart w:id="1038" w:name="_Toc342914889"/>
      <w:bookmarkEnd w:id="1036"/>
      <w:bookmarkEnd w:id="1037"/>
      <w:r w:rsidRPr="00EB4D74">
        <w:rPr>
          <w:rFonts w:ascii="Tahoma" w:hAnsi="Tahoma" w:cs="Tahoma"/>
          <w:lang w:val="pt-BR"/>
        </w:rPr>
        <w:lastRenderedPageBreak/>
        <w:t>Pacotes Multilíngues (MLPs), funcionalidade de MUIs (Multilanguage User Interface) e direitos a novos idiomas</w:t>
      </w:r>
      <w:bookmarkEnd w:id="1038"/>
    </w:p>
    <w:p w:rsidR="008B1196" w:rsidRPr="00EB4D74" w:rsidRDefault="008B1196" w:rsidP="008B1196">
      <w:pPr>
        <w:pStyle w:val="Heading3"/>
        <w:ind w:right="720"/>
        <w:rPr>
          <w:rFonts w:ascii="Tahoma" w:hAnsi="Tahoma" w:cs="Tahoma"/>
        </w:rPr>
      </w:pPr>
    </w:p>
    <w:p w:rsidR="008B1196" w:rsidRPr="00EB4D74" w:rsidRDefault="008B1196" w:rsidP="008B1196">
      <w:pPr>
        <w:rPr>
          <w:rFonts w:cs="Tahoma"/>
          <w:lang w:val="it-IT"/>
        </w:rPr>
      </w:pPr>
      <w:r w:rsidRPr="00EB4D74">
        <w:rPr>
          <w:rFonts w:cs="Tahoma"/>
          <w:lang w:val="pt-BR"/>
        </w:rPr>
        <w:t>Os MLPs e MUIs permitem que os clientes executem e alternem entre diferentes versões de idioma dos produtos licenciados. O direito de usar MLPs e MUIs varia de acordo com o produto, o programa e o tipo de licença.</w:t>
      </w:r>
    </w:p>
    <w:p w:rsidR="008B1196" w:rsidRPr="00EB4D74" w:rsidRDefault="008B1196" w:rsidP="008B1196">
      <w:pPr>
        <w:pStyle w:val="Heading3"/>
        <w:ind w:right="720"/>
        <w:rPr>
          <w:rFonts w:ascii="Tahoma" w:hAnsi="Tahoma" w:cs="Tahoma"/>
          <w:lang w:val="it-IT"/>
        </w:rPr>
      </w:pPr>
    </w:p>
    <w:p w:rsidR="008B1196" w:rsidRPr="00EB4D74" w:rsidRDefault="008B1196" w:rsidP="008B1196">
      <w:pPr>
        <w:numPr>
          <w:ilvl w:val="0"/>
          <w:numId w:val="20"/>
        </w:numPr>
        <w:tabs>
          <w:tab w:val="left" w:pos="1440"/>
        </w:tabs>
        <w:spacing w:after="60"/>
        <w:rPr>
          <w:rFonts w:cs="Tahoma"/>
          <w:lang w:val="it-IT"/>
        </w:rPr>
      </w:pPr>
      <w:r w:rsidRPr="00EB4D74">
        <w:rPr>
          <w:rFonts w:cs="Tahoma"/>
          <w:lang w:val="pt-BR"/>
        </w:rPr>
        <w:t>No caso da maioria dos produtos de servidor (por exemplo, Windows Server), o MUI está incluído no produto básico. O clientes que licenciarem esses produtos poderão usar o MUI sujeitos aos direitos de uso desses produtos.</w:t>
      </w:r>
    </w:p>
    <w:p w:rsidR="008B1196" w:rsidRPr="00EB4D74" w:rsidRDefault="008B1196" w:rsidP="008B1196">
      <w:pPr>
        <w:numPr>
          <w:ilvl w:val="0"/>
          <w:numId w:val="20"/>
        </w:numPr>
        <w:tabs>
          <w:tab w:val="left" w:pos="1440"/>
        </w:tabs>
        <w:spacing w:after="60"/>
        <w:rPr>
          <w:rFonts w:cs="Tahoma"/>
        </w:rPr>
      </w:pPr>
      <w:r w:rsidRPr="00EB4D74">
        <w:rPr>
          <w:rFonts w:cs="Tahoma"/>
          <w:lang w:val="pt-BR"/>
        </w:rPr>
        <w:t>No caso de produtos (exceto servidores) e pacotes do Office System, a partir de 1° de outubro de 2008, o direito de usar o MLP está disponível para os clientes com cobertura do Software Assurance ativa sobre licenças de qualificação (para obter detalhes, consulte a Seção 6). Em certos programas (por exemplo, Select), MLPs para produtos e pacotes do Office System continuam disponíveis separadamente fora do Software Assurance.</w:t>
      </w:r>
    </w:p>
    <w:p w:rsidR="008B1196" w:rsidRPr="00EB4D74" w:rsidRDefault="008B1196" w:rsidP="008B1196">
      <w:pPr>
        <w:numPr>
          <w:ilvl w:val="0"/>
          <w:numId w:val="20"/>
        </w:numPr>
        <w:spacing w:after="60"/>
        <w:rPr>
          <w:rFonts w:cs="Tahoma"/>
        </w:rPr>
      </w:pPr>
      <w:r w:rsidRPr="00EB4D74">
        <w:rPr>
          <w:rFonts w:cs="Tahoma"/>
          <w:lang w:val="pt-BR"/>
        </w:rPr>
        <w:t>No caso do Windows 8, o MUI está incluído no Windows 8 Pro.</w:t>
      </w:r>
    </w:p>
    <w:p w:rsidR="008B1196" w:rsidRPr="00EB4D74" w:rsidRDefault="008B1196" w:rsidP="008B1196">
      <w:pPr>
        <w:rPr>
          <w:rFonts w:cs="Tahoma"/>
        </w:rPr>
      </w:pPr>
    </w:p>
    <w:p w:rsidR="008B1196" w:rsidRPr="00EB4D74" w:rsidRDefault="008B1196" w:rsidP="008B1196">
      <w:pPr>
        <w:rPr>
          <w:rFonts w:cs="Tahoma"/>
        </w:rPr>
      </w:pPr>
      <w:r w:rsidRPr="00EB4D74">
        <w:rPr>
          <w:rFonts w:cs="Tahoma"/>
          <w:lang w:val="pt-BR"/>
        </w:rPr>
        <w:t>As versões de idioma com as quais os clientes têm permissão de usar MUIs and MLPs também variam por programa, produto e região.</w:t>
      </w:r>
    </w:p>
    <w:p w:rsidR="008B1196" w:rsidRPr="00EB4D74" w:rsidRDefault="008B1196" w:rsidP="008B1196">
      <w:pPr>
        <w:pStyle w:val="Heading3"/>
        <w:ind w:right="720"/>
        <w:rPr>
          <w:rFonts w:ascii="Tahoma" w:hAnsi="Tahoma" w:cs="Tahoma"/>
        </w:rPr>
      </w:pPr>
    </w:p>
    <w:p w:rsidR="008B1196" w:rsidRPr="00EB4D74" w:rsidRDefault="008B1196" w:rsidP="008B1196">
      <w:pPr>
        <w:numPr>
          <w:ilvl w:val="0"/>
          <w:numId w:val="21"/>
        </w:numPr>
        <w:tabs>
          <w:tab w:val="clear" w:pos="1080"/>
          <w:tab w:val="num" w:pos="1440"/>
        </w:tabs>
        <w:ind w:left="1440"/>
        <w:rPr>
          <w:rFonts w:cs="Tahoma"/>
        </w:rPr>
      </w:pPr>
      <w:r w:rsidRPr="00EB4D74">
        <w:rPr>
          <w:rFonts w:cs="Tahoma"/>
          <w:lang w:val="pt-BR"/>
        </w:rPr>
        <w:t xml:space="preserve">A partir de 1° de outubro de 2008, os clientes que adquirirem o direito de usar MUIs e MLPs de acordo com o Contrato Enterprise, Contrato Enterprise Subscription, Open Value (para toda a Organização/Empresa) ou Open Value Subscription poderão usar essa funcionalidade com produtos licenciados </w:t>
      </w:r>
      <w:r w:rsidRPr="00EB4D74">
        <w:rPr>
          <w:rFonts w:cs="Tahoma"/>
          <w:b/>
          <w:u w:val="single"/>
          <w:lang w:val="pt-BR"/>
        </w:rPr>
        <w:t>em todas as versões de idioma</w:t>
      </w:r>
      <w:r w:rsidRPr="00EB4D74">
        <w:rPr>
          <w:rFonts w:cs="Tahoma"/>
          <w:lang w:val="pt-BR"/>
        </w:rPr>
        <w:t xml:space="preserve"> não obstante quaisquer limitações nesses contratos quanto ao uso de determinados idiomas.</w:t>
      </w:r>
    </w:p>
    <w:p w:rsidR="008B1196" w:rsidRPr="00EB4D74" w:rsidRDefault="008B1196" w:rsidP="008B1196">
      <w:pPr>
        <w:pStyle w:val="Heading3"/>
        <w:ind w:right="720"/>
        <w:rPr>
          <w:rFonts w:ascii="Tahoma" w:hAnsi="Tahoma" w:cs="Tahoma"/>
        </w:rPr>
      </w:pPr>
    </w:p>
    <w:p w:rsidR="008B1196" w:rsidRPr="00EB4D74" w:rsidRDefault="008B1196" w:rsidP="008B1196">
      <w:pPr>
        <w:rPr>
          <w:rFonts w:cs="Tahoma"/>
          <w:lang w:val="pt-BR"/>
        </w:rPr>
      </w:pPr>
      <w:r w:rsidRPr="00EB4D74">
        <w:rPr>
          <w:rFonts w:cs="Tahoma"/>
          <w:lang w:val="pt-BR"/>
        </w:rPr>
        <w:t>Os clientes que adquirirem o direito de usar MUIs e MLPs de acordo com contratos que não sejam um Contrato Enterprise ou Open Value (para toda a Organização/Empresa) (seja com o produto básico ou por meio do Software Assurance) permanecerão sujeitos às limitações encontradas em seus contratos (se houver) quanto ao uso de determinados idiomas. Por exemplo, se uma versão de idioma local de um produto estiver licenciada a um preço diferente na lista de preços do cliente, o direito desse cliente de usar outras versões de idioma no lugar daquela versão (com ou sem a funcionalidade MUI ou MLP) poderá ser limitado. Os clientes devem examinar o Contrato de Licença ou consultar o Revendedor ou o Gerente de Conta Microsoft para obter mais informações sobre o direito de usar outros idiomas.</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2"/>
        <w:ind w:left="0"/>
        <w:rPr>
          <w:rFonts w:ascii="Tahoma" w:hAnsi="Tahoma" w:cs="Tahoma"/>
        </w:rPr>
      </w:pPr>
      <w:bookmarkStart w:id="1039" w:name="_Toc323159784"/>
      <w:bookmarkStart w:id="1040" w:name="_Toc336338253"/>
      <w:bookmarkStart w:id="1041" w:name="_Toc342914890"/>
      <w:bookmarkEnd w:id="1039"/>
      <w:bookmarkEnd w:id="1040"/>
      <w:r w:rsidRPr="00EB4D74">
        <w:rPr>
          <w:rFonts w:ascii="Tahoma" w:hAnsi="Tahoma" w:cs="Tahoma"/>
          <w:lang w:val="pt-BR"/>
        </w:rPr>
        <w:t>Licenças independentes da plataforma</w:t>
      </w:r>
      <w:bookmarkEnd w:id="1041"/>
    </w:p>
    <w:p w:rsidR="008B1196" w:rsidRPr="00EB4D74" w:rsidRDefault="008B1196" w:rsidP="008B1196">
      <w:pPr>
        <w:tabs>
          <w:tab w:val="num" w:pos="0"/>
        </w:tabs>
        <w:ind w:right="720"/>
        <w:rPr>
          <w:rFonts w:cs="Tahoma"/>
        </w:rPr>
      </w:pPr>
    </w:p>
    <w:p w:rsidR="008B1196" w:rsidRPr="00EB4D74" w:rsidRDefault="008B1196" w:rsidP="008B1196">
      <w:pPr>
        <w:pStyle w:val="AppendixBodyText"/>
        <w:spacing w:after="0"/>
        <w:ind w:right="720"/>
        <w:rPr>
          <w:rFonts w:ascii="Tahoma" w:hAnsi="Tahoma" w:cs="Tahoma"/>
          <w:lang w:val="pt-BR"/>
        </w:rPr>
      </w:pPr>
      <w:r w:rsidRPr="00EB4D74">
        <w:rPr>
          <w:rFonts w:ascii="Tahoma" w:hAnsi="Tahoma" w:cs="Tahoma"/>
          <w:color w:val="000000"/>
          <w:sz w:val="18"/>
          <w:lang w:val="pt-BR"/>
        </w:rPr>
        <w:t>Microsoft Office Standard, Office Professional Plus, Word, Excel, PowerPoint, Outlook, Lync, Office para Mac, Word para Mac, Excel para Mac, PowerPoint para Mac, Lync para Mac e Outlook para Mac são licenças “independentes da plataforma”. Uma licença independente da plataforma permite que um produto seja usado em qualquer plataforma de computador (por exemplo, PC, Macintosh) em que o software seja executado, desde que a versão usada seja igual ou anterior à versão original que foi licenciada. Por exemplo, um cliente licenciado para o Office para Mac Standard 2011 pode optar pelo uso dessa licença para executar o Office Standard 2010 para Windows.</w:t>
      </w:r>
    </w:p>
    <w:p w:rsidR="008B1196" w:rsidRPr="00EB4D74" w:rsidRDefault="008B1196" w:rsidP="008B1196">
      <w:pPr>
        <w:pStyle w:val="AppendixBodyText"/>
        <w:spacing w:after="0"/>
        <w:rPr>
          <w:rFonts w:ascii="Tahoma" w:hAnsi="Tahoma" w:cs="Tahoma"/>
          <w:lang w:val="pt-BR"/>
        </w:rPr>
      </w:pPr>
    </w:p>
    <w:p w:rsidR="008B1196" w:rsidRPr="00EB4D74" w:rsidRDefault="008B1196" w:rsidP="008B1196">
      <w:pPr>
        <w:pStyle w:val="AppendixBodyText"/>
        <w:spacing w:after="0"/>
        <w:ind w:right="720"/>
        <w:rPr>
          <w:rFonts w:ascii="Tahoma" w:hAnsi="Tahoma" w:cs="Tahoma"/>
          <w:lang w:val="pt-BR"/>
        </w:rPr>
      </w:pPr>
      <w:r w:rsidRPr="00EB4D74">
        <w:rPr>
          <w:rFonts w:ascii="Tahoma" w:hAnsi="Tahoma" w:cs="Tahoma"/>
          <w:color w:val="000000"/>
          <w:sz w:val="18"/>
          <w:szCs w:val="18"/>
          <w:lang w:val="pt-BR"/>
        </w:rPr>
        <w:t xml:space="preserve">Os componentes de um pacote de produtos poderão variar de acordo com a versão da plataforma. Você poderá usar os componentes do pacote escolhidos para implantação e somente esses componentes. </w:t>
      </w:r>
      <w:r w:rsidRPr="00EB4D74">
        <w:rPr>
          <w:rFonts w:ascii="Tahoma" w:hAnsi="Tahoma" w:cs="Tahoma"/>
          <w:color w:val="000000"/>
          <w:sz w:val="18"/>
          <w:lang w:val="pt-BR"/>
        </w:rPr>
        <w:t>Por exemplo, se um cliente licenciado para o Office para Mac Standard 2011 optar pela execução do Office Standard 2010, o cliente poderá executar somente os componentes incluídos no Office Standard 2010, e não terá o direito de executar o Lync, mas terá o direito de executar o OneNote.</w:t>
      </w:r>
    </w:p>
    <w:p w:rsidR="008B1196" w:rsidRPr="00EB4D74" w:rsidRDefault="008B1196" w:rsidP="008B1196">
      <w:pPr>
        <w:pStyle w:val="AppendixBodyText"/>
        <w:spacing w:after="0"/>
        <w:ind w:right="720"/>
        <w:rPr>
          <w:rFonts w:ascii="Tahoma" w:hAnsi="Tahoma" w:cs="Tahoma"/>
          <w:lang w:val="it-IT"/>
        </w:rPr>
      </w:pPr>
      <w:r w:rsidRPr="00EB4D74">
        <w:rPr>
          <w:rFonts w:ascii="Tahoma" w:hAnsi="Tahoma" w:cs="Tahoma"/>
          <w:color w:val="000000"/>
          <w:sz w:val="18"/>
          <w:lang w:val="pt-BR"/>
        </w:rPr>
        <w:t>Além disso, a cobertura do Software Assurance ativa para uma licença independente da plataforma permite que um cliente use, no lugar do produto licenciado, a versão mais atual de qualquer versão de plataforma do produto que seja disponibilizada durante o prazo da cobertura de Software Assurance (sujeito à limitação dos componentes abordada acima). Por exemplo, um cliente que disponha do Software Assurance ativo para uma licença do Office para Mac está qualificado para usar, no lugar do Office para Mac, a versão mais atual da edição correspondente do Office para Windows que for lançada durante o prazo da cobertura.</w:t>
      </w:r>
    </w:p>
    <w:p w:rsidR="008B1196" w:rsidRPr="00EB4D74" w:rsidRDefault="008B1196" w:rsidP="008B1196">
      <w:pPr>
        <w:tabs>
          <w:tab w:val="left" w:pos="360"/>
        </w:tabs>
        <w:ind w:right="720"/>
        <w:rPr>
          <w:rFonts w:cs="Tahoma"/>
          <w:lang w:val="it-IT"/>
        </w:rPr>
      </w:pPr>
    </w:p>
    <w:p w:rsidR="008B1196" w:rsidRPr="00EB4D74" w:rsidRDefault="008B1196" w:rsidP="008B1196">
      <w:pPr>
        <w:pStyle w:val="AppendixBodyText"/>
        <w:spacing w:after="0"/>
        <w:ind w:right="720"/>
        <w:rPr>
          <w:rFonts w:ascii="Tahoma" w:hAnsi="Tahoma" w:cs="Tahoma"/>
          <w:lang w:val="it-IT"/>
        </w:rPr>
      </w:pPr>
      <w:r w:rsidRPr="00EB4D74">
        <w:rPr>
          <w:rFonts w:ascii="Tahoma" w:hAnsi="Tahoma" w:cs="Tahoma"/>
          <w:sz w:val="18"/>
          <w:lang w:val="pt-BR"/>
        </w:rPr>
        <w:lastRenderedPageBreak/>
        <w:t>O Microsoft SQL Server é uma licença “independente da plataforma”. Uma licença independente da plataforma permite que um produto específico seja usado em qualquer plataforma de computador em que o software seja executado, desde que a versão seja igual ou anterior à versão original que foi licenciada.</w:t>
      </w:r>
    </w:p>
    <w:p w:rsidR="008B1196" w:rsidRPr="00EB4D74" w:rsidRDefault="008B1196" w:rsidP="008B1196">
      <w:pPr>
        <w:pStyle w:val="AppendixBodyText"/>
        <w:spacing w:after="0"/>
        <w:ind w:right="720"/>
        <w:rPr>
          <w:rFonts w:ascii="Tahoma" w:hAnsi="Tahoma" w:cs="Tahoma"/>
          <w:lang w:val="it-IT"/>
        </w:rPr>
      </w:pPr>
    </w:p>
    <w:p w:rsidR="008B1196" w:rsidRPr="00EB4D74" w:rsidRDefault="008B1196" w:rsidP="008B1196">
      <w:pPr>
        <w:pStyle w:val="AppendixBodyText"/>
        <w:spacing w:after="0"/>
        <w:ind w:right="720"/>
        <w:rPr>
          <w:rFonts w:ascii="Tahoma" w:hAnsi="Tahoma" w:cs="Tahoma"/>
          <w:lang w:val="it-IT"/>
        </w:rPr>
      </w:pPr>
      <w:r w:rsidRPr="00EB4D74">
        <w:rPr>
          <w:rFonts w:ascii="Tahoma" w:hAnsi="Tahoma" w:cs="Tahoma"/>
          <w:sz w:val="18"/>
          <w:lang w:val="pt-BR"/>
        </w:rPr>
        <w:t>Além disso, um cliente que registrar uma licença independente da plataforma no Software Assurance está qualificado para usar a versão mais atual desse produto particular que esteja disponível durante o prazo da cobertura de Software Assurance, seja qual for a plataforma (desde que somente uma versão seja instalada/usada de cada vez).</w:t>
      </w:r>
    </w:p>
    <w:p w:rsidR="008B1196" w:rsidRPr="00EB4D74" w:rsidRDefault="008B1196" w:rsidP="008B1196">
      <w:pPr>
        <w:rPr>
          <w:rFonts w:cs="Tahoma"/>
          <w:lang w:val="it-IT"/>
        </w:rPr>
      </w:pPr>
      <w:bookmarkStart w:id="1042" w:name="_Toc336338254"/>
    </w:p>
    <w:p w:rsidR="008B1196" w:rsidRPr="00EB4D74" w:rsidRDefault="008B1196" w:rsidP="008B1196">
      <w:pPr>
        <w:pStyle w:val="Heading2"/>
        <w:ind w:left="0"/>
        <w:rPr>
          <w:rFonts w:ascii="Tahoma" w:hAnsi="Tahoma" w:cs="Tahoma"/>
          <w:lang w:val="it-IT"/>
        </w:rPr>
      </w:pPr>
      <w:bookmarkStart w:id="1043" w:name="_Toc342914891"/>
      <w:bookmarkEnd w:id="1042"/>
      <w:r w:rsidRPr="00EB4D74">
        <w:rPr>
          <w:rFonts w:ascii="Tahoma" w:hAnsi="Tahoma" w:cs="Tahoma"/>
          <w:lang w:val="pt-BR"/>
        </w:rPr>
        <w:t>Chaves de Produto em Licenças por Volume</w:t>
      </w:r>
      <w:bookmarkEnd w:id="1043"/>
    </w:p>
    <w:p w:rsidR="008B1196" w:rsidRPr="00EB4D74" w:rsidRDefault="008B1196" w:rsidP="008B1196">
      <w:pPr>
        <w:spacing w:after="60"/>
        <w:ind w:right="720"/>
        <w:rPr>
          <w:rFonts w:cs="Tahoma"/>
          <w:lang w:val="it-IT"/>
        </w:rPr>
      </w:pPr>
    </w:p>
    <w:p w:rsidR="008B1196" w:rsidRPr="00EB4D74" w:rsidRDefault="008B1196" w:rsidP="008B1196">
      <w:pPr>
        <w:ind w:right="720"/>
        <w:rPr>
          <w:rFonts w:cs="Tahoma"/>
        </w:rPr>
      </w:pPr>
      <w:r w:rsidRPr="00EB4D74">
        <w:rPr>
          <w:rFonts w:cs="Tahoma"/>
          <w:color w:val="000000"/>
          <w:lang w:val="pt-BR"/>
        </w:rPr>
        <w:t xml:space="preserve">As chaves de produto (Product Keys) habilitam as organizações a utilizarem o software e os produtos que licenciaram. Todas as chaves de produto são emitidas para um cliente de acordo com um contrato de licença específico. Para obter as chaves de produto, visite os sites </w:t>
      </w:r>
      <w:hyperlink r:id="rId23" w:history="1">
        <w:r w:rsidRPr="00EB4D74">
          <w:rPr>
            <w:rStyle w:val="Hyperlink"/>
            <w:rFonts w:cs="Tahoma"/>
            <w:lang w:val="pt-BR"/>
          </w:rPr>
          <w:t>Microsoft Volume Licensing Service Center (VLSC)</w:t>
        </w:r>
      </w:hyperlink>
      <w:r w:rsidRPr="00EB4D74">
        <w:rPr>
          <w:rFonts w:cs="Tahoma"/>
          <w:color w:val="000000"/>
          <w:lang w:val="pt-BR"/>
        </w:rPr>
        <w:t xml:space="preserve">. Você também pode entrar em contato através das informações do site </w:t>
      </w:r>
      <w:hyperlink r:id="rId24" w:history="1">
        <w:r w:rsidRPr="00EB4D74">
          <w:rPr>
            <w:rStyle w:val="Hyperlink"/>
            <w:rFonts w:cs="Tahoma"/>
            <w:color w:val="0070C0"/>
            <w:lang w:val="pt-BR"/>
          </w:rPr>
          <w:t>Activation Call Center</w:t>
        </w:r>
      </w:hyperlink>
      <w:r w:rsidRPr="00EB4D74">
        <w:rPr>
          <w:rFonts w:cs="Tahoma"/>
          <w:color w:val="000000"/>
          <w:lang w:val="pt-BR"/>
        </w:rPr>
        <w:t>.</w:t>
      </w:r>
    </w:p>
    <w:p w:rsidR="008B1196" w:rsidRPr="00EB4D74" w:rsidRDefault="008B1196" w:rsidP="008B1196">
      <w:pPr>
        <w:ind w:right="720"/>
        <w:rPr>
          <w:rFonts w:cs="Tahoma"/>
        </w:rPr>
      </w:pPr>
    </w:p>
    <w:p w:rsidR="008B1196" w:rsidRPr="00EB4D74" w:rsidRDefault="008B1196" w:rsidP="008B1196">
      <w:pPr>
        <w:ind w:right="720"/>
        <w:rPr>
          <w:rFonts w:cs="Tahoma"/>
          <w:lang w:val="it-IT"/>
        </w:rPr>
      </w:pPr>
      <w:r w:rsidRPr="00EB4D74">
        <w:rPr>
          <w:rFonts w:cs="Tahoma"/>
          <w:color w:val="000000"/>
          <w:szCs w:val="18"/>
          <w:lang w:val="pt-BR"/>
        </w:rPr>
        <w:t xml:space="preserve">Para ver uma lista de produtos do Licenciamento por Volume que requerem chaves de produto e obter informações adicionais, consulte: </w:t>
      </w:r>
      <w:hyperlink r:id="rId25" w:history="1">
        <w:r w:rsidRPr="00EB4D74">
          <w:rPr>
            <w:rStyle w:val="Hyperlink"/>
            <w:rFonts w:cs="Tahoma"/>
            <w:lang w:val="pt-BR"/>
          </w:rPr>
          <w:t>http://www.microsoft.com/licensing/resources/vol/volumelicensekey/default.mspx</w:t>
        </w:r>
      </w:hyperlink>
      <w:r w:rsidRPr="00EB4D74">
        <w:rPr>
          <w:rFonts w:cs="Tahoma"/>
          <w:lang w:val="pt-BR"/>
        </w:rPr>
        <w:t>.</w:t>
      </w:r>
    </w:p>
    <w:p w:rsidR="008B1196" w:rsidRPr="00EB4D74" w:rsidRDefault="008B1196" w:rsidP="008B1196">
      <w:pPr>
        <w:ind w:right="720"/>
        <w:rPr>
          <w:rFonts w:cs="Tahoma"/>
          <w:lang w:val="it-IT"/>
        </w:rPr>
      </w:pPr>
      <w:r w:rsidRPr="00EB4D74">
        <w:rPr>
          <w:rFonts w:cs="Tahoma"/>
          <w:color w:val="1F497D"/>
          <w:szCs w:val="18"/>
          <w:lang w:val="it-IT"/>
        </w:rPr>
        <w:br/>
      </w:r>
      <w:r w:rsidRPr="00EB4D74">
        <w:rPr>
          <w:rFonts w:cs="Tahoma"/>
          <w:color w:val="000000"/>
          <w:lang w:val="pt-BR"/>
        </w:rPr>
        <w:t>Nem todos os produtos do Licenciamento por Volume requerem uma chave de produto. Se um produto não estiver listado, nenhuma chave será exigida.</w:t>
      </w:r>
    </w:p>
    <w:p w:rsidR="008B1196" w:rsidRPr="00EB4D74" w:rsidRDefault="008B1196" w:rsidP="008B1196">
      <w:pPr>
        <w:ind w:right="720"/>
        <w:rPr>
          <w:rFonts w:cs="Tahoma"/>
          <w:lang w:val="it-IT"/>
        </w:rPr>
      </w:pPr>
    </w:p>
    <w:p w:rsidR="008B1196" w:rsidRPr="00EB4D74" w:rsidRDefault="008B1196" w:rsidP="008B1196">
      <w:pPr>
        <w:ind w:right="720"/>
        <w:rPr>
          <w:rFonts w:cs="Tahoma"/>
        </w:rPr>
      </w:pPr>
      <w:r w:rsidRPr="00EB4D74">
        <w:rPr>
          <w:rFonts w:cs="Tahoma"/>
          <w:b/>
          <w:color w:val="000000"/>
          <w:lang w:val="pt-BR"/>
        </w:rPr>
        <w:t xml:space="preserve">Observação: </w:t>
      </w:r>
      <w:r w:rsidRPr="00EB4D74">
        <w:rPr>
          <w:rFonts w:cs="Tahoma"/>
          <w:color w:val="000000"/>
          <w:szCs w:val="18"/>
          <w:lang w:val="pt-BR"/>
        </w:rPr>
        <w:t xml:space="preserve">as chaves de produto são cedidas e destinadas para o uso exclusivo da sua organização. Você será responsabilizado por qualquer uso não autorizado das chaves de produto emitidas de acordo com o seu contrato. Tome providências para manter suas chaves em segurança. Não as divulgue para pessoas não autorizadas. </w:t>
      </w:r>
    </w:p>
    <w:p w:rsidR="008B1196" w:rsidRPr="00EB4D74" w:rsidRDefault="008B1196" w:rsidP="008B1196">
      <w:pPr>
        <w:pStyle w:val="Heading1"/>
        <w:spacing w:after="120"/>
        <w:rPr>
          <w:rFonts w:cs="Tahoma"/>
        </w:rPr>
      </w:pPr>
      <w:r w:rsidRPr="00EB4D74">
        <w:rPr>
          <w:rFonts w:cs="Tahoma"/>
        </w:rPr>
        <w:br w:type="page"/>
      </w:r>
      <w:bookmarkStart w:id="1044" w:name="_Toc336338255"/>
      <w:bookmarkStart w:id="1045" w:name="_Toc342914892"/>
      <w:bookmarkEnd w:id="1044"/>
      <w:r w:rsidRPr="00EB4D74">
        <w:rPr>
          <w:rFonts w:cs="Tahoma"/>
        </w:rPr>
        <w:lastRenderedPageBreak/>
        <w:t>NoTAS do Produto</w:t>
      </w:r>
      <w:bookmarkEnd w:id="1045"/>
    </w:p>
    <w:p w:rsidR="008B1196" w:rsidRPr="00EB4D74" w:rsidRDefault="008B1196" w:rsidP="008B1196">
      <w:pPr>
        <w:pStyle w:val="Heading2"/>
        <w:ind w:hanging="540"/>
        <w:rPr>
          <w:rFonts w:ascii="Tahoma" w:hAnsi="Tahoma" w:cs="Tahoma"/>
        </w:rPr>
      </w:pPr>
    </w:p>
    <w:p w:rsidR="008B1196" w:rsidRPr="00EB4D74" w:rsidRDefault="008B1196" w:rsidP="008B1196">
      <w:pPr>
        <w:pStyle w:val="Heading2"/>
        <w:ind w:left="0"/>
        <w:rPr>
          <w:rFonts w:ascii="Tahoma" w:hAnsi="Tahoma" w:cs="Tahoma"/>
        </w:rPr>
      </w:pPr>
      <w:bookmarkStart w:id="1046" w:name="_Toc336338256"/>
      <w:bookmarkStart w:id="1047" w:name="_Toc342914893"/>
      <w:bookmarkEnd w:id="1046"/>
      <w:r w:rsidRPr="00EB4D74">
        <w:rPr>
          <w:rFonts w:ascii="Tahoma" w:hAnsi="Tahoma" w:cs="Tahoma"/>
          <w:sz w:val="28"/>
          <w:lang w:val="pt-BR"/>
        </w:rPr>
        <w:t>Pool de Aplicativos</w:t>
      </w:r>
      <w:bookmarkEnd w:id="1047"/>
    </w:p>
    <w:p w:rsidR="008B1196" w:rsidRPr="00EB4D74" w:rsidRDefault="008B1196" w:rsidP="008B1196">
      <w:pPr>
        <w:rPr>
          <w:rFonts w:cs="Tahoma"/>
        </w:rPr>
      </w:pPr>
      <w:bookmarkStart w:id="1048" w:name="_1_Data_Analyzer"/>
      <w:bookmarkStart w:id="1049" w:name="Aps_1BingMapsDesktopandContentPack"/>
      <w:bookmarkEnd w:id="1048"/>
    </w:p>
    <w:p w:rsidR="008B1196" w:rsidRPr="00EB4D74" w:rsidRDefault="008B1196" w:rsidP="008B1196">
      <w:pPr>
        <w:pStyle w:val="Heading3"/>
        <w:rPr>
          <w:rFonts w:ascii="Tahoma" w:hAnsi="Tahoma" w:cs="Tahoma"/>
        </w:rPr>
      </w:pPr>
      <w:bookmarkStart w:id="1050" w:name="_Toc336338257"/>
      <w:bookmarkStart w:id="1051" w:name="_1_Bing_Maps"/>
      <w:bookmarkStart w:id="1052" w:name="_Toc342914894"/>
      <w:bookmarkEnd w:id="1050"/>
      <w:bookmarkEnd w:id="1051"/>
      <w:r w:rsidRPr="00EB4D74">
        <w:rPr>
          <w:rFonts w:ascii="Tahoma" w:hAnsi="Tahoma" w:cs="Tahoma"/>
          <w:caps/>
          <w:color w:val="F66400"/>
          <w:sz w:val="22"/>
          <w:szCs w:val="22"/>
          <w:vertAlign w:val="superscript"/>
          <w:lang w:val="pt-BR"/>
        </w:rPr>
        <w:t xml:space="preserve">1 </w:t>
      </w:r>
      <w:r w:rsidRPr="00EB4D74">
        <w:rPr>
          <w:rFonts w:ascii="Tahoma" w:hAnsi="Tahoma" w:cs="Tahoma"/>
          <w:color w:val="F66400"/>
          <w:sz w:val="22"/>
          <w:lang w:val="pt-BR"/>
        </w:rPr>
        <w:t>Bing Maps Desktop Com Pacote De Conteúdo Aprimorado</w:t>
      </w:r>
      <w:bookmarkEnd w:id="1052"/>
    </w:p>
    <w:bookmarkEnd w:id="1049"/>
    <w:p w:rsidR="008B1196" w:rsidRPr="00EB4D74" w:rsidRDefault="008B1196" w:rsidP="008B1196">
      <w:pPr>
        <w:rPr>
          <w:rFonts w:cs="Tahoma"/>
        </w:rPr>
      </w:pPr>
    </w:p>
    <w:p w:rsidR="008B1196" w:rsidRPr="00EB4D74" w:rsidRDefault="008B1196" w:rsidP="008B1196">
      <w:pPr>
        <w:spacing w:after="60"/>
        <w:ind w:left="720"/>
        <w:rPr>
          <w:rFonts w:cs="Tahoma"/>
        </w:rPr>
      </w:pPr>
      <w:bookmarkStart w:id="1053" w:name="Aps_ExpStudioproducts"/>
      <w:bookmarkStart w:id="1054" w:name="Aps_ExpStudio2"/>
      <w:bookmarkStart w:id="1055" w:name="Aps_1ExpStudio3"/>
      <w:bookmarkEnd w:id="1053"/>
      <w:bookmarkEnd w:id="1054"/>
      <w:bookmarkEnd w:id="1055"/>
      <w:r w:rsidRPr="00EB4D74">
        <w:rPr>
          <w:rFonts w:cs="Tahoma"/>
          <w:b/>
          <w:lang w:val="pt-BR"/>
        </w:rPr>
        <w:t>Serviços de Criação Requeridos</w:t>
      </w:r>
    </w:p>
    <w:p w:rsidR="008B1196" w:rsidRPr="00EB4D74" w:rsidRDefault="008B1196" w:rsidP="008B1196">
      <w:pPr>
        <w:ind w:left="720"/>
        <w:rPr>
          <w:rFonts w:cs="Tahoma"/>
          <w:lang w:val="pt-BR"/>
        </w:rPr>
      </w:pPr>
      <w:r w:rsidRPr="00EB4D74">
        <w:rPr>
          <w:rFonts w:cs="Tahoma"/>
          <w:lang w:val="pt-BR"/>
        </w:rPr>
        <w:t xml:space="preserve">O Bing Maps Desktop com Pacote de Conteúdo Aprimorado requer os serviços de criação de sistemas da Vexcel, subsidiária geoespacial da Microsoft. Também estão disponíveis treinamento, suporte e serviços de manutenção adicionais, mas não são necessários. Para obter mais informações, visite o site </w:t>
      </w:r>
      <w:hyperlink r:id="rId26" w:history="1">
        <w:r w:rsidRPr="00EB4D74">
          <w:rPr>
            <w:rStyle w:val="Hyperlink"/>
            <w:rFonts w:cs="Tahoma"/>
            <w:lang w:val="pt-BR"/>
          </w:rPr>
          <w:t>http://www.vexcel.com/geospatial/bingmapsserver/index.asp</w:t>
        </w:r>
      </w:hyperlink>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3"/>
        <w:ind w:left="180" w:hanging="180"/>
        <w:rPr>
          <w:rFonts w:ascii="Tahoma" w:hAnsi="Tahoma" w:cs="Tahoma"/>
          <w:lang w:val="pt-BR"/>
        </w:rPr>
      </w:pPr>
      <w:bookmarkStart w:id="1056" w:name="_Toc336338258"/>
      <w:bookmarkStart w:id="1057" w:name="_2_Expression_Studio"/>
      <w:bookmarkStart w:id="1058" w:name="_Toc342914895"/>
      <w:bookmarkEnd w:id="1056"/>
      <w:bookmarkEnd w:id="1057"/>
      <w:r w:rsidRPr="00EB4D74">
        <w:rPr>
          <w:rFonts w:ascii="Tahoma" w:hAnsi="Tahoma" w:cs="Tahoma"/>
          <w:caps/>
          <w:color w:val="F66400"/>
          <w:sz w:val="22"/>
          <w:vertAlign w:val="superscript"/>
          <w:lang w:val="pt-BR"/>
        </w:rPr>
        <w:t>2</w:t>
      </w:r>
      <w:r w:rsidRPr="00EB4D74">
        <w:rPr>
          <w:rFonts w:ascii="Tahoma" w:hAnsi="Tahoma" w:cs="Tahoma"/>
          <w:color w:val="F66400"/>
          <w:sz w:val="22"/>
          <w:lang w:val="pt-BR"/>
        </w:rPr>
        <w:t xml:space="preserve"> Expression Studio Web Professional 4, Expression Studio Ultimate 4, Expression Encoder Pro 4</w:t>
      </w:r>
      <w:bookmarkEnd w:id="1058"/>
    </w:p>
    <w:p w:rsidR="008B1196" w:rsidRPr="00EB4D74" w:rsidRDefault="008B1196" w:rsidP="008B1196">
      <w:pPr>
        <w:rPr>
          <w:rFonts w:cs="Tahoma"/>
          <w:lang w:val="pt-BR"/>
        </w:rPr>
      </w:pPr>
    </w:p>
    <w:p w:rsidR="008B1196" w:rsidRPr="00EB4D74" w:rsidRDefault="008B1196" w:rsidP="008B1196">
      <w:pPr>
        <w:spacing w:after="60"/>
        <w:ind w:left="720"/>
        <w:rPr>
          <w:rFonts w:cs="Tahoma"/>
          <w:lang w:val="it-IT"/>
        </w:rPr>
      </w:pPr>
      <w:r w:rsidRPr="00EB4D74">
        <w:rPr>
          <w:rFonts w:cs="Tahoma"/>
          <w:b/>
          <w:lang w:val="pt-BR"/>
        </w:rPr>
        <w:t>Expression Studio Web Professional 4</w:t>
      </w:r>
    </w:p>
    <w:p w:rsidR="008B1196" w:rsidRPr="00EB4D74" w:rsidRDefault="008B1196" w:rsidP="008B1196">
      <w:pPr>
        <w:ind w:left="720"/>
        <w:rPr>
          <w:rFonts w:cs="Tahoma"/>
          <w:lang w:val="it-IT"/>
        </w:rPr>
      </w:pPr>
      <w:r w:rsidRPr="00EB4D74">
        <w:rPr>
          <w:rFonts w:cs="Tahoma"/>
          <w:color w:val="000000"/>
          <w:szCs w:val="18"/>
          <w:lang w:val="pt-BR"/>
        </w:rPr>
        <w:t xml:space="preserve">A linha de produtos Expression foi atualizada. Somente a marca do produto foi alterada; o software da versão 3 e o software da versão 4 são os mesmos. 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 </w:t>
      </w:r>
      <w:r w:rsidRPr="00EB4D74">
        <w:rPr>
          <w:rFonts w:cs="Tahoma"/>
          <w:color w:val="000000"/>
          <w:lang w:val="pt-BR"/>
        </w:rPr>
        <w:t>A atualização não abrange a garantia nem qualquer obrigação de suporte da Microsoft relacionada à cobertura de Software Assurance dos produtos.</w:t>
      </w:r>
    </w:p>
    <w:p w:rsidR="008B1196" w:rsidRPr="00EB4D74" w:rsidRDefault="008B1196" w:rsidP="008B1196">
      <w:pPr>
        <w:ind w:left="720"/>
        <w:rPr>
          <w:rFonts w:cs="Tahoma"/>
          <w:lang w:val="it-IT"/>
        </w:rPr>
      </w:pPr>
    </w:p>
    <w:tbl>
      <w:tblPr>
        <w:tblW w:w="0" w:type="auto"/>
        <w:tblInd w:w="10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8B1196" w:rsidRPr="00EB4D74" w:rsidTr="00EA30FC">
        <w:tc>
          <w:tcPr>
            <w:tcW w:w="3690" w:type="dxa"/>
            <w:shd w:val="clear" w:color="auto" w:fill="FABF8F"/>
          </w:tcPr>
          <w:p w:rsidR="008B1196" w:rsidRPr="00EB4D74" w:rsidRDefault="008B1196" w:rsidP="00EA30FC">
            <w:pPr>
              <w:ind w:left="342"/>
              <w:rPr>
                <w:rFonts w:cs="Tahoma"/>
                <w:b/>
                <w:color w:val="000000"/>
                <w:szCs w:val="18"/>
              </w:rPr>
            </w:pPr>
            <w:r w:rsidRPr="00EB4D74">
              <w:rPr>
                <w:rFonts w:cs="Tahoma"/>
                <w:b/>
                <w:color w:val="000000"/>
                <w:szCs w:val="18"/>
                <w:lang w:val="pt-BR"/>
              </w:rPr>
              <w:t>Nome Anterior do Produto</w:t>
            </w:r>
          </w:p>
        </w:tc>
        <w:tc>
          <w:tcPr>
            <w:tcW w:w="3690" w:type="dxa"/>
            <w:shd w:val="clear" w:color="auto" w:fill="FABF8F"/>
          </w:tcPr>
          <w:p w:rsidR="008B1196" w:rsidRPr="00EB4D74" w:rsidRDefault="008B1196" w:rsidP="00EA30FC">
            <w:pPr>
              <w:ind w:left="162"/>
              <w:rPr>
                <w:rFonts w:cs="Tahoma"/>
                <w:b/>
                <w:color w:val="000000"/>
                <w:szCs w:val="18"/>
              </w:rPr>
            </w:pPr>
            <w:r w:rsidRPr="00EB4D74">
              <w:rPr>
                <w:rFonts w:cs="Tahoma"/>
                <w:b/>
                <w:color w:val="000000"/>
                <w:szCs w:val="18"/>
                <w:lang w:val="pt-BR"/>
              </w:rPr>
              <w:t>Novo Nome do Produto</w:t>
            </w:r>
          </w:p>
        </w:tc>
      </w:tr>
      <w:tr w:rsidR="008B1196" w:rsidRPr="00EB4D74" w:rsidTr="00EA30FC">
        <w:tc>
          <w:tcPr>
            <w:tcW w:w="3690" w:type="dxa"/>
          </w:tcPr>
          <w:p w:rsidR="008B1196" w:rsidRPr="00EB4D74" w:rsidRDefault="008B1196" w:rsidP="00EA30FC">
            <w:pPr>
              <w:numPr>
                <w:ilvl w:val="0"/>
                <w:numId w:val="28"/>
              </w:numPr>
              <w:ind w:left="522"/>
              <w:rPr>
                <w:rFonts w:cs="Tahoma"/>
                <w:color w:val="000000"/>
                <w:szCs w:val="18"/>
              </w:rPr>
            </w:pPr>
            <w:r w:rsidRPr="00EB4D74">
              <w:rPr>
                <w:rFonts w:cs="Tahoma"/>
                <w:color w:val="000000"/>
                <w:szCs w:val="18"/>
                <w:lang w:val="pt-BR"/>
              </w:rPr>
              <w:t>Assinatura do Expression Professional</w:t>
            </w:r>
          </w:p>
        </w:tc>
        <w:tc>
          <w:tcPr>
            <w:tcW w:w="3690" w:type="dxa"/>
          </w:tcPr>
          <w:p w:rsidR="008B1196" w:rsidRPr="00EB4D74" w:rsidRDefault="008B1196" w:rsidP="00EA30FC">
            <w:pPr>
              <w:numPr>
                <w:ilvl w:val="0"/>
                <w:numId w:val="29"/>
              </w:numPr>
              <w:ind w:left="342" w:hanging="270"/>
              <w:rPr>
                <w:rFonts w:cs="Tahoma"/>
                <w:color w:val="000000"/>
                <w:szCs w:val="18"/>
              </w:rPr>
            </w:pPr>
            <w:r w:rsidRPr="00EB4D74">
              <w:rPr>
                <w:rFonts w:cs="Tahoma"/>
                <w:color w:val="000000"/>
                <w:szCs w:val="18"/>
                <w:lang w:val="pt-BR"/>
              </w:rPr>
              <w:t>Expression Studio Ultimate 4 + Expression Encoder Pro 4</w:t>
            </w:r>
          </w:p>
        </w:tc>
      </w:tr>
      <w:tr w:rsidR="008B1196" w:rsidRPr="00EB4D74" w:rsidTr="00EA30FC">
        <w:tc>
          <w:tcPr>
            <w:tcW w:w="3690" w:type="dxa"/>
          </w:tcPr>
          <w:p w:rsidR="008B1196" w:rsidRPr="00EB4D74" w:rsidRDefault="008B1196" w:rsidP="00EA30FC">
            <w:pPr>
              <w:numPr>
                <w:ilvl w:val="0"/>
                <w:numId w:val="28"/>
              </w:numPr>
              <w:ind w:left="522"/>
              <w:rPr>
                <w:rFonts w:cs="Tahoma"/>
                <w:color w:val="000000"/>
                <w:szCs w:val="18"/>
              </w:rPr>
            </w:pPr>
            <w:r w:rsidRPr="00EB4D74">
              <w:rPr>
                <w:rFonts w:cs="Tahoma"/>
                <w:color w:val="000000"/>
                <w:szCs w:val="18"/>
                <w:lang w:val="pt-BR"/>
              </w:rPr>
              <w:t>Expression Studio 3</w:t>
            </w:r>
          </w:p>
        </w:tc>
        <w:tc>
          <w:tcPr>
            <w:tcW w:w="3690" w:type="dxa"/>
          </w:tcPr>
          <w:p w:rsidR="008B1196" w:rsidRPr="00EB4D74" w:rsidRDefault="008B1196" w:rsidP="00EA30FC">
            <w:pPr>
              <w:numPr>
                <w:ilvl w:val="0"/>
                <w:numId w:val="29"/>
              </w:numPr>
              <w:ind w:left="342" w:hanging="270"/>
              <w:rPr>
                <w:rFonts w:cs="Tahoma"/>
                <w:color w:val="000000"/>
                <w:szCs w:val="18"/>
              </w:rPr>
            </w:pPr>
            <w:r w:rsidRPr="00EB4D74">
              <w:rPr>
                <w:rFonts w:cs="Tahoma"/>
                <w:color w:val="000000"/>
                <w:szCs w:val="18"/>
                <w:lang w:val="pt-BR"/>
              </w:rPr>
              <w:t>Expression Studio Ultimate 4 + Expression Encoder Pro 4</w:t>
            </w:r>
          </w:p>
        </w:tc>
      </w:tr>
      <w:tr w:rsidR="008B1196" w:rsidRPr="00EB4D74" w:rsidTr="00EA30FC">
        <w:tc>
          <w:tcPr>
            <w:tcW w:w="3690" w:type="dxa"/>
          </w:tcPr>
          <w:p w:rsidR="008B1196" w:rsidRPr="00EB4D74" w:rsidRDefault="008B1196" w:rsidP="00EA30FC">
            <w:pPr>
              <w:numPr>
                <w:ilvl w:val="0"/>
                <w:numId w:val="28"/>
              </w:numPr>
              <w:ind w:left="522"/>
              <w:rPr>
                <w:rFonts w:cs="Tahoma"/>
                <w:color w:val="000000"/>
                <w:szCs w:val="18"/>
              </w:rPr>
            </w:pPr>
            <w:r w:rsidRPr="00EB4D74">
              <w:rPr>
                <w:rFonts w:cs="Tahoma"/>
                <w:color w:val="000000"/>
                <w:szCs w:val="18"/>
                <w:lang w:val="pt-BR"/>
              </w:rPr>
              <w:t>Expression Web 3</w:t>
            </w:r>
          </w:p>
        </w:tc>
        <w:tc>
          <w:tcPr>
            <w:tcW w:w="3690" w:type="dxa"/>
          </w:tcPr>
          <w:p w:rsidR="008B1196" w:rsidRPr="00EB4D74" w:rsidRDefault="008B1196" w:rsidP="00EA30FC">
            <w:pPr>
              <w:numPr>
                <w:ilvl w:val="0"/>
                <w:numId w:val="29"/>
              </w:numPr>
              <w:ind w:left="342" w:hanging="270"/>
              <w:jc w:val="both"/>
              <w:rPr>
                <w:rFonts w:cs="Tahoma"/>
                <w:color w:val="000000"/>
                <w:szCs w:val="18"/>
              </w:rPr>
            </w:pPr>
            <w:r w:rsidRPr="00EB4D74">
              <w:rPr>
                <w:rFonts w:cs="Tahoma"/>
                <w:color w:val="000000"/>
                <w:szCs w:val="18"/>
                <w:lang w:val="pt-BR"/>
              </w:rPr>
              <w:t>Expression Studio Web Professional 4</w:t>
            </w:r>
          </w:p>
        </w:tc>
      </w:tr>
      <w:tr w:rsidR="008B1196" w:rsidRPr="00EB4D74" w:rsidTr="00EA30FC">
        <w:tc>
          <w:tcPr>
            <w:tcW w:w="3690" w:type="dxa"/>
          </w:tcPr>
          <w:p w:rsidR="008B1196" w:rsidRPr="00EB4D74" w:rsidRDefault="008B1196" w:rsidP="00EA30FC">
            <w:pPr>
              <w:numPr>
                <w:ilvl w:val="0"/>
                <w:numId w:val="28"/>
              </w:numPr>
              <w:ind w:left="522"/>
              <w:rPr>
                <w:rFonts w:cs="Tahoma"/>
                <w:color w:val="000000"/>
                <w:szCs w:val="18"/>
              </w:rPr>
            </w:pPr>
            <w:r w:rsidRPr="00EB4D74">
              <w:rPr>
                <w:rFonts w:cs="Tahoma"/>
                <w:color w:val="000000"/>
                <w:szCs w:val="18"/>
                <w:lang w:val="pt-BR"/>
              </w:rPr>
              <w:t>Expression Encoder 3</w:t>
            </w:r>
          </w:p>
        </w:tc>
        <w:tc>
          <w:tcPr>
            <w:tcW w:w="3690" w:type="dxa"/>
          </w:tcPr>
          <w:p w:rsidR="008B1196" w:rsidRPr="00EB4D74" w:rsidRDefault="008B1196" w:rsidP="00EA30FC">
            <w:pPr>
              <w:numPr>
                <w:ilvl w:val="0"/>
                <w:numId w:val="29"/>
              </w:numPr>
              <w:ind w:left="342" w:hanging="270"/>
              <w:rPr>
                <w:rFonts w:cs="Tahoma"/>
                <w:color w:val="000000"/>
                <w:szCs w:val="18"/>
              </w:rPr>
            </w:pPr>
            <w:r w:rsidRPr="00EB4D74">
              <w:rPr>
                <w:rFonts w:cs="Tahoma"/>
                <w:color w:val="000000"/>
                <w:szCs w:val="18"/>
                <w:lang w:val="pt-BR"/>
              </w:rPr>
              <w:t>Expression Encoder Pro 4</w:t>
            </w:r>
          </w:p>
        </w:tc>
      </w:tr>
    </w:tbl>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lang w:val="pt-BR"/>
        </w:rPr>
        <w:t>Expression Studio Ultimate 4</w:t>
      </w:r>
    </w:p>
    <w:p w:rsidR="008B1196" w:rsidRPr="00EB4D74" w:rsidRDefault="008B1196" w:rsidP="008B1196">
      <w:pPr>
        <w:ind w:left="720"/>
        <w:rPr>
          <w:rFonts w:cs="Tahoma"/>
          <w:lang w:val="it-IT"/>
        </w:rPr>
      </w:pPr>
      <w:r w:rsidRPr="00EB4D74">
        <w:rPr>
          <w:rFonts w:cs="Tahoma"/>
          <w:color w:val="000000"/>
          <w:szCs w:val="18"/>
          <w:lang w:val="pt-BR"/>
        </w:rPr>
        <w:t xml:space="preserve">A linha de produtos Expression foi atualizada. Somente a marca do produto foi alterada; o software da versão 3 e o software da versão 4 são os mesmos. 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 </w:t>
      </w:r>
      <w:r w:rsidRPr="00EB4D74">
        <w:rPr>
          <w:rFonts w:cs="Tahoma"/>
          <w:color w:val="000000"/>
          <w:lang w:val="pt-BR"/>
        </w:rPr>
        <w:t>A atualização não abrange a garantia nem qualquer obrigação de suporte da Microsoft relacionada à cobertura de Software Assurance dos produtos.</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Expression Encoder Pro 4</w:t>
      </w:r>
    </w:p>
    <w:p w:rsidR="008B1196" w:rsidRPr="00EB4D74" w:rsidRDefault="008B1196" w:rsidP="008B1196">
      <w:pPr>
        <w:ind w:left="720"/>
        <w:rPr>
          <w:rFonts w:cs="Tahoma"/>
          <w:lang w:val="it-IT"/>
        </w:rPr>
      </w:pPr>
      <w:r w:rsidRPr="00EB4D74">
        <w:rPr>
          <w:rFonts w:cs="Tahoma"/>
          <w:color w:val="000000"/>
          <w:szCs w:val="18"/>
          <w:lang w:val="pt-BR"/>
        </w:rPr>
        <w:t xml:space="preserve">A linha de produtos Expression foi atualizada. Somente a marca do produto foi alterada; o software da versão 3 e o software da versão 4 são os mesmos. Dessa forma, os clientes licenciados para os produtos da versão 3 serão considerados licenciados para os produtos correspondentes da versão 4 (conforme apresentado abaixo) e poderão usar o software marcado como versão 4 em vez do software marcado como versão 3. O direito de usar o software continua a ser regido pelos termos e pelas condições do Contrato de Licenciamento por Volume do Cliente e pelos direitos de uso de produto do software conforme suplementado por esta nota de condição de produto. </w:t>
      </w:r>
      <w:r w:rsidRPr="00EB4D74">
        <w:rPr>
          <w:rFonts w:cs="Tahoma"/>
          <w:color w:val="000000"/>
          <w:lang w:val="pt-BR"/>
        </w:rPr>
        <w:t>A atualização não abrange a garantia nem qualquer obrigação de suporte da Microsoft relacionada à cobertura de Software Assurance dos produtos.</w:t>
      </w:r>
    </w:p>
    <w:p w:rsidR="008B1196" w:rsidRPr="00EB4D74" w:rsidRDefault="008B1196" w:rsidP="008B1196">
      <w:pPr>
        <w:rPr>
          <w:rFonts w:cs="Tahoma"/>
          <w:lang w:val="it-IT"/>
        </w:rPr>
      </w:pPr>
    </w:p>
    <w:p w:rsidR="008B1196" w:rsidRPr="00EB4D74" w:rsidRDefault="008B1196" w:rsidP="008B1196">
      <w:pPr>
        <w:spacing w:after="60"/>
        <w:ind w:left="720"/>
        <w:rPr>
          <w:rFonts w:cs="Tahoma"/>
        </w:rPr>
      </w:pPr>
      <w:r w:rsidRPr="00EB4D74">
        <w:rPr>
          <w:rFonts w:cs="Tahoma"/>
          <w:b/>
          <w:lang w:val="pt-BR"/>
        </w:rPr>
        <w:lastRenderedPageBreak/>
        <w:t>Direito de Migração do Expression Blend 3</w:t>
      </w:r>
    </w:p>
    <w:p w:rsidR="008B1196" w:rsidRPr="00EB4D74" w:rsidRDefault="008B1196" w:rsidP="008B1196">
      <w:pPr>
        <w:ind w:left="720"/>
        <w:rPr>
          <w:rFonts w:cs="Tahoma"/>
          <w:lang w:val="it-IT"/>
        </w:rPr>
      </w:pPr>
      <w:r w:rsidRPr="00EB4D74">
        <w:rPr>
          <w:rFonts w:cs="Tahoma"/>
          <w:color w:val="000000"/>
          <w:szCs w:val="18"/>
          <w:lang w:val="pt-BR"/>
        </w:rPr>
        <w:t xml:space="preserve">Adicionalmente, estamos descontinuando o Expression Blend 3. Os Clientes do Licenciamento por Volume com cobertura de Software Assurance ativa para o Expression Blend 3 estarão qualificados para usar o software Expression Studio Ultimate 4 (e qualquer versão posterior do software Expression Ultimate disponibilizada durante o prazo dessa cobertura) em vez de cópias licenciadas do Expression Blend 3. O direito de usar o software Expression Ultimate sob esta oferta terminará quando o direito de usar o Expression Blend 3 terminar. Os termos e as condições do Contrato de Licenciamento por Volume do cliente e esta nota de condição do produto bem como os direitos de uso de produto do Expression Ultimate regem o uso do software. </w:t>
      </w:r>
      <w:bookmarkStart w:id="1059" w:name="_Toc254806117"/>
      <w:r w:rsidRPr="00EB4D74">
        <w:rPr>
          <w:rFonts w:cs="Tahoma"/>
          <w:color w:val="000000"/>
          <w:lang w:val="pt-BR"/>
        </w:rPr>
        <w:t>Esse direito é comprovado por esta nota de condição do produto, pela evidência das licenças do Expression Blend 3 e pelos contratos dos clientes.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060" w:name="_Toc336338259"/>
      <w:bookmarkStart w:id="1061" w:name="Aps_4LyncforMac2011"/>
      <w:bookmarkStart w:id="1062" w:name="_Toc342914896"/>
      <w:bookmarkStart w:id="1063" w:name="Aps_3Lync2010"/>
      <w:bookmarkEnd w:id="1060"/>
      <w:bookmarkEnd w:id="1061"/>
      <w:r w:rsidRPr="00EB4D74">
        <w:rPr>
          <w:rFonts w:ascii="Tahoma" w:hAnsi="Tahoma" w:cs="Tahoma"/>
          <w:caps/>
          <w:color w:val="F66400"/>
          <w:sz w:val="22"/>
          <w:vertAlign w:val="superscript"/>
          <w:lang w:val="pt-BR"/>
        </w:rPr>
        <w:t>3</w:t>
      </w:r>
      <w:r w:rsidRPr="00EB4D74">
        <w:rPr>
          <w:rFonts w:ascii="Tahoma" w:hAnsi="Tahoma" w:cs="Tahoma"/>
          <w:color w:val="F66400"/>
          <w:sz w:val="22"/>
          <w:lang w:val="pt-BR"/>
        </w:rPr>
        <w:t xml:space="preserve"> Lync para Mac 2011</w:t>
      </w:r>
      <w:bookmarkEnd w:id="1062"/>
    </w:p>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bookmarkStart w:id="1064" w:name="Aps_MSDNOPSystems"/>
      <w:bookmarkStart w:id="1065" w:name="Aps_3MSDNOPSystems"/>
      <w:bookmarkStart w:id="1066" w:name="Aps_5OffCommunicator07"/>
      <w:bookmarkEnd w:id="1063"/>
      <w:bookmarkEnd w:id="1064"/>
      <w:bookmarkEnd w:id="1065"/>
      <w:bookmarkEnd w:id="1066"/>
      <w:r w:rsidRPr="00EB4D74">
        <w:rPr>
          <w:rFonts w:cs="Tahoma"/>
          <w:b/>
          <w:lang w:val="pt-BR"/>
        </w:rPr>
        <w:t>Caminho de Migração do Software Assurance para o Communicator para Mac 2011</w:t>
      </w:r>
    </w:p>
    <w:p w:rsidR="008B1196" w:rsidRPr="00EB4D74" w:rsidRDefault="008B1196" w:rsidP="008B1196">
      <w:pPr>
        <w:adjustRightInd w:val="0"/>
        <w:ind w:left="720"/>
        <w:textAlignment w:val="baseline"/>
        <w:rPr>
          <w:rFonts w:cs="Tahoma"/>
          <w:lang w:val="it-IT"/>
        </w:rPr>
      </w:pPr>
      <w:r w:rsidRPr="00EB4D74">
        <w:rPr>
          <w:rFonts w:cs="Tahoma"/>
          <w:lang w:val="pt-BR"/>
        </w:rPr>
        <w:t>A versão substituta do Communicator para Mac 2011 é o Lync para Mac 2011.</w:t>
      </w:r>
    </w:p>
    <w:p w:rsidR="008B1196" w:rsidRPr="00EB4D74" w:rsidRDefault="008B1196" w:rsidP="008B1196">
      <w:pPr>
        <w:adjustRightInd w:val="0"/>
        <w:textAlignment w:val="baseline"/>
        <w:rPr>
          <w:rFonts w:cs="Tahoma"/>
          <w:lang w:val="it-IT"/>
        </w:rPr>
      </w:pPr>
    </w:p>
    <w:p w:rsidR="008B1196" w:rsidRPr="00EB4D74" w:rsidRDefault="008B1196" w:rsidP="008B1196">
      <w:pPr>
        <w:adjustRightInd w:val="0"/>
        <w:textAlignment w:val="baseline"/>
        <w:rPr>
          <w:rFonts w:cs="Tahoma"/>
          <w:lang w:val="it-IT"/>
        </w:rPr>
      </w:pPr>
    </w:p>
    <w:p w:rsidR="008B1196" w:rsidRPr="00EB4D74" w:rsidRDefault="008B1196" w:rsidP="008B1196">
      <w:pPr>
        <w:pStyle w:val="Heading3"/>
        <w:rPr>
          <w:rFonts w:ascii="Tahoma" w:hAnsi="Tahoma" w:cs="Tahoma"/>
          <w:lang w:val="it-IT"/>
        </w:rPr>
      </w:pPr>
      <w:bookmarkStart w:id="1067" w:name="_Toc336338261"/>
      <w:bookmarkStart w:id="1068" w:name="_4_Sistemas_Operacionais"/>
      <w:bookmarkStart w:id="1069" w:name="_Toc342914897"/>
      <w:bookmarkEnd w:id="1059"/>
      <w:bookmarkEnd w:id="1067"/>
      <w:bookmarkEnd w:id="1068"/>
      <w:r w:rsidRPr="00EB4D74">
        <w:rPr>
          <w:rFonts w:ascii="Tahoma" w:hAnsi="Tahoma" w:cs="Tahoma"/>
          <w:caps/>
          <w:color w:val="F66400"/>
          <w:sz w:val="22"/>
          <w:vertAlign w:val="superscript"/>
          <w:lang w:val="pt-BR"/>
        </w:rPr>
        <w:t xml:space="preserve">4 </w:t>
      </w:r>
      <w:r w:rsidRPr="00EB4D74">
        <w:rPr>
          <w:rFonts w:ascii="Tahoma" w:hAnsi="Tahoma" w:cs="Tahoma"/>
          <w:color w:val="F66400"/>
          <w:sz w:val="22"/>
          <w:lang w:val="pt-BR"/>
        </w:rPr>
        <w:t>Sistemas Operacionais MSDN</w:t>
      </w:r>
      <w:bookmarkEnd w:id="1069"/>
    </w:p>
    <w:p w:rsidR="008B1196" w:rsidRPr="00EB4D74" w:rsidRDefault="008B1196" w:rsidP="008B1196">
      <w:pPr>
        <w:pStyle w:val="FootnoteBulletLevel1"/>
        <w:tabs>
          <w:tab w:val="clear" w:pos="900"/>
        </w:tabs>
        <w:spacing w:before="0" w:after="0"/>
        <w:ind w:left="720" w:firstLine="0"/>
        <w:rPr>
          <w:rFonts w:ascii="Tahoma" w:hAnsi="Tahoma" w:cs="Tahoma"/>
          <w:lang w:val="it-IT"/>
        </w:rPr>
      </w:pPr>
    </w:p>
    <w:p w:rsidR="008B1196" w:rsidRPr="00EB4D74" w:rsidRDefault="008B1196" w:rsidP="008B1196">
      <w:pPr>
        <w:spacing w:after="60"/>
        <w:ind w:left="720"/>
        <w:rPr>
          <w:rFonts w:cs="Tahoma"/>
          <w:lang w:val="it-IT"/>
        </w:rPr>
      </w:pPr>
      <w:r w:rsidRPr="00EB4D74">
        <w:rPr>
          <w:rFonts w:cs="Tahoma"/>
          <w:b/>
          <w:lang w:val="pt-BR"/>
        </w:rPr>
        <w:t>Qualificação do Software Assurance</w:t>
      </w: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Os clientes com Software Assurance próximo à data de término referente às licenças dos produtos a seguir estão qualificados a renovar suas coberturas como Software Assurance do MSDN Operating Systems.</w:t>
      </w:r>
    </w:p>
    <w:p w:rsidR="008B1196" w:rsidRPr="00EB4D74" w:rsidRDefault="008B1196" w:rsidP="008B1196">
      <w:pPr>
        <w:pStyle w:val="EndnoteText"/>
        <w:tabs>
          <w:tab w:val="num" w:pos="1080"/>
        </w:tabs>
        <w:ind w:left="720"/>
        <w:rPr>
          <w:rFonts w:ascii="Tahoma" w:hAnsi="Tahoma" w:cs="Tahoma"/>
          <w:lang w:val="it-IT"/>
        </w:rPr>
      </w:pP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Ultimate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Premium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 Embedded</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Test Professional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 Professional</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Team Suite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Test Edition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Development Edition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 xml:space="preserve">Visual Studio Team System Architecture Edition com MSDN Premium </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Database Edition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MSDN Operating Systems</w:t>
      </w:r>
    </w:p>
    <w:p w:rsidR="008B1196" w:rsidRPr="00EB4D74" w:rsidRDefault="008B1196" w:rsidP="008B1196">
      <w:pPr>
        <w:pStyle w:val="FootnoteBulletLevel2"/>
        <w:numPr>
          <w:ilvl w:val="0"/>
          <w:numId w:val="13"/>
        </w:numPr>
        <w:spacing w:before="0" w:after="60"/>
        <w:ind w:left="1440"/>
        <w:rPr>
          <w:rFonts w:ascii="Tahoma" w:hAnsi="Tahoma" w:cs="Tahoma"/>
          <w:sz w:val="18"/>
          <w:lang w:val="it-IT"/>
        </w:rPr>
      </w:pPr>
      <w:r w:rsidRPr="00EB4D74">
        <w:rPr>
          <w:rFonts w:ascii="Tahoma" w:hAnsi="Tahoma" w:cs="Tahoma"/>
          <w:sz w:val="18"/>
          <w:lang w:val="it-IT"/>
        </w:rPr>
        <w:t>Clientes com uma assinatura de varejo ativa para qualquer um dos softwares acima</w:t>
      </w:r>
    </w:p>
    <w:p w:rsidR="008B1196" w:rsidRPr="00EB4D74" w:rsidRDefault="008B1196" w:rsidP="008B1196">
      <w:pPr>
        <w:pStyle w:val="FootnoteBulletLevel2"/>
        <w:tabs>
          <w:tab w:val="clear" w:pos="1260"/>
        </w:tabs>
        <w:spacing w:before="0"/>
        <w:ind w:left="0" w:firstLine="0"/>
        <w:rPr>
          <w:rFonts w:ascii="Tahoma" w:hAnsi="Tahoma" w:cs="Tahoma"/>
          <w:lang w:val="it-IT"/>
        </w:rPr>
      </w:pPr>
    </w:p>
    <w:p w:rsidR="008B1196" w:rsidRPr="00EB4D74" w:rsidRDefault="008B1196" w:rsidP="008B1196">
      <w:pPr>
        <w:spacing w:after="60"/>
        <w:ind w:left="720"/>
        <w:rPr>
          <w:rFonts w:cs="Tahoma"/>
          <w:lang w:val="it-IT"/>
        </w:rPr>
      </w:pPr>
      <w:r w:rsidRPr="00EB4D74">
        <w:rPr>
          <w:rFonts w:cs="Tahoma"/>
          <w:b/>
          <w:lang w:val="pt-BR"/>
        </w:rPr>
        <w:t>Serviços de Assinatura</w:t>
      </w:r>
    </w:p>
    <w:p w:rsidR="008B1196" w:rsidRPr="00EB4D74" w:rsidRDefault="008B1196" w:rsidP="008B1196">
      <w:pPr>
        <w:pStyle w:val="FootnoteBulletLevel2"/>
        <w:tabs>
          <w:tab w:val="clear" w:pos="1260"/>
        </w:tabs>
        <w:spacing w:before="0"/>
        <w:ind w:left="720" w:firstLine="0"/>
        <w:rPr>
          <w:rFonts w:ascii="Tahoma" w:hAnsi="Tahoma" w:cs="Tahoma"/>
          <w:lang w:val="it-IT"/>
        </w:rPr>
      </w:pPr>
      <w:r w:rsidRPr="00EB4D74">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8B1196" w:rsidRPr="00EB4D74" w:rsidRDefault="008B1196" w:rsidP="008B1196">
      <w:pPr>
        <w:pStyle w:val="FootnoteBulletLevel2"/>
        <w:tabs>
          <w:tab w:val="clear" w:pos="1260"/>
        </w:tabs>
        <w:spacing w:before="0"/>
        <w:ind w:left="0" w:firstLine="0"/>
        <w:rPr>
          <w:rFonts w:ascii="Tahoma" w:hAnsi="Tahoma" w:cs="Tahoma"/>
          <w:lang w:val="it-IT"/>
        </w:rPr>
      </w:pPr>
    </w:p>
    <w:p w:rsidR="008B1196" w:rsidRPr="00EB4D74" w:rsidRDefault="008B1196" w:rsidP="008B1196">
      <w:pPr>
        <w:pStyle w:val="FootnoteBulletLevel2"/>
        <w:tabs>
          <w:tab w:val="clear" w:pos="1260"/>
        </w:tabs>
        <w:spacing w:before="0"/>
        <w:ind w:left="0" w:firstLine="0"/>
        <w:rPr>
          <w:rFonts w:ascii="Tahoma" w:hAnsi="Tahoma" w:cs="Tahoma"/>
          <w:lang w:val="it-IT"/>
        </w:rPr>
      </w:pPr>
    </w:p>
    <w:p w:rsidR="008B1196" w:rsidRPr="00EB4D74" w:rsidRDefault="008B1196" w:rsidP="008B1196">
      <w:pPr>
        <w:pStyle w:val="Heading2"/>
        <w:ind w:left="0"/>
        <w:rPr>
          <w:rFonts w:ascii="Tahoma" w:hAnsi="Tahoma" w:cs="Tahoma"/>
          <w:color w:val="FF6600"/>
          <w:sz w:val="22"/>
          <w:szCs w:val="22"/>
          <w:lang w:val="it-IT"/>
        </w:rPr>
      </w:pPr>
      <w:bookmarkStart w:id="1070" w:name="_6_Office_365"/>
      <w:bookmarkStart w:id="1071" w:name="_Toc336338262"/>
      <w:bookmarkStart w:id="1072" w:name="_Toc342914898"/>
      <w:bookmarkEnd w:id="1070"/>
      <w:bookmarkEnd w:id="1071"/>
      <w:r w:rsidRPr="00EB4D74">
        <w:rPr>
          <w:rFonts w:ascii="Tahoma" w:hAnsi="Tahoma" w:cs="Tahoma"/>
          <w:color w:val="FF6600"/>
          <w:sz w:val="22"/>
          <w:szCs w:val="22"/>
          <w:vertAlign w:val="superscript"/>
          <w:lang w:val="it-IT"/>
        </w:rPr>
        <w:t>5</w:t>
      </w:r>
      <w:r w:rsidRPr="00EB4D74">
        <w:rPr>
          <w:rFonts w:ascii="Tahoma" w:hAnsi="Tahoma" w:cs="Tahoma"/>
          <w:color w:val="FF6600"/>
          <w:sz w:val="22"/>
          <w:szCs w:val="22"/>
          <w:lang w:val="it-IT"/>
        </w:rPr>
        <w:t xml:space="preserve"> Office 365 Plano A2-A4 (SL do Usuário)</w:t>
      </w:r>
      <w:bookmarkEnd w:id="1072"/>
    </w:p>
    <w:p w:rsidR="008B1196" w:rsidRPr="00EB4D74" w:rsidRDefault="008B1196" w:rsidP="008B1196">
      <w:pPr>
        <w:pStyle w:val="Heading2"/>
        <w:ind w:left="0"/>
        <w:rPr>
          <w:rFonts w:cs="Tahoma"/>
          <w:sz w:val="18"/>
          <w:szCs w:val="18"/>
          <w:lang w:val="it-IT"/>
        </w:rPr>
      </w:pPr>
    </w:p>
    <w:p w:rsidR="008B1196" w:rsidRPr="00EB4D74" w:rsidRDefault="008B1196" w:rsidP="008B1196">
      <w:pPr>
        <w:ind w:left="720"/>
        <w:rPr>
          <w:rFonts w:cs="Tahoma"/>
          <w:lang w:val="pt-BR"/>
        </w:rPr>
      </w:pPr>
      <w:r w:rsidRPr="00EB4D74">
        <w:rPr>
          <w:rFonts w:eastAsia="Times New Roman" w:cs="Tahoma"/>
          <w:color w:val="000000"/>
          <w:szCs w:val="18"/>
          <w:lang w:val="pt-BR"/>
        </w:rPr>
        <w:t xml:space="preserve">O Office 365 Planos A2-A4 são compostos por versões acadêmicas específicas dos mesmos serviços online que abrangem o Office 365 Planos E2-E4. Os direitos de uso para Planos A2-A4 e seus componentes são equivalentes às suas contrapartidas comerciais. </w:t>
      </w:r>
      <w:r w:rsidRPr="00EB4D74">
        <w:rPr>
          <w:rFonts w:cs="Tahoma"/>
          <w:color w:val="000000"/>
          <w:lang w:val="pt-BR"/>
        </w:rPr>
        <w:t>No entanto, os usuários com USLs do Office 365 Plano A2 não podem acessar serviços nas instalações.</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color w:val="000000"/>
          <w:lang w:val="pt-BR"/>
        </w:rPr>
        <w:lastRenderedPageBreak/>
        <w:t>No Contrato School, as licenças de assinatura do Office 365 Plans devem ser adquiridas por usuário para toda a instituição ou não extensivas a toda a Instituição. Se as Licenças de Assinatura de Usuário adicionais forem exigidas para acessar o O365 Plan a médio prazo, a Instituição deverá enviar um pedido para tais Licenças. A Instituição pode usar qualquer O365 Plan para atender aos requisitos mínimos do programa. Ao licenciar o Complemento O365, o produto de qualificação correspondente deverá ser licenciado sob o mesmo registro. Ao fazer pedidos anuais, a Instituição poderá pedir menos licenças para Serviços Online do que a quantidade de pedido inicial desde que o pedido anual atenda aos requisitos mínimos para Serviços Online da Plataforma</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r w:rsidRPr="00EB4D74">
        <w:rPr>
          <w:rFonts w:cs="Tahoma"/>
          <w:b/>
          <w:lang w:val="pt-BR"/>
        </w:rPr>
        <w:t>USL Complementar</w:t>
      </w:r>
    </w:p>
    <w:p w:rsidR="008B1196" w:rsidRPr="00EB4D74" w:rsidRDefault="008B1196" w:rsidP="008B1196">
      <w:pPr>
        <w:ind w:left="720"/>
        <w:rPr>
          <w:rFonts w:cs="Tahoma"/>
          <w:lang w:val="it-IT"/>
        </w:rPr>
      </w:pPr>
      <w:r w:rsidRPr="00EB4D74">
        <w:rPr>
          <w:rFonts w:cs="Tahoma"/>
          <w:color w:val="000000"/>
          <w:lang w:val="pt-BR"/>
        </w:rPr>
        <w:t>As Instituições que possuem cobertura de produtos de qualificação poderão comprar a Licença de Assinatura de Usuário correspondente para o O365 Plan Complementar, conforme detalhado na tabela a seguir. Instituições com um Contrato School: As Instituições poderão comprar a Licença de Assinatura de Usuário correspondente para o O365 Plan Completar para seus Usuários até uma quantidade igual à da sua contagem de PCs Qualificados, contanto que eles tenham cobertura para os produtos de qualificação.</w:t>
      </w:r>
    </w:p>
    <w:p w:rsidR="008B1196" w:rsidRPr="00EB4D74" w:rsidRDefault="008B1196" w:rsidP="008B1196">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8B1196" w:rsidRPr="00EB4D74" w:rsidTr="00EA30FC">
        <w:tc>
          <w:tcPr>
            <w:tcW w:w="4320" w:type="dxa"/>
            <w:shd w:val="clear" w:color="auto" w:fill="FABF8F"/>
          </w:tcPr>
          <w:p w:rsidR="008B1196" w:rsidRPr="00EB4D74" w:rsidRDefault="008B1196" w:rsidP="00EA30FC">
            <w:pPr>
              <w:rPr>
                <w:rFonts w:eastAsia="Times New Roman" w:cs="Tahoma"/>
                <w:b/>
                <w:color w:val="000000"/>
                <w:szCs w:val="18"/>
              </w:rPr>
            </w:pPr>
            <w:r w:rsidRPr="00EB4D74">
              <w:rPr>
                <w:rFonts w:eastAsia="Times New Roman" w:cs="Tahoma"/>
                <w:b/>
                <w:color w:val="000000"/>
                <w:szCs w:val="18"/>
                <w:lang w:val="pt-BR"/>
              </w:rPr>
              <w:t>Licença de Qualificação</w:t>
            </w:r>
          </w:p>
        </w:tc>
        <w:tc>
          <w:tcPr>
            <w:tcW w:w="4320" w:type="dxa"/>
            <w:shd w:val="clear" w:color="auto" w:fill="FABF8F"/>
          </w:tcPr>
          <w:p w:rsidR="008B1196" w:rsidRPr="00EB4D74" w:rsidRDefault="008B1196" w:rsidP="00EA30FC">
            <w:pPr>
              <w:rPr>
                <w:rFonts w:eastAsia="Times New Roman" w:cs="Tahoma"/>
                <w:b/>
                <w:color w:val="000000"/>
                <w:szCs w:val="18"/>
              </w:rPr>
            </w:pPr>
            <w:r w:rsidRPr="00EB4D74">
              <w:rPr>
                <w:rFonts w:eastAsia="Times New Roman" w:cs="Tahoma"/>
                <w:b/>
                <w:color w:val="000000"/>
                <w:szCs w:val="18"/>
                <w:lang w:val="pt-BR"/>
              </w:rPr>
              <w:t>USL Complementar</w:t>
            </w:r>
          </w:p>
        </w:tc>
      </w:tr>
      <w:tr w:rsidR="008B1196" w:rsidRPr="00EB4D74" w:rsidTr="00EA30FC">
        <w:tc>
          <w:tcPr>
            <w:tcW w:w="4320" w:type="dxa"/>
          </w:tcPr>
          <w:p w:rsidR="008B1196" w:rsidRPr="00EB4D74" w:rsidRDefault="008B1196" w:rsidP="00EA30FC">
            <w:pPr>
              <w:rPr>
                <w:rFonts w:eastAsia="Times New Roman" w:cs="Tahoma"/>
                <w:color w:val="000000"/>
                <w:szCs w:val="18"/>
              </w:rPr>
            </w:pPr>
            <w:r w:rsidRPr="00EB4D74">
              <w:rPr>
                <w:rFonts w:cs="Tahoma"/>
                <w:color w:val="000000"/>
                <w:lang w:val="pt-BR"/>
              </w:rPr>
              <w:t>Pacote de CALs Principais</w:t>
            </w:r>
            <w:r w:rsidRPr="00EB4D74">
              <w:rPr>
                <w:rFonts w:cs="Tahoma"/>
                <w:color w:val="000000"/>
                <w:vertAlign w:val="superscript"/>
                <w:lang w:val="pt-BR"/>
              </w:rPr>
              <w:t>1</w:t>
            </w:r>
            <w:r w:rsidRPr="00EB4D74">
              <w:rPr>
                <w:rFonts w:cs="Tahoma"/>
                <w:color w:val="000000"/>
                <w:lang w:val="pt-BR"/>
              </w:rPr>
              <w:t xml:space="preserve"> ou Pacote de ECAL</w:t>
            </w:r>
            <w:r w:rsidRPr="00EB4D74">
              <w:rPr>
                <w:rFonts w:cs="Tahoma"/>
                <w:color w:val="000000"/>
                <w:vertAlign w:val="superscript"/>
                <w:lang w:val="pt-BR"/>
              </w:rPr>
              <w:t>1</w:t>
            </w:r>
          </w:p>
        </w:tc>
        <w:tc>
          <w:tcPr>
            <w:tcW w:w="4320" w:type="dxa"/>
          </w:tcPr>
          <w:p w:rsidR="008B1196" w:rsidRPr="00EB4D74" w:rsidRDefault="008B1196" w:rsidP="00EA30FC">
            <w:pPr>
              <w:rPr>
                <w:rFonts w:eastAsia="Times New Roman" w:cs="Tahoma"/>
                <w:color w:val="000000"/>
                <w:szCs w:val="18"/>
              </w:rPr>
            </w:pPr>
            <w:r w:rsidRPr="00EB4D74">
              <w:rPr>
                <w:rFonts w:eastAsia="Times New Roman" w:cs="Tahoma"/>
                <w:color w:val="000000"/>
                <w:szCs w:val="18"/>
                <w:lang w:val="pt-BR"/>
              </w:rPr>
              <w:t>USL Complementar do Office 365 Plan A3 para CAL Principal ou ECAL</w:t>
            </w:r>
          </w:p>
        </w:tc>
      </w:tr>
      <w:tr w:rsidR="008B1196" w:rsidRPr="00EB4D74" w:rsidTr="00EA30FC">
        <w:tc>
          <w:tcPr>
            <w:tcW w:w="4320" w:type="dxa"/>
          </w:tcPr>
          <w:p w:rsidR="008B1196" w:rsidRPr="00EB4D74" w:rsidRDefault="008B1196" w:rsidP="00EA30FC">
            <w:pPr>
              <w:rPr>
                <w:rFonts w:eastAsia="Times New Roman" w:cs="Tahoma"/>
                <w:color w:val="000000"/>
                <w:szCs w:val="18"/>
              </w:rPr>
            </w:pPr>
            <w:r w:rsidRPr="00EB4D74">
              <w:rPr>
                <w:rFonts w:cs="Tahoma"/>
                <w:color w:val="000000"/>
                <w:lang w:val="pt-BR"/>
              </w:rPr>
              <w:t>Office Pro Plus</w:t>
            </w:r>
            <w:r w:rsidRPr="00EB4D74">
              <w:rPr>
                <w:rFonts w:cs="Tahoma"/>
                <w:color w:val="000000"/>
                <w:vertAlign w:val="superscript"/>
                <w:lang w:val="pt-BR"/>
              </w:rPr>
              <w:t>1</w:t>
            </w:r>
          </w:p>
        </w:tc>
        <w:tc>
          <w:tcPr>
            <w:tcW w:w="4320" w:type="dxa"/>
          </w:tcPr>
          <w:p w:rsidR="008B1196" w:rsidRPr="00EB4D74" w:rsidRDefault="008B1196" w:rsidP="00EA30FC">
            <w:pPr>
              <w:rPr>
                <w:rFonts w:eastAsia="Times New Roman" w:cs="Tahoma"/>
                <w:color w:val="000000"/>
                <w:szCs w:val="18"/>
              </w:rPr>
            </w:pPr>
            <w:r w:rsidRPr="00EB4D74">
              <w:rPr>
                <w:rFonts w:eastAsia="Times New Roman" w:cs="Tahoma"/>
                <w:color w:val="000000"/>
                <w:szCs w:val="18"/>
                <w:lang w:val="pt-BR"/>
              </w:rPr>
              <w:t>USL Complementar do Office 365 Plan A3 para Office Pro Plus</w:t>
            </w:r>
          </w:p>
        </w:tc>
      </w:tr>
      <w:tr w:rsidR="008B1196" w:rsidRPr="00EB4D74" w:rsidTr="00EA30FC">
        <w:tc>
          <w:tcPr>
            <w:tcW w:w="4320" w:type="dxa"/>
          </w:tcPr>
          <w:p w:rsidR="008B1196" w:rsidRPr="00EB4D74" w:rsidRDefault="008B1196" w:rsidP="00EA30FC">
            <w:pPr>
              <w:rPr>
                <w:rFonts w:eastAsia="Times New Roman" w:cs="Tahoma"/>
                <w:color w:val="000000"/>
                <w:szCs w:val="18"/>
              </w:rPr>
            </w:pPr>
            <w:r w:rsidRPr="00EB4D74">
              <w:rPr>
                <w:rFonts w:cs="Tahoma"/>
                <w:color w:val="000000"/>
                <w:lang w:val="pt-BR"/>
              </w:rPr>
              <w:t>Pacote de CALs Principais</w:t>
            </w:r>
            <w:r w:rsidRPr="00EB4D74">
              <w:rPr>
                <w:rFonts w:cs="Tahoma"/>
                <w:color w:val="000000"/>
                <w:vertAlign w:val="superscript"/>
                <w:lang w:val="pt-BR"/>
              </w:rPr>
              <w:t>1</w:t>
            </w:r>
            <w:r w:rsidRPr="00EB4D74">
              <w:rPr>
                <w:rFonts w:cs="Tahoma"/>
                <w:color w:val="000000"/>
                <w:lang w:val="pt-BR"/>
              </w:rPr>
              <w:t xml:space="preserve"> ou Pacote de ECAL</w:t>
            </w:r>
            <w:r w:rsidRPr="00EB4D74">
              <w:rPr>
                <w:rFonts w:cs="Tahoma"/>
                <w:color w:val="000000"/>
                <w:vertAlign w:val="superscript"/>
                <w:lang w:val="pt-BR"/>
              </w:rPr>
              <w:t xml:space="preserve">1 </w:t>
            </w:r>
            <w:r w:rsidRPr="00EB4D74">
              <w:rPr>
                <w:rFonts w:cs="Tahoma"/>
                <w:color w:val="000000"/>
                <w:lang w:val="pt-BR"/>
              </w:rPr>
              <w:t>+ Office Pro Plus</w:t>
            </w:r>
            <w:r w:rsidRPr="00EB4D74">
              <w:rPr>
                <w:rFonts w:cs="Tahoma"/>
                <w:color w:val="000000"/>
                <w:vertAlign w:val="superscript"/>
                <w:lang w:val="pt-BR"/>
              </w:rPr>
              <w:t>1</w:t>
            </w:r>
          </w:p>
        </w:tc>
        <w:tc>
          <w:tcPr>
            <w:tcW w:w="4320" w:type="dxa"/>
          </w:tcPr>
          <w:p w:rsidR="008B1196" w:rsidRPr="00EB4D74" w:rsidRDefault="008B1196" w:rsidP="00EA30FC">
            <w:pPr>
              <w:rPr>
                <w:rFonts w:eastAsia="Times New Roman" w:cs="Tahoma"/>
                <w:color w:val="000000"/>
                <w:szCs w:val="18"/>
              </w:rPr>
            </w:pPr>
            <w:r w:rsidRPr="00EB4D74">
              <w:rPr>
                <w:rFonts w:eastAsia="Times New Roman" w:cs="Tahoma"/>
                <w:color w:val="000000"/>
                <w:szCs w:val="18"/>
                <w:lang w:val="pt-BR"/>
              </w:rPr>
              <w:t>USL Complementar do Office 365 Plan A3 para CAL Principal ou ECAL + Office Pro Plus</w:t>
            </w:r>
          </w:p>
        </w:tc>
      </w:tr>
      <w:tr w:rsidR="008B1196" w:rsidRPr="00EB4D74" w:rsidTr="00EA30FC">
        <w:tc>
          <w:tcPr>
            <w:tcW w:w="4320" w:type="dxa"/>
          </w:tcPr>
          <w:p w:rsidR="008B1196" w:rsidRPr="00EB4D74" w:rsidRDefault="008B1196" w:rsidP="00EA30FC">
            <w:pPr>
              <w:rPr>
                <w:rFonts w:eastAsia="Times New Roman" w:cs="Tahoma"/>
                <w:color w:val="000000"/>
                <w:szCs w:val="18"/>
              </w:rPr>
            </w:pPr>
            <w:r w:rsidRPr="00EB4D74">
              <w:rPr>
                <w:rFonts w:cs="Tahoma"/>
                <w:color w:val="000000"/>
                <w:lang w:val="pt-BR"/>
              </w:rPr>
              <w:t>Pacote de CALs Principais</w:t>
            </w:r>
            <w:r w:rsidRPr="00EB4D74">
              <w:rPr>
                <w:rFonts w:cs="Tahoma"/>
                <w:color w:val="000000"/>
                <w:vertAlign w:val="superscript"/>
                <w:lang w:val="pt-BR"/>
              </w:rPr>
              <w:t>1</w:t>
            </w:r>
            <w:r w:rsidRPr="00EB4D74">
              <w:rPr>
                <w:rFonts w:cs="Tahoma"/>
                <w:color w:val="000000"/>
                <w:lang w:val="pt-BR"/>
              </w:rPr>
              <w:t xml:space="preserve"> ou Pacote de ECAL</w:t>
            </w:r>
            <w:r w:rsidRPr="00EB4D74">
              <w:rPr>
                <w:rFonts w:cs="Tahoma"/>
                <w:color w:val="000000"/>
                <w:vertAlign w:val="superscript"/>
                <w:lang w:val="pt-BR"/>
              </w:rPr>
              <w:t>1</w:t>
            </w:r>
          </w:p>
        </w:tc>
        <w:tc>
          <w:tcPr>
            <w:tcW w:w="4320" w:type="dxa"/>
          </w:tcPr>
          <w:p w:rsidR="008B1196" w:rsidRPr="00EB4D74" w:rsidRDefault="008B1196" w:rsidP="00EA30FC">
            <w:pPr>
              <w:rPr>
                <w:rFonts w:eastAsia="Times New Roman" w:cs="Tahoma"/>
                <w:color w:val="000000"/>
                <w:szCs w:val="18"/>
              </w:rPr>
            </w:pPr>
            <w:r w:rsidRPr="00EB4D74">
              <w:rPr>
                <w:rFonts w:eastAsia="Times New Roman" w:cs="Tahoma"/>
                <w:color w:val="000000"/>
                <w:szCs w:val="18"/>
                <w:lang w:val="pt-BR"/>
              </w:rPr>
              <w:t>USL Complementar do Office 365 Plan A4 para CAL Principal ou ECAL</w:t>
            </w:r>
          </w:p>
        </w:tc>
      </w:tr>
      <w:tr w:rsidR="008B1196" w:rsidRPr="00EB4D74" w:rsidTr="00EA30FC">
        <w:tc>
          <w:tcPr>
            <w:tcW w:w="4320" w:type="dxa"/>
          </w:tcPr>
          <w:p w:rsidR="008B1196" w:rsidRPr="00EB4D74" w:rsidRDefault="008B1196" w:rsidP="00EA30FC">
            <w:pPr>
              <w:rPr>
                <w:rFonts w:eastAsia="Times New Roman" w:cs="Tahoma"/>
                <w:color w:val="000000"/>
                <w:szCs w:val="18"/>
              </w:rPr>
            </w:pPr>
            <w:r w:rsidRPr="00EB4D74">
              <w:rPr>
                <w:rFonts w:cs="Tahoma"/>
                <w:color w:val="000000"/>
                <w:lang w:val="pt-BR"/>
              </w:rPr>
              <w:t>Office Pro Plus</w:t>
            </w:r>
            <w:r w:rsidRPr="00EB4D74">
              <w:rPr>
                <w:rFonts w:cs="Tahoma"/>
                <w:color w:val="000000"/>
                <w:vertAlign w:val="superscript"/>
                <w:lang w:val="pt-BR"/>
              </w:rPr>
              <w:t>1</w:t>
            </w:r>
          </w:p>
        </w:tc>
        <w:tc>
          <w:tcPr>
            <w:tcW w:w="4320" w:type="dxa"/>
          </w:tcPr>
          <w:p w:rsidR="008B1196" w:rsidRPr="00EB4D74" w:rsidRDefault="008B1196" w:rsidP="00EA30FC">
            <w:pPr>
              <w:rPr>
                <w:rFonts w:eastAsia="Times New Roman" w:cs="Tahoma"/>
                <w:color w:val="000000"/>
                <w:szCs w:val="18"/>
              </w:rPr>
            </w:pPr>
            <w:r w:rsidRPr="00EB4D74">
              <w:rPr>
                <w:rFonts w:eastAsia="Times New Roman" w:cs="Tahoma"/>
                <w:color w:val="000000"/>
                <w:szCs w:val="18"/>
                <w:lang w:val="pt-BR"/>
              </w:rPr>
              <w:t>USL Complementar do Office 365 Plan A4 para Office Pro Plus</w:t>
            </w:r>
          </w:p>
        </w:tc>
      </w:tr>
      <w:tr w:rsidR="008B1196" w:rsidRPr="00EB4D74" w:rsidTr="00EA30FC">
        <w:tc>
          <w:tcPr>
            <w:tcW w:w="4320" w:type="dxa"/>
          </w:tcPr>
          <w:p w:rsidR="008B1196" w:rsidRPr="00EB4D74" w:rsidRDefault="008B1196" w:rsidP="00EA30FC">
            <w:pPr>
              <w:rPr>
                <w:rFonts w:eastAsia="Times New Roman" w:cs="Tahoma"/>
                <w:color w:val="000000"/>
                <w:szCs w:val="18"/>
              </w:rPr>
            </w:pPr>
            <w:r w:rsidRPr="00EB4D74">
              <w:rPr>
                <w:rFonts w:cs="Tahoma"/>
                <w:color w:val="000000"/>
                <w:lang w:val="pt-BR"/>
              </w:rPr>
              <w:t>Pacote de CALs Principais ou Pacote de ECAL</w:t>
            </w:r>
            <w:r w:rsidRPr="00EB4D74">
              <w:rPr>
                <w:rFonts w:cs="Tahoma"/>
                <w:color w:val="000000"/>
                <w:vertAlign w:val="superscript"/>
                <w:lang w:val="pt-BR"/>
              </w:rPr>
              <w:t xml:space="preserve">1 </w:t>
            </w:r>
            <w:r w:rsidRPr="00EB4D74">
              <w:rPr>
                <w:rFonts w:cs="Tahoma"/>
                <w:color w:val="000000"/>
                <w:lang w:val="pt-BR"/>
              </w:rPr>
              <w:t>+ Office Pro Plus</w:t>
            </w:r>
            <w:r w:rsidRPr="00EB4D74">
              <w:rPr>
                <w:rFonts w:cs="Tahoma"/>
                <w:color w:val="000000"/>
                <w:vertAlign w:val="superscript"/>
                <w:lang w:val="pt-BR"/>
              </w:rPr>
              <w:t>1</w:t>
            </w:r>
          </w:p>
        </w:tc>
        <w:tc>
          <w:tcPr>
            <w:tcW w:w="4320" w:type="dxa"/>
          </w:tcPr>
          <w:p w:rsidR="008B1196" w:rsidRPr="00EB4D74" w:rsidRDefault="008B1196" w:rsidP="00EA30FC">
            <w:pPr>
              <w:rPr>
                <w:rFonts w:eastAsia="Times New Roman" w:cs="Tahoma"/>
                <w:color w:val="000000"/>
                <w:szCs w:val="18"/>
              </w:rPr>
            </w:pPr>
            <w:r w:rsidRPr="00EB4D74">
              <w:rPr>
                <w:rFonts w:eastAsia="Times New Roman" w:cs="Tahoma"/>
                <w:color w:val="000000"/>
                <w:szCs w:val="18"/>
                <w:lang w:val="pt-BR"/>
              </w:rPr>
              <w:t>USL Complementar do Office 365 Plan A4 para CAL Principal ou ECAL + Office Pro Plus</w:t>
            </w:r>
          </w:p>
        </w:tc>
      </w:tr>
    </w:tbl>
    <w:p w:rsidR="008B1196" w:rsidRPr="00EB4D74" w:rsidRDefault="008B1196" w:rsidP="008B1196">
      <w:pPr>
        <w:ind w:left="900"/>
        <w:rPr>
          <w:rFonts w:cs="Tahoma"/>
          <w:lang w:val="it-IT"/>
        </w:rPr>
      </w:pPr>
      <w:r w:rsidRPr="00EB4D74">
        <w:rPr>
          <w:rFonts w:cs="Tahoma"/>
          <w:i/>
          <w:color w:val="000000"/>
          <w:sz w:val="16"/>
          <w:vertAlign w:val="superscript"/>
          <w:lang w:val="pt-BR"/>
        </w:rPr>
        <w:t>1</w:t>
      </w:r>
      <w:r w:rsidRPr="00EB4D74">
        <w:rPr>
          <w:rFonts w:cs="Tahoma"/>
          <w:i/>
          <w:color w:val="000000"/>
          <w:sz w:val="16"/>
          <w:lang w:val="pt-BR"/>
        </w:rPr>
        <w:t>Com cobertura de Software Assurance ativa</w:t>
      </w:r>
    </w:p>
    <w:p w:rsidR="008B1196" w:rsidRPr="00EB4D74" w:rsidRDefault="008B1196" w:rsidP="008B1196">
      <w:pPr>
        <w:ind w:left="720"/>
        <w:rPr>
          <w:rFonts w:cs="Tahoma"/>
          <w:lang w:val="it-IT"/>
        </w:rPr>
      </w:pPr>
    </w:p>
    <w:p w:rsidR="008B1196" w:rsidRPr="00EB4D74" w:rsidRDefault="008B1196" w:rsidP="008B1196">
      <w:pPr>
        <w:ind w:left="720"/>
        <w:rPr>
          <w:rFonts w:cs="Tahoma"/>
          <w:spacing w:val="-4"/>
          <w:lang w:val="pt-BR"/>
        </w:rPr>
      </w:pPr>
      <w:r w:rsidRPr="00EB4D74">
        <w:rPr>
          <w:rFonts w:eastAsia="Times New Roman" w:cs="Tahoma"/>
          <w:iCs/>
          <w:color w:val="000000"/>
          <w:spacing w:val="-4"/>
          <w:szCs w:val="18"/>
          <w:lang w:val="pt-BR"/>
        </w:rPr>
        <w:t xml:space="preserve">As Instituições com USLs do Office 365 A3 ou Office Plan A4 cedidas para todo o corpo docente efuncionários poderão instalar o software Office Professional Plus 2010 em qualquer laboratório de acesso aberto ou biblioteca da Organização da Instituição. </w:t>
      </w:r>
      <w:r w:rsidRPr="00EB4D74">
        <w:rPr>
          <w:rFonts w:cs="Tahoma"/>
          <w:color w:val="000000"/>
          <w:spacing w:val="-4"/>
          <w:lang w:val="pt-BR"/>
        </w:rPr>
        <w:t>O uso do software está sujeito aos termos de licença para o Office Pro Plus 2010.</w:t>
      </w:r>
    </w:p>
    <w:p w:rsidR="008B1196" w:rsidRPr="00EB4D74" w:rsidRDefault="008B1196" w:rsidP="008B1196">
      <w:pPr>
        <w:ind w:left="720"/>
        <w:rPr>
          <w:rFonts w:cs="Tahoma"/>
          <w:lang w:val="pt-BR"/>
        </w:rPr>
      </w:pPr>
    </w:p>
    <w:p w:rsidR="008B1196" w:rsidRPr="00EB4D74" w:rsidRDefault="008B1196" w:rsidP="008B1196">
      <w:pPr>
        <w:pStyle w:val="FootnoteBulletLevel2"/>
        <w:tabs>
          <w:tab w:val="clear" w:pos="1260"/>
        </w:tabs>
        <w:spacing w:before="0"/>
        <w:ind w:left="720" w:firstLine="0"/>
        <w:rPr>
          <w:rFonts w:ascii="Tahoma" w:hAnsi="Tahoma" w:cs="Tahoma"/>
          <w:lang w:val="pt-BR"/>
        </w:rPr>
      </w:pPr>
      <w:r w:rsidRPr="00EB4D74">
        <w:rPr>
          <w:rFonts w:ascii="Tahoma" w:hAnsi="Tahoma" w:cs="Tahoma"/>
          <w:color w:val="000000"/>
          <w:sz w:val="18"/>
          <w:szCs w:val="18"/>
          <w:lang w:val="pt-BR"/>
        </w:rPr>
        <w:t xml:space="preserve">O Lync Online Plan 1A e Plan 2Aexigem a compra e instalação separada do Microsoft Lync 2010 (ou Lync for Mac 2011). Como oferta por tempo limitado, os clientes licenciados para o Lync Online receberão uma cópia licenciada gratuita do Lync 2010 (ou Lync for Mac 2011) com cada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 </w:t>
      </w:r>
      <w:r w:rsidRPr="00EB4D74">
        <w:rPr>
          <w:rFonts w:ascii="Tahoma" w:hAnsi="Tahoma" w:cs="Tahoma"/>
          <w:color w:val="000000"/>
          <w:sz w:val="18"/>
          <w:lang w:val="pt-BR"/>
        </w:rPr>
        <w:t xml:space="preserve">Os clientes que ainda não tiverem migrado do Office Communications Online poderão usar o Office Communicator 2007 R2 de acordo com esta outorga de licença no lugar do Lync 2010 (ou Lync para Mac 2011). </w:t>
      </w:r>
    </w:p>
    <w:p w:rsidR="008B1196" w:rsidRPr="00EB4D74" w:rsidRDefault="008B1196" w:rsidP="008B1196">
      <w:pPr>
        <w:pStyle w:val="FootnoteBulletLevel2"/>
        <w:tabs>
          <w:tab w:val="clear" w:pos="1260"/>
        </w:tabs>
        <w:spacing w:before="0"/>
        <w:ind w:left="0" w:firstLine="0"/>
        <w:rPr>
          <w:rFonts w:ascii="Tahoma" w:hAnsi="Tahoma" w:cs="Tahoma"/>
          <w:lang w:val="pt-BR"/>
        </w:rPr>
      </w:pPr>
    </w:p>
    <w:p w:rsidR="008B1196" w:rsidRPr="00EB4D74" w:rsidRDefault="008B1196" w:rsidP="008B1196">
      <w:pPr>
        <w:pStyle w:val="FootnoteBulletLevel2"/>
        <w:tabs>
          <w:tab w:val="clear" w:pos="1260"/>
        </w:tabs>
        <w:spacing w:before="0"/>
        <w:ind w:left="0" w:firstLine="0"/>
        <w:rPr>
          <w:rFonts w:ascii="Tahoma" w:hAnsi="Tahoma" w:cs="Tahoma"/>
          <w:lang w:val="pt-BR"/>
        </w:rPr>
      </w:pPr>
    </w:p>
    <w:p w:rsidR="008B1196" w:rsidRPr="00EB4D74" w:rsidRDefault="008B1196" w:rsidP="008B1196">
      <w:pPr>
        <w:pStyle w:val="Heading2"/>
        <w:ind w:left="0"/>
        <w:rPr>
          <w:rFonts w:ascii="Tahoma" w:hAnsi="Tahoma" w:cs="Tahoma"/>
          <w:lang w:val="it-IT"/>
        </w:rPr>
      </w:pPr>
      <w:bookmarkStart w:id="1073" w:name="_7_Office_365"/>
      <w:bookmarkStart w:id="1074" w:name="_Toc336338263"/>
      <w:bookmarkStart w:id="1075" w:name="_Toc342914899"/>
      <w:bookmarkEnd w:id="1073"/>
      <w:bookmarkEnd w:id="1074"/>
      <w:r w:rsidRPr="00EB4D74">
        <w:rPr>
          <w:rFonts w:ascii="Tahoma" w:hAnsi="Tahoma" w:cs="Tahoma"/>
          <w:caps/>
          <w:color w:val="FF6600"/>
          <w:sz w:val="22"/>
          <w:vertAlign w:val="superscript"/>
          <w:lang w:val="pt-BR"/>
        </w:rPr>
        <w:t>6</w:t>
      </w:r>
      <w:r w:rsidRPr="00EB4D74">
        <w:rPr>
          <w:rFonts w:ascii="Tahoma" w:hAnsi="Tahoma" w:cs="Tahoma"/>
          <w:caps/>
          <w:color w:val="FF6600"/>
          <w:sz w:val="22"/>
          <w:lang w:val="pt-BR"/>
        </w:rPr>
        <w:t xml:space="preserve"> </w:t>
      </w:r>
      <w:r w:rsidRPr="00EB4D74">
        <w:rPr>
          <w:rFonts w:ascii="Tahoma" w:hAnsi="Tahoma" w:cs="Tahoma"/>
          <w:color w:val="FF6600"/>
          <w:sz w:val="22"/>
          <w:lang w:val="pt-BR"/>
        </w:rPr>
        <w:t>Office 365 Plano E2-E4</w:t>
      </w:r>
      <w:bookmarkEnd w:id="1075"/>
    </w:p>
    <w:p w:rsidR="008B1196" w:rsidRPr="00EB4D74" w:rsidRDefault="008B1196" w:rsidP="008B1196">
      <w:pPr>
        <w:rPr>
          <w:rFonts w:cs="Tahoma"/>
          <w:lang w:val="it-IT"/>
        </w:rPr>
      </w:pPr>
    </w:p>
    <w:p w:rsidR="008B1196" w:rsidRPr="00EB4D74" w:rsidRDefault="008B1196" w:rsidP="008B1196">
      <w:pPr>
        <w:ind w:left="720"/>
        <w:rPr>
          <w:rFonts w:cs="Tahoma"/>
          <w:lang w:val="it-IT"/>
        </w:rPr>
      </w:pPr>
      <w:r w:rsidRPr="00EB4D74">
        <w:rPr>
          <w:rFonts w:cs="Tahoma"/>
          <w:color w:val="000000"/>
          <w:lang w:val="pt-BR"/>
        </w:rPr>
        <w:t>O Office 365 Planos E2-E4 permite acesso aos seguintes Serviços Online:</w:t>
      </w:r>
    </w:p>
    <w:p w:rsidR="008B1196" w:rsidRPr="00EB4D74" w:rsidRDefault="008B1196" w:rsidP="008B1196">
      <w:pPr>
        <w:rPr>
          <w:rFonts w:cs="Tahoma"/>
          <w:lang w:val="it-I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8B1196" w:rsidRPr="00EB4D74" w:rsidTr="00EA30FC">
        <w:tc>
          <w:tcPr>
            <w:tcW w:w="2790"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E2</w:t>
            </w:r>
          </w:p>
        </w:tc>
        <w:tc>
          <w:tcPr>
            <w:tcW w:w="2880"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E3</w:t>
            </w:r>
          </w:p>
        </w:tc>
        <w:tc>
          <w:tcPr>
            <w:tcW w:w="2898"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E4</w:t>
            </w:r>
          </w:p>
        </w:tc>
      </w:tr>
      <w:tr w:rsidR="008B1196" w:rsidRPr="00EB4D74" w:rsidTr="00EA30FC">
        <w:tc>
          <w:tcPr>
            <w:tcW w:w="2790"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Exchange Online Plano 1</w:t>
            </w:r>
          </w:p>
        </w:tc>
        <w:tc>
          <w:tcPr>
            <w:tcW w:w="2880"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Exchange Online Plano 2</w:t>
            </w:r>
          </w:p>
        </w:tc>
        <w:tc>
          <w:tcPr>
            <w:tcW w:w="2898"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Exchange Online Plano 2</w:t>
            </w:r>
          </w:p>
        </w:tc>
      </w:tr>
      <w:tr w:rsidR="008B1196" w:rsidRPr="00EB4D74" w:rsidTr="00EA30FC">
        <w:tc>
          <w:tcPr>
            <w:tcW w:w="2790"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SharePoint Online Plano 1</w:t>
            </w:r>
          </w:p>
        </w:tc>
        <w:tc>
          <w:tcPr>
            <w:tcW w:w="2880"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SharePoint Online Plano 2</w:t>
            </w:r>
          </w:p>
        </w:tc>
        <w:tc>
          <w:tcPr>
            <w:tcW w:w="2898"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SharePoint Online Plano 2</w:t>
            </w:r>
          </w:p>
        </w:tc>
      </w:tr>
      <w:tr w:rsidR="008B1196" w:rsidRPr="00EB4D74" w:rsidTr="00EA30FC">
        <w:tc>
          <w:tcPr>
            <w:tcW w:w="2790"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Lync Online Plano 2</w:t>
            </w:r>
          </w:p>
        </w:tc>
        <w:tc>
          <w:tcPr>
            <w:tcW w:w="2880"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Lync Online Plano 2</w:t>
            </w:r>
          </w:p>
        </w:tc>
        <w:tc>
          <w:tcPr>
            <w:tcW w:w="2898"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Lync Online Plano 2</w:t>
            </w:r>
          </w:p>
        </w:tc>
      </w:tr>
      <w:tr w:rsidR="008B1196" w:rsidRPr="00EB4D74" w:rsidTr="00EA30FC">
        <w:tc>
          <w:tcPr>
            <w:tcW w:w="2790"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Aplicativos da Web do Office (Hospedados pela Microsoft)</w:t>
            </w:r>
          </w:p>
        </w:tc>
        <w:tc>
          <w:tcPr>
            <w:tcW w:w="2880"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Aplicativos da Web do Office (Hospedados pela Microsoft)</w:t>
            </w:r>
          </w:p>
        </w:tc>
        <w:tc>
          <w:tcPr>
            <w:tcW w:w="2898"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Aplicativos da Web do Office (Hospedados pela Microsoft)</w:t>
            </w:r>
          </w:p>
        </w:tc>
      </w:tr>
      <w:tr w:rsidR="008B1196" w:rsidRPr="00EB4D74" w:rsidTr="00EA30FC">
        <w:tc>
          <w:tcPr>
            <w:tcW w:w="2790" w:type="dxa"/>
          </w:tcPr>
          <w:p w:rsidR="008B1196" w:rsidRPr="00EB4D74" w:rsidRDefault="008B1196" w:rsidP="00EA30FC">
            <w:pPr>
              <w:ind w:left="180" w:right="186"/>
              <w:rPr>
                <w:rFonts w:eastAsia="Times New Roman" w:cs="Tahoma"/>
                <w:color w:val="000000"/>
              </w:rPr>
            </w:pPr>
          </w:p>
        </w:tc>
        <w:tc>
          <w:tcPr>
            <w:tcW w:w="2880"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Assinatura do Office Professional Plus</w:t>
            </w:r>
          </w:p>
        </w:tc>
        <w:tc>
          <w:tcPr>
            <w:tcW w:w="2898"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Assinatura do Office Professional Plus</w:t>
            </w:r>
          </w:p>
        </w:tc>
      </w:tr>
    </w:tbl>
    <w:p w:rsidR="008B1196" w:rsidRPr="00EB4D74" w:rsidRDefault="008B1196" w:rsidP="008B1196">
      <w:pPr>
        <w:ind w:left="720"/>
        <w:rPr>
          <w:rFonts w:cs="Tahoma"/>
          <w:lang w:val="pt-BR"/>
        </w:rPr>
      </w:pPr>
      <w:r w:rsidRPr="00EB4D74">
        <w:rPr>
          <w:rFonts w:cs="Tahoma"/>
          <w:color w:val="000000"/>
          <w:lang w:val="pt-BR"/>
        </w:rPr>
        <w:lastRenderedPageBreak/>
        <w:t>Essa lista está sujeita a alterações. Os Direitos de Uso de Produto atuais prevalecerão caso haja conflitos entre os termos da licença do Office 365 Plano E2 - E4 e esta observação. Os direitos de acesso adicionais, se houver, a softwares locais licenciados separadamente estão especificados nos Direitos de Uso de Produto.</w:t>
      </w:r>
    </w:p>
    <w:p w:rsidR="008B1196" w:rsidRPr="00EB4D74" w:rsidRDefault="008B1196" w:rsidP="008B1196">
      <w:pPr>
        <w:ind w:left="720"/>
        <w:rPr>
          <w:rFonts w:cs="Tahoma"/>
          <w:lang w:val="pt-BR"/>
        </w:rPr>
      </w:pPr>
    </w:p>
    <w:p w:rsidR="008B1196" w:rsidRPr="00EB4D74" w:rsidRDefault="008B1196" w:rsidP="008B1196">
      <w:pPr>
        <w:pStyle w:val="FootnoteBulletLevel1"/>
        <w:tabs>
          <w:tab w:val="clear" w:pos="900"/>
        </w:tabs>
        <w:spacing w:before="0" w:after="0"/>
        <w:ind w:left="720" w:firstLine="0"/>
        <w:rPr>
          <w:rFonts w:ascii="Tahoma" w:hAnsi="Tahoma" w:cs="Tahoma"/>
          <w:lang w:val="pt-BR"/>
        </w:rPr>
      </w:pPr>
      <w:r w:rsidRPr="00EB4D74">
        <w:rPr>
          <w:rFonts w:ascii="Tahoma" w:hAnsi="Tahoma" w:cs="Tahoma"/>
          <w:color w:val="000000"/>
          <w:sz w:val="18"/>
          <w:szCs w:val="18"/>
          <w:lang w:val="pt-BR"/>
        </w:rPr>
        <w:t xml:space="preserve">O Lync Online Plano 1 e Plano 2 e Plan exigem a compra e instalação separada do Microsoft Lync 2010 (ou Lync for Mac 2011). Como oferta por tempo limitado, os clientes licenciados para o Lync Online receberão uma cópia licenciada gratuita do Lync 2010 (ou Lync for Mac 2011) com cada licença de avaliação ou licença de assinatura paga do Lync Online. </w:t>
      </w:r>
      <w:r w:rsidRPr="00EB4D74">
        <w:rPr>
          <w:rFonts w:ascii="Tahoma" w:hAnsi="Tahoma" w:cs="Tahoma"/>
          <w:color w:val="000000"/>
          <w:sz w:val="18"/>
          <w:lang w:val="pt-BR"/>
        </w:rPr>
        <w:t>O software só poderá ser usado com o Lync Online, e todos os direitos de uso do software se encerrarão ao término da licença de assinatura básica ou da migração para a próxima nova versão principal do Lync Online, o que ocorrer primeiro. Os clientes que ainda não tiverem migrado do Office Communications Online poderão usar o Office Communicator 2007 R2 de acordo com esta outorga de licença no lugar do Lync 2010 (ou Lync para Mac 2011).</w:t>
      </w:r>
    </w:p>
    <w:p w:rsidR="008B1196" w:rsidRPr="00EB4D74" w:rsidRDefault="008B1196" w:rsidP="008B1196">
      <w:pPr>
        <w:pStyle w:val="FootnoteBulletLevel1"/>
        <w:tabs>
          <w:tab w:val="clear" w:pos="900"/>
          <w:tab w:val="num" w:pos="1080"/>
        </w:tabs>
        <w:spacing w:before="0" w:after="0"/>
        <w:ind w:left="0" w:firstLine="0"/>
        <w:rPr>
          <w:rFonts w:ascii="Tahoma" w:hAnsi="Tahoma" w:cs="Tahoma"/>
          <w:lang w:val="pt-BR"/>
        </w:rPr>
      </w:pPr>
    </w:p>
    <w:p w:rsidR="008B1196" w:rsidRPr="00EB4D74" w:rsidRDefault="008B1196" w:rsidP="008B1196">
      <w:pPr>
        <w:pStyle w:val="FootnoteBulletLevel1"/>
        <w:tabs>
          <w:tab w:val="clear" w:pos="900"/>
          <w:tab w:val="num" w:pos="1080"/>
        </w:tabs>
        <w:spacing w:before="0" w:after="0"/>
        <w:ind w:left="0" w:firstLine="0"/>
        <w:rPr>
          <w:rFonts w:ascii="Tahoma" w:hAnsi="Tahoma" w:cs="Tahoma"/>
          <w:lang w:val="pt-BR"/>
        </w:rPr>
      </w:pPr>
    </w:p>
    <w:p w:rsidR="008B1196" w:rsidRPr="00EB4D74" w:rsidRDefault="008B1196" w:rsidP="008B1196">
      <w:pPr>
        <w:pStyle w:val="Heading3"/>
        <w:rPr>
          <w:rFonts w:ascii="Tahoma" w:hAnsi="Tahoma" w:cs="Tahoma"/>
        </w:rPr>
      </w:pPr>
      <w:bookmarkStart w:id="1076" w:name="_Toc336338264"/>
      <w:bookmarkStart w:id="1077" w:name="Srv_4OfficeMacStandard2011"/>
      <w:bookmarkStart w:id="1078" w:name="_Toc342914900"/>
      <w:bookmarkEnd w:id="1076"/>
      <w:bookmarkEnd w:id="1077"/>
      <w:r w:rsidRPr="00EB4D74">
        <w:rPr>
          <w:rFonts w:ascii="Tahoma" w:hAnsi="Tahoma" w:cs="Tahoma"/>
          <w:caps/>
          <w:color w:val="F66400"/>
          <w:sz w:val="22"/>
          <w:vertAlign w:val="superscript"/>
          <w:lang w:val="pt-BR"/>
        </w:rPr>
        <w:t xml:space="preserve">7 </w:t>
      </w:r>
      <w:r w:rsidRPr="00EB4D74">
        <w:rPr>
          <w:rFonts w:ascii="Tahoma" w:hAnsi="Tahoma" w:cs="Tahoma"/>
          <w:color w:val="F66400"/>
          <w:sz w:val="22"/>
          <w:lang w:val="pt-BR"/>
        </w:rPr>
        <w:t>Office para Mac Standard 2011</w:t>
      </w:r>
      <w:bookmarkEnd w:id="1078"/>
    </w:p>
    <w:p w:rsidR="008B1196" w:rsidRPr="00EB4D74" w:rsidRDefault="008B1196" w:rsidP="008B1196">
      <w:pPr>
        <w:rPr>
          <w:rFonts w:cs="Tahoma"/>
        </w:rPr>
      </w:pPr>
    </w:p>
    <w:p w:rsidR="008B1196" w:rsidRPr="00EB4D74" w:rsidRDefault="008B1196" w:rsidP="008B1196">
      <w:pPr>
        <w:pStyle w:val="EndnoteText"/>
        <w:numPr>
          <w:ilvl w:val="0"/>
          <w:numId w:val="65"/>
        </w:numPr>
        <w:ind w:left="990"/>
        <w:rPr>
          <w:rFonts w:ascii="Tahoma" w:hAnsi="Tahoma" w:cs="Tahoma"/>
        </w:rPr>
      </w:pPr>
      <w:r w:rsidRPr="00EB4D74">
        <w:rPr>
          <w:rFonts w:ascii="Tahoma" w:hAnsi="Tahoma" w:cs="Tahoma"/>
          <w:sz w:val="18"/>
        </w:rPr>
        <w:t>Licença WAH (Work at Home) disponível para Clientes Select e Select Plus</w:t>
      </w:r>
    </w:p>
    <w:p w:rsidR="008B1196" w:rsidRPr="00EB4D74" w:rsidRDefault="008B1196" w:rsidP="008B1196">
      <w:pPr>
        <w:adjustRightInd w:val="0"/>
        <w:ind w:left="720"/>
        <w:textAlignment w:val="baseline"/>
        <w:rPr>
          <w:rFonts w:cs="Tahoma"/>
        </w:rPr>
      </w:pPr>
    </w:p>
    <w:p w:rsidR="008B1196" w:rsidRPr="00EB4D74" w:rsidRDefault="008B1196" w:rsidP="008B1196">
      <w:pPr>
        <w:spacing w:after="60"/>
        <w:ind w:left="720"/>
        <w:rPr>
          <w:rFonts w:cs="Tahoma"/>
        </w:rPr>
      </w:pPr>
      <w:r w:rsidRPr="00EB4D74">
        <w:rPr>
          <w:rFonts w:cs="Tahoma"/>
          <w:b/>
          <w:lang w:val="pt-BR"/>
        </w:rPr>
        <w:t>Office para Mac Standard 2011</w:t>
      </w:r>
    </w:p>
    <w:p w:rsidR="008B1196" w:rsidRPr="00EB4D74" w:rsidRDefault="008B1196" w:rsidP="008B1196">
      <w:pPr>
        <w:spacing w:after="60"/>
        <w:ind w:left="720"/>
        <w:rPr>
          <w:rFonts w:cs="Tahoma"/>
        </w:rPr>
      </w:pPr>
      <w:r w:rsidRPr="00EB4D74">
        <w:rPr>
          <w:rFonts w:cs="Tahoma"/>
          <w:lang w:val="pt-BR"/>
        </w:rPr>
        <w:t>A Licença do Office para Mac Standard 2011 consiste no seguinte: Lync para Mac 2011, Excel para Mac 2011, Outlook para Mac 2011, Office Home and Student RT 2013 – Uso Comercial, Office Web Apps 2010, PowerPoint para Mac 2011 e Word para Mac 2011.</w:t>
      </w:r>
    </w:p>
    <w:p w:rsidR="008B1196" w:rsidRPr="00EB4D74" w:rsidRDefault="008B1196" w:rsidP="008B1196">
      <w:pPr>
        <w:adjustRightInd w:val="0"/>
        <w:ind w:left="720"/>
        <w:textAlignment w:val="baseline"/>
        <w:rPr>
          <w:rFonts w:cs="Tahoma"/>
        </w:rPr>
      </w:pPr>
    </w:p>
    <w:p w:rsidR="008B1196" w:rsidRPr="00EB4D74" w:rsidRDefault="008B1196" w:rsidP="008B1196">
      <w:pPr>
        <w:spacing w:after="60"/>
        <w:ind w:left="720"/>
        <w:rPr>
          <w:rFonts w:cs="Tahoma"/>
          <w:lang w:val="it-IT"/>
        </w:rPr>
      </w:pPr>
      <w:r w:rsidRPr="00EB4D74">
        <w:rPr>
          <w:rFonts w:cs="Tahoma"/>
          <w:b/>
          <w:lang w:val="pt-BR"/>
        </w:rPr>
        <w:t>Incapacidade de Separar o Microsoft Office para Mac Standard 2011</w:t>
      </w:r>
    </w:p>
    <w:p w:rsidR="008B1196" w:rsidRPr="00EB4D74" w:rsidRDefault="008B1196" w:rsidP="008B1196">
      <w:pPr>
        <w:spacing w:after="60"/>
        <w:ind w:left="720"/>
        <w:rPr>
          <w:rFonts w:cs="Tahoma"/>
          <w:lang w:val="it-IT"/>
        </w:rPr>
      </w:pPr>
      <w:r w:rsidRPr="00EB4D74">
        <w:rPr>
          <w:rFonts w:cs="Tahoma"/>
          <w:lang w:val="pt-BR"/>
        </w:rPr>
        <w:t>O Office para Mac Standard 2011 consiste em mais de um produto oferecido sob uma única licença. O software não deverá ser separado para uso em mais de um computador.</w:t>
      </w:r>
    </w:p>
    <w:p w:rsidR="008B1196" w:rsidRPr="00EB4D74" w:rsidRDefault="008B1196" w:rsidP="008B1196">
      <w:pPr>
        <w:adjustRightInd w:val="0"/>
        <w:ind w:left="720"/>
        <w:textAlignment w:val="baseline"/>
        <w:rPr>
          <w:rFonts w:cs="Tahoma"/>
          <w:lang w:val="it-IT"/>
        </w:rPr>
      </w:pPr>
    </w:p>
    <w:p w:rsidR="008B1196" w:rsidRPr="00EB4D74" w:rsidRDefault="008B1196" w:rsidP="008B1196">
      <w:pPr>
        <w:spacing w:after="60"/>
        <w:ind w:left="720"/>
        <w:rPr>
          <w:rFonts w:cs="Tahoma"/>
          <w:lang w:val="it-IT"/>
        </w:rPr>
      </w:pPr>
      <w:r w:rsidRPr="00EB4D74">
        <w:rPr>
          <w:rFonts w:cs="Tahoma"/>
          <w:b/>
          <w:lang w:val="pt-BR"/>
        </w:rPr>
        <w:t>Direitos de Uso do Lync para Mac 2011</w:t>
      </w:r>
    </w:p>
    <w:p w:rsidR="008B1196" w:rsidRPr="00EB4D74" w:rsidRDefault="008B1196" w:rsidP="008B1196">
      <w:pPr>
        <w:adjustRightInd w:val="0"/>
        <w:ind w:left="720"/>
        <w:textAlignment w:val="baseline"/>
        <w:rPr>
          <w:rFonts w:cs="Tahoma"/>
          <w:lang w:val="pt-BR"/>
        </w:rPr>
      </w:pPr>
      <w:r w:rsidRPr="00EB4D74">
        <w:rPr>
          <w:rFonts w:cs="Tahoma"/>
          <w:lang w:val="pt-BR"/>
        </w:rPr>
        <w:t>Os clientes que comprarem o Office para Mac Standard 2011 em ou depois de 1º de outubro de 2011 terão um pacote Office que inclui o Lync para 2011 em vez do Communicator para Mac 2011. Os clientes com cobertura do Software Assurance do Office para Mac Standard 2011 em ou depois de 1º de outubro de 2011 podem usar o Communicator para Mac 2011 ou atualizar para Lync para Mac 2011.</w:t>
      </w:r>
    </w:p>
    <w:p w:rsidR="008B1196" w:rsidRPr="00EB4D74" w:rsidRDefault="008B1196" w:rsidP="008B1196">
      <w:pPr>
        <w:rPr>
          <w:rFonts w:cs="Tahoma"/>
          <w:lang w:val="pt-BR"/>
        </w:rPr>
      </w:pPr>
    </w:p>
    <w:p w:rsidR="008B1196" w:rsidRPr="00EB4D74" w:rsidRDefault="008B1196" w:rsidP="008B1196">
      <w:pPr>
        <w:rPr>
          <w:rFonts w:cs="Tahoma"/>
          <w:lang w:val="pt-BR"/>
        </w:rPr>
      </w:pPr>
      <w:bookmarkStart w:id="1079" w:name="_Toc336338265"/>
    </w:p>
    <w:p w:rsidR="008B1196" w:rsidRPr="00EB4D74" w:rsidRDefault="008B1196" w:rsidP="008B1196">
      <w:pPr>
        <w:pStyle w:val="Heading3"/>
        <w:rPr>
          <w:rFonts w:ascii="Tahoma" w:hAnsi="Tahoma" w:cs="Tahoma"/>
          <w:lang w:val="it-IT"/>
        </w:rPr>
      </w:pPr>
      <w:bookmarkStart w:id="1080" w:name="_5_Office_Multi-Language"/>
      <w:bookmarkStart w:id="1081" w:name="_7_Office_Multi-Language"/>
      <w:bookmarkStart w:id="1082" w:name="Aps_8OffMultiLangPack07"/>
      <w:bookmarkStart w:id="1083" w:name="Aps_6OfficeMultiLangPack2010"/>
      <w:bookmarkStart w:id="1084" w:name="Aps_5OfficeMultiLangPack2010"/>
      <w:bookmarkStart w:id="1085" w:name="_Toc340680152"/>
      <w:bookmarkStart w:id="1086" w:name="_Toc342914901"/>
      <w:bookmarkEnd w:id="1079"/>
      <w:bookmarkEnd w:id="1080"/>
      <w:bookmarkEnd w:id="1081"/>
      <w:bookmarkEnd w:id="1082"/>
      <w:bookmarkEnd w:id="1083"/>
      <w:bookmarkEnd w:id="1084"/>
      <w:r w:rsidRPr="00EB4D74">
        <w:rPr>
          <w:rFonts w:ascii="Tahoma" w:hAnsi="Tahoma" w:cs="Tahoma"/>
          <w:caps/>
          <w:color w:val="F66400"/>
          <w:sz w:val="22"/>
          <w:vertAlign w:val="superscript"/>
          <w:lang w:val="pt-BR"/>
        </w:rPr>
        <w:t>8</w:t>
      </w:r>
      <w:r w:rsidRPr="00EB4D74">
        <w:rPr>
          <w:rFonts w:ascii="Tahoma" w:hAnsi="Tahoma" w:cs="Tahoma"/>
          <w:caps/>
          <w:color w:val="F66400"/>
          <w:sz w:val="22"/>
          <w:lang w:val="pt-BR"/>
        </w:rPr>
        <w:t xml:space="preserve"> </w:t>
      </w:r>
      <w:r w:rsidRPr="00EB4D74">
        <w:rPr>
          <w:rFonts w:ascii="Tahoma" w:hAnsi="Tahoma" w:cs="Tahoma"/>
          <w:color w:val="F66400"/>
          <w:sz w:val="22"/>
          <w:lang w:val="pt-BR"/>
        </w:rPr>
        <w:t>Pacote Multilíngue Do Office 2013</w:t>
      </w:r>
      <w:bookmarkEnd w:id="1085"/>
      <w:bookmarkEnd w:id="1086"/>
    </w:p>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r w:rsidRPr="00EB4D74">
        <w:rPr>
          <w:rFonts w:cs="Tahoma"/>
          <w:b/>
          <w:lang w:val="pt-BR"/>
        </w:rPr>
        <w:t>Direito de Downgrade para o Pacote</w:t>
      </w:r>
      <w:r w:rsidRPr="00EB4D74">
        <w:rPr>
          <w:rFonts w:cs="Tahoma"/>
          <w:b/>
          <w:szCs w:val="20"/>
          <w:lang w:val="it-IT"/>
        </w:rPr>
        <w:t>-</w:t>
      </w:r>
      <w:r w:rsidRPr="00EB4D74">
        <w:rPr>
          <w:rFonts w:cs="Tahoma"/>
          <w:b/>
          <w:lang w:val="pt-BR"/>
        </w:rPr>
        <w:t>Multilíngue do Office 2013</w:t>
      </w:r>
    </w:p>
    <w:p w:rsidR="008B1196" w:rsidRPr="00EB4D74" w:rsidRDefault="008B1196" w:rsidP="008B1196">
      <w:pPr>
        <w:ind w:left="720"/>
        <w:rPr>
          <w:rFonts w:cs="Tahoma"/>
          <w:lang w:val="it-IT"/>
        </w:rPr>
      </w:pPr>
      <w:r w:rsidRPr="00EB4D74">
        <w:rPr>
          <w:rFonts w:cs="Tahoma"/>
          <w:lang w:val="pt-BR"/>
        </w:rPr>
        <w:t>Os clientes de licenças por volume com uma licença do Pacote Multilíngue do Office 2013 e uma licença de qualquer um dos seguintes:</w:t>
      </w:r>
    </w:p>
    <w:p w:rsidR="008B1196" w:rsidRPr="00EB4D74" w:rsidRDefault="008B1196" w:rsidP="008B1196">
      <w:pPr>
        <w:ind w:left="900"/>
        <w:rPr>
          <w:rFonts w:cs="Tahoma"/>
          <w:lang w:val="it-IT"/>
        </w:rPr>
      </w:pPr>
    </w:p>
    <w:p w:rsidR="008B1196" w:rsidRPr="00EB4D74" w:rsidRDefault="008B1196" w:rsidP="008B1196">
      <w:pPr>
        <w:numPr>
          <w:ilvl w:val="0"/>
          <w:numId w:val="16"/>
        </w:numPr>
        <w:spacing w:after="60"/>
        <w:ind w:left="1440"/>
        <w:rPr>
          <w:rFonts w:cs="Tahoma"/>
        </w:rPr>
      </w:pPr>
      <w:r w:rsidRPr="00EB4D74">
        <w:rPr>
          <w:rFonts w:cs="Tahoma"/>
          <w:lang w:val="pt-BR"/>
        </w:rPr>
        <w:t>Office Standard 2013</w:t>
      </w:r>
    </w:p>
    <w:p w:rsidR="008B1196" w:rsidRPr="00EB4D74" w:rsidRDefault="008B1196" w:rsidP="008B1196">
      <w:pPr>
        <w:numPr>
          <w:ilvl w:val="0"/>
          <w:numId w:val="16"/>
        </w:numPr>
        <w:spacing w:after="60"/>
        <w:ind w:left="1440"/>
        <w:rPr>
          <w:rFonts w:cs="Tahoma"/>
        </w:rPr>
      </w:pPr>
      <w:r w:rsidRPr="00EB4D74">
        <w:rPr>
          <w:rFonts w:cs="Tahoma"/>
          <w:lang w:val="pt-BR"/>
        </w:rPr>
        <w:t>Office Professional Plus 2013</w:t>
      </w:r>
    </w:p>
    <w:p w:rsidR="008B1196" w:rsidRPr="00EB4D74" w:rsidRDefault="008B1196" w:rsidP="008B1196">
      <w:pPr>
        <w:numPr>
          <w:ilvl w:val="0"/>
          <w:numId w:val="16"/>
        </w:numPr>
        <w:spacing w:after="60"/>
        <w:ind w:left="1440"/>
        <w:rPr>
          <w:rFonts w:cs="Tahoma"/>
        </w:rPr>
      </w:pPr>
      <w:r w:rsidRPr="00EB4D74">
        <w:rPr>
          <w:rFonts w:cs="Tahoma"/>
          <w:lang w:val="pt-BR"/>
        </w:rPr>
        <w:t>Project Standard 2013</w:t>
      </w:r>
    </w:p>
    <w:p w:rsidR="008B1196" w:rsidRPr="00EB4D74" w:rsidRDefault="008B1196" w:rsidP="008B1196">
      <w:pPr>
        <w:numPr>
          <w:ilvl w:val="0"/>
          <w:numId w:val="16"/>
        </w:numPr>
        <w:spacing w:after="60"/>
        <w:ind w:left="1440"/>
        <w:rPr>
          <w:rFonts w:cs="Tahoma"/>
        </w:rPr>
      </w:pPr>
      <w:r w:rsidRPr="00EB4D74">
        <w:rPr>
          <w:rFonts w:cs="Tahoma"/>
          <w:lang w:val="pt-BR"/>
        </w:rPr>
        <w:t>Project Professional 2013</w:t>
      </w:r>
    </w:p>
    <w:p w:rsidR="008B1196" w:rsidRPr="00EB4D74" w:rsidRDefault="008B1196" w:rsidP="008B1196">
      <w:pPr>
        <w:numPr>
          <w:ilvl w:val="0"/>
          <w:numId w:val="16"/>
        </w:numPr>
        <w:spacing w:after="60"/>
        <w:ind w:left="1440"/>
        <w:rPr>
          <w:rFonts w:cs="Tahoma"/>
        </w:rPr>
      </w:pPr>
      <w:r w:rsidRPr="00EB4D74">
        <w:rPr>
          <w:rFonts w:cs="Tahoma"/>
          <w:lang w:val="pt-BR"/>
        </w:rPr>
        <w:t>Visio Standard 2013</w:t>
      </w:r>
    </w:p>
    <w:p w:rsidR="008B1196" w:rsidRPr="00EB4D74" w:rsidRDefault="008B1196" w:rsidP="008B1196">
      <w:pPr>
        <w:numPr>
          <w:ilvl w:val="0"/>
          <w:numId w:val="16"/>
        </w:numPr>
        <w:spacing w:after="60"/>
        <w:ind w:left="1440"/>
        <w:rPr>
          <w:rFonts w:cs="Tahoma"/>
        </w:rPr>
      </w:pPr>
      <w:r w:rsidRPr="00EB4D74">
        <w:rPr>
          <w:rFonts w:cs="Tahoma"/>
          <w:lang w:val="pt-BR"/>
        </w:rPr>
        <w:t>Visio Professional 3013</w:t>
      </w:r>
    </w:p>
    <w:p w:rsidR="008B1196" w:rsidRPr="00EB4D74" w:rsidRDefault="008B1196" w:rsidP="008B1196">
      <w:pPr>
        <w:ind w:left="1260"/>
        <w:rPr>
          <w:rFonts w:cs="Tahoma"/>
        </w:rPr>
      </w:pPr>
    </w:p>
    <w:p w:rsidR="008B1196" w:rsidRPr="00EB4D74" w:rsidRDefault="008B1196" w:rsidP="008B1196">
      <w:pPr>
        <w:ind w:left="720"/>
        <w:rPr>
          <w:rFonts w:cs="Tahoma"/>
          <w:lang w:val="it-IT"/>
        </w:rPr>
      </w:pPr>
      <w:r w:rsidRPr="00EB4D74">
        <w:rPr>
          <w:rFonts w:cs="Tahoma"/>
          <w:lang w:val="pt-BR"/>
        </w:rPr>
        <w:t>estão qualificados a usar a versão em inglês/multilíngue de uma versão com downgrade do produto, em vez da versão licenciada</w:t>
      </w:r>
      <w:r w:rsidRPr="00EB4D74">
        <w:rPr>
          <w:rFonts w:cs="Tahoma"/>
          <w:i/>
          <w:lang w:val="pt-BR"/>
        </w:rPr>
        <w:t xml:space="preserve">. </w:t>
      </w:r>
      <w:r w:rsidRPr="00EB4D74">
        <w:rPr>
          <w:rFonts w:cs="Tahoma"/>
          <w:lang w:val="pt-BR"/>
        </w:rPr>
        <w:t>O uso da versão com downgrade do produto está sujeito aos direitos de uso da versão 2013 do produto. Esses direitos terminam quando os direitos dos clientes para o Pacote Multilíngue do Office 2013 ou um dos produtos da versão 2013 listados acima terminarem.</w:t>
      </w:r>
    </w:p>
    <w:p w:rsidR="008B1196" w:rsidRPr="00EB4D74" w:rsidRDefault="008B1196" w:rsidP="008B1196">
      <w:pPr>
        <w:pStyle w:val="Heading3"/>
        <w:rPr>
          <w:rFonts w:ascii="Tahoma" w:hAnsi="Tahoma" w:cs="Tahoma"/>
          <w:lang w:val="it-IT"/>
        </w:rPr>
      </w:pPr>
      <w:bookmarkStart w:id="1087" w:name="_Toc336338266"/>
      <w:bookmarkStart w:id="1088" w:name="Aps_9OffProPlus07forWin"/>
      <w:bookmarkStart w:id="1089" w:name="Aps_7OfficeProPlus2010"/>
      <w:bookmarkStart w:id="1090" w:name="Aps_6OfficeProPlus2010"/>
    </w:p>
    <w:p w:rsidR="008B1196" w:rsidRPr="00EB4D74" w:rsidRDefault="008B1196" w:rsidP="008B1196">
      <w:pPr>
        <w:pStyle w:val="Heading3"/>
        <w:rPr>
          <w:rFonts w:ascii="Tahoma" w:hAnsi="Tahoma" w:cs="Tahoma"/>
          <w:lang w:val="it-IT"/>
        </w:rPr>
      </w:pPr>
    </w:p>
    <w:p w:rsidR="008B1196" w:rsidRPr="00EB4D74" w:rsidRDefault="008B1196" w:rsidP="008B1196">
      <w:pPr>
        <w:pStyle w:val="Heading3"/>
        <w:rPr>
          <w:rFonts w:ascii="Tahoma" w:hAnsi="Tahoma" w:cs="Tahoma"/>
        </w:rPr>
      </w:pPr>
      <w:bookmarkStart w:id="1091" w:name="_9_Office_Professional"/>
      <w:bookmarkStart w:id="1092" w:name="_Toc342914902"/>
      <w:bookmarkEnd w:id="1087"/>
      <w:bookmarkEnd w:id="1091"/>
      <w:r w:rsidRPr="00EB4D74">
        <w:rPr>
          <w:rFonts w:ascii="Tahoma" w:hAnsi="Tahoma" w:cs="Tahoma"/>
          <w:caps/>
          <w:color w:val="F66400"/>
          <w:sz w:val="22"/>
          <w:vertAlign w:val="superscript"/>
          <w:lang w:val="pt-BR"/>
        </w:rPr>
        <w:lastRenderedPageBreak/>
        <w:t>9</w:t>
      </w:r>
      <w:r w:rsidRPr="00EB4D74">
        <w:rPr>
          <w:rFonts w:ascii="Tahoma" w:hAnsi="Tahoma" w:cs="Tahoma"/>
          <w:color w:val="F66400"/>
          <w:sz w:val="22"/>
          <w:lang w:val="pt-BR"/>
        </w:rPr>
        <w:t xml:space="preserve"> Office Professional Plus 2013</w:t>
      </w:r>
      <w:bookmarkEnd w:id="1092"/>
    </w:p>
    <w:bookmarkEnd w:id="1088"/>
    <w:bookmarkEnd w:id="1089"/>
    <w:bookmarkEnd w:id="1090"/>
    <w:p w:rsidR="008B1196" w:rsidRPr="00EB4D74" w:rsidRDefault="008B1196" w:rsidP="008B1196">
      <w:pPr>
        <w:rPr>
          <w:rFonts w:cs="Tahoma"/>
        </w:rPr>
      </w:pPr>
    </w:p>
    <w:p w:rsidR="008B1196" w:rsidRPr="00EB4D74" w:rsidRDefault="008B1196" w:rsidP="008B1196">
      <w:pPr>
        <w:pStyle w:val="EndnoteText"/>
        <w:numPr>
          <w:ilvl w:val="0"/>
          <w:numId w:val="65"/>
        </w:numPr>
        <w:ind w:left="1080"/>
        <w:rPr>
          <w:rFonts w:ascii="Tahoma" w:hAnsi="Tahoma" w:cs="Tahoma"/>
        </w:rPr>
      </w:pPr>
      <w:r w:rsidRPr="00EB4D74">
        <w:rPr>
          <w:rFonts w:ascii="Tahoma" w:hAnsi="Tahoma" w:cs="Tahoma"/>
          <w:sz w:val="18"/>
        </w:rPr>
        <w:t>Licença WAH (Work at Home) disponível para Clientes Select e Select Plus</w:t>
      </w:r>
    </w:p>
    <w:p w:rsidR="008B1196" w:rsidRPr="00EB4D74" w:rsidRDefault="008B1196" w:rsidP="008B1196">
      <w:pPr>
        <w:pStyle w:val="EndnoteText"/>
        <w:numPr>
          <w:ilvl w:val="0"/>
          <w:numId w:val="65"/>
        </w:numPr>
        <w:ind w:left="1080"/>
        <w:rPr>
          <w:rFonts w:ascii="Tahoma" w:hAnsi="Tahoma" w:cs="Tahoma"/>
        </w:rPr>
      </w:pPr>
      <w:r w:rsidRPr="00EB4D74">
        <w:rPr>
          <w:rFonts w:ascii="Tahoma" w:hAnsi="Tahoma" w:cs="Tahoma"/>
          <w:sz w:val="18"/>
        </w:rPr>
        <w:t>Licença WAH (Work at Home) disponível para Clientes do Contrato Enterprise</w:t>
      </w:r>
    </w:p>
    <w:p w:rsidR="008B1196" w:rsidRPr="00EB4D74" w:rsidRDefault="008B1196" w:rsidP="008B1196">
      <w:pPr>
        <w:pStyle w:val="FootnoteBulletLevel1"/>
        <w:tabs>
          <w:tab w:val="clear" w:pos="900"/>
        </w:tabs>
        <w:spacing w:before="0" w:after="0"/>
        <w:ind w:left="720" w:firstLine="0"/>
        <w:rPr>
          <w:rFonts w:ascii="Tahoma" w:hAnsi="Tahoma" w:cs="Tahoma"/>
        </w:rPr>
      </w:pPr>
    </w:p>
    <w:p w:rsidR="008B1196" w:rsidRPr="00EB4D74" w:rsidRDefault="008B1196" w:rsidP="008B1196">
      <w:pPr>
        <w:spacing w:after="60"/>
        <w:ind w:left="720"/>
        <w:rPr>
          <w:rFonts w:cs="Tahoma"/>
        </w:rPr>
      </w:pPr>
      <w:r w:rsidRPr="00EB4D74">
        <w:rPr>
          <w:rFonts w:cs="Tahoma"/>
          <w:b/>
          <w:lang w:val="pt-BR"/>
        </w:rPr>
        <w:t>Office Professional Plus 2013</w:t>
      </w:r>
    </w:p>
    <w:p w:rsidR="008B1196" w:rsidRPr="00EB4D74" w:rsidRDefault="008B1196" w:rsidP="008B1196">
      <w:pPr>
        <w:spacing w:after="60"/>
        <w:ind w:left="720"/>
        <w:rPr>
          <w:rFonts w:cs="Tahoma"/>
        </w:rPr>
      </w:pPr>
      <w:r w:rsidRPr="00EB4D74">
        <w:rPr>
          <w:rFonts w:cs="Tahoma"/>
          <w:lang w:val="pt-BR"/>
        </w:rPr>
        <w:t>A Licença para Office Professional Plus 2013 consiste no seguinte: Access 2013, Lync 2013, Excel 2013, InfoPath 2013, OneNote 2013, Outlook 2013, Office Home and Student RT 2013 – Uso Comercial</w:t>
      </w:r>
      <w:r>
        <w:rPr>
          <w:rFonts w:cs="Tahoma"/>
          <w:lang w:val="pt-BR"/>
        </w:rPr>
        <w:t>,</w:t>
      </w:r>
      <w:r w:rsidRPr="00EB4D74">
        <w:rPr>
          <w:rFonts w:cs="Tahoma"/>
          <w:lang w:val="pt-BR"/>
        </w:rPr>
        <w:t xml:space="preserve"> Office Web Apps, PowerPoint 2013, Publisher 2013 e Word 2013.</w:t>
      </w:r>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lang w:val="pt-BR"/>
        </w:rPr>
        <w:t>Incapacidade de Separar o Office Professional Plus 2013</w:t>
      </w:r>
    </w:p>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sz w:val="18"/>
          <w:lang w:val="pt-BR"/>
        </w:rPr>
        <w:t>O Microsoft Office Professional Plus 2013 consiste em mais de um produto oferecido sob uma única licença. O software não deverá ser separado para uso em mais de um computador.</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Contrato para Campus e School</w:t>
      </w:r>
    </w:p>
    <w:p w:rsidR="008B1196" w:rsidRPr="00EB4D74" w:rsidRDefault="008B1196" w:rsidP="008B1196">
      <w:pPr>
        <w:ind w:left="720"/>
        <w:rPr>
          <w:rFonts w:cs="Tahoma"/>
        </w:rPr>
      </w:pPr>
      <w:r w:rsidRPr="00EB4D74">
        <w:rPr>
          <w:rFonts w:cs="Tahoma"/>
          <w:color w:val="000000"/>
          <w:lang w:val="pt-BR"/>
        </w:rPr>
        <w:t>As Instituições com USL de Assinatura do Office Professional Plus atribuídas a todo o corpo docente e funcionários poderão instalar o software Office Professional Plus 2013 em qualquer laboratório de acesso aberto ou biblioteca da Organização da Instituição. O uso do software está sujeito aos termos de licença para o Office Pro Plus 2013.</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093" w:name="Aps_OfficeStandard2010"/>
      <w:bookmarkStart w:id="1094" w:name="_Toc254806115"/>
      <w:bookmarkStart w:id="1095" w:name="_Toc328146032"/>
      <w:bookmarkStart w:id="1096" w:name="_Toc342914903"/>
      <w:bookmarkStart w:id="1097" w:name="Aps_7OfficeStandard2010"/>
      <w:bookmarkStart w:id="1098" w:name="_Toc336338268"/>
      <w:bookmarkEnd w:id="1093"/>
      <w:bookmarkEnd w:id="1094"/>
      <w:bookmarkEnd w:id="1095"/>
      <w:r w:rsidRPr="00EB4D74">
        <w:rPr>
          <w:rFonts w:ascii="Tahoma" w:hAnsi="Tahoma" w:cs="Tahoma"/>
          <w:caps/>
          <w:color w:val="F66400"/>
          <w:sz w:val="22"/>
          <w:vertAlign w:val="superscript"/>
          <w:lang w:val="pt-BR"/>
        </w:rPr>
        <w:t>10</w:t>
      </w:r>
      <w:r w:rsidRPr="00EB4D74">
        <w:rPr>
          <w:rFonts w:ascii="Tahoma" w:hAnsi="Tahoma" w:cs="Tahoma"/>
          <w:color w:val="F66400"/>
          <w:sz w:val="22"/>
          <w:lang w:val="pt-BR"/>
        </w:rPr>
        <w:t xml:space="preserve"> Office Standard 2013</w:t>
      </w:r>
      <w:bookmarkEnd w:id="1096"/>
    </w:p>
    <w:bookmarkEnd w:id="1097"/>
    <w:p w:rsidR="008B1196" w:rsidRPr="00EB4D74" w:rsidRDefault="008B1196" w:rsidP="008B1196">
      <w:pPr>
        <w:rPr>
          <w:rFonts w:cs="Tahoma"/>
        </w:rPr>
      </w:pPr>
    </w:p>
    <w:p w:rsidR="008B1196" w:rsidRPr="00EB4D74" w:rsidRDefault="008B1196" w:rsidP="008B1196">
      <w:pPr>
        <w:pStyle w:val="EndnoteText"/>
        <w:numPr>
          <w:ilvl w:val="3"/>
          <w:numId w:val="53"/>
        </w:numPr>
        <w:ind w:left="990"/>
        <w:rPr>
          <w:rFonts w:ascii="Tahoma" w:hAnsi="Tahoma" w:cs="Tahoma"/>
          <w:sz w:val="18"/>
          <w:szCs w:val="18"/>
        </w:rPr>
      </w:pPr>
      <w:r w:rsidRPr="00EB4D74">
        <w:rPr>
          <w:rFonts w:ascii="Tahoma" w:hAnsi="Tahoma" w:cs="Tahoma"/>
          <w:sz w:val="18"/>
          <w:szCs w:val="18"/>
        </w:rPr>
        <w:t xml:space="preserve">Licença WAH (Work at Home) disponível para Clientes Select e Select Plus </w:t>
      </w:r>
    </w:p>
    <w:p w:rsidR="008B1196" w:rsidRPr="00EB4D74" w:rsidRDefault="008B1196" w:rsidP="008B1196">
      <w:pPr>
        <w:pStyle w:val="EndnoteText"/>
        <w:numPr>
          <w:ilvl w:val="3"/>
          <w:numId w:val="53"/>
        </w:numPr>
        <w:ind w:left="990"/>
        <w:rPr>
          <w:rFonts w:ascii="Tahoma" w:hAnsi="Tahoma" w:cs="Tahoma"/>
        </w:rPr>
      </w:pPr>
      <w:r w:rsidRPr="00EB4D74">
        <w:rPr>
          <w:rFonts w:ascii="Tahoma" w:hAnsi="Tahoma" w:cs="Tahoma"/>
          <w:sz w:val="18"/>
        </w:rPr>
        <w:t>Licença WAH (Work at Home) disponível para Clientes do Contrato Enterprise</w:t>
      </w:r>
    </w:p>
    <w:p w:rsidR="008B1196" w:rsidRPr="00EB4D74" w:rsidRDefault="008B1196" w:rsidP="008B1196">
      <w:pPr>
        <w:pStyle w:val="FootnoteBulletLevel1"/>
        <w:tabs>
          <w:tab w:val="clear" w:pos="900"/>
        </w:tabs>
        <w:spacing w:before="0" w:after="0"/>
        <w:ind w:left="720" w:firstLine="0"/>
        <w:rPr>
          <w:rFonts w:ascii="Tahoma" w:hAnsi="Tahoma" w:cs="Tahoma"/>
        </w:rPr>
      </w:pPr>
    </w:p>
    <w:p w:rsidR="008B1196" w:rsidRPr="00EB4D74" w:rsidRDefault="008B1196" w:rsidP="008B1196">
      <w:pPr>
        <w:spacing w:after="60"/>
        <w:ind w:left="720"/>
        <w:rPr>
          <w:rFonts w:cs="Tahoma"/>
        </w:rPr>
      </w:pPr>
      <w:r w:rsidRPr="00EB4D74">
        <w:rPr>
          <w:rFonts w:cs="Tahoma"/>
          <w:b/>
          <w:lang w:val="pt-BR"/>
        </w:rPr>
        <w:t>Office Standard 2013</w:t>
      </w:r>
    </w:p>
    <w:p w:rsidR="008B1196" w:rsidRPr="00EB4D74" w:rsidRDefault="008B1196" w:rsidP="008B1196">
      <w:pPr>
        <w:pStyle w:val="FootnoteBulletLevel1"/>
        <w:tabs>
          <w:tab w:val="clear" w:pos="900"/>
        </w:tabs>
        <w:spacing w:before="0" w:after="0"/>
        <w:ind w:left="720" w:firstLine="0"/>
        <w:rPr>
          <w:rFonts w:ascii="Tahoma" w:hAnsi="Tahoma" w:cs="Tahoma"/>
        </w:rPr>
      </w:pPr>
      <w:r w:rsidRPr="00EB4D74">
        <w:rPr>
          <w:rFonts w:ascii="Tahoma" w:hAnsi="Tahoma" w:cs="Tahoma"/>
          <w:sz w:val="18"/>
          <w:lang w:val="pt-BR"/>
        </w:rPr>
        <w:t xml:space="preserve">A Licença do Office Standard 2013 consiste no seguinte: </w:t>
      </w:r>
      <w:r w:rsidRPr="00EB4D74">
        <w:rPr>
          <w:rFonts w:ascii="Tahoma" w:hAnsi="Tahoma" w:cs="Tahoma"/>
          <w:sz w:val="18"/>
          <w:szCs w:val="18"/>
          <w:lang w:val="pt-BR"/>
        </w:rPr>
        <w:t>Excel 2013, OneNote 2013, Outlook 2013,</w:t>
      </w:r>
      <w:r w:rsidRPr="00047BB8">
        <w:rPr>
          <w:rFonts w:cs="Tahoma"/>
          <w:lang w:val="pt-BR"/>
        </w:rPr>
        <w:t xml:space="preserve"> </w:t>
      </w:r>
      <w:r w:rsidRPr="00EB4D74">
        <w:rPr>
          <w:rFonts w:cs="Tahoma"/>
          <w:lang w:val="pt-BR"/>
        </w:rPr>
        <w:t>Office Home and Student RT 2013 – Uso Comercial</w:t>
      </w:r>
      <w:r>
        <w:rPr>
          <w:rFonts w:cs="Tahoma"/>
          <w:lang w:val="pt-BR"/>
        </w:rPr>
        <w:t>,</w:t>
      </w:r>
      <w:r w:rsidRPr="00EB4D74">
        <w:rPr>
          <w:rFonts w:ascii="Tahoma" w:hAnsi="Tahoma" w:cs="Tahoma"/>
          <w:sz w:val="18"/>
          <w:szCs w:val="18"/>
          <w:lang w:val="pt-BR"/>
        </w:rPr>
        <w:t xml:space="preserve"> Office Web Apps, PowerPoint 2013, Publisher 2013 e Word 2013.</w:t>
      </w:r>
    </w:p>
    <w:p w:rsidR="008B1196" w:rsidRPr="00EB4D74" w:rsidRDefault="008B1196" w:rsidP="008B1196">
      <w:pPr>
        <w:pStyle w:val="FootnoteBulletLevel1"/>
        <w:tabs>
          <w:tab w:val="clear" w:pos="900"/>
        </w:tabs>
        <w:spacing w:before="0" w:after="0"/>
        <w:ind w:left="720" w:firstLine="0"/>
        <w:rPr>
          <w:rFonts w:ascii="Tahoma" w:hAnsi="Tahoma" w:cs="Tahoma"/>
          <w:sz w:val="18"/>
          <w:szCs w:val="18"/>
        </w:rPr>
      </w:pPr>
    </w:p>
    <w:p w:rsidR="008B1196" w:rsidRPr="00EB4D74" w:rsidRDefault="008B1196" w:rsidP="008B1196">
      <w:pPr>
        <w:spacing w:after="60"/>
        <w:ind w:left="720"/>
        <w:rPr>
          <w:rFonts w:cs="Tahoma"/>
          <w:lang w:val="it-IT"/>
        </w:rPr>
      </w:pPr>
      <w:r w:rsidRPr="00EB4D74">
        <w:rPr>
          <w:rFonts w:cs="Tahoma"/>
          <w:b/>
          <w:lang w:val="pt-BR"/>
        </w:rPr>
        <w:t>Incapacidade de Separar o Microsoft Office Standard 2013</w:t>
      </w:r>
    </w:p>
    <w:p w:rsidR="008B1196" w:rsidRPr="00EB4D74" w:rsidRDefault="008B1196" w:rsidP="008B1196">
      <w:pPr>
        <w:spacing w:after="60"/>
        <w:ind w:left="720"/>
        <w:rPr>
          <w:rFonts w:cs="Tahoma"/>
          <w:lang w:val="it-IT"/>
        </w:rPr>
      </w:pPr>
      <w:r w:rsidRPr="00EB4D74">
        <w:rPr>
          <w:rFonts w:cs="Tahoma"/>
          <w:lang w:val="pt-BR"/>
        </w:rPr>
        <w:t>O Office Standard 2013 consiste em mais de um produto oferecido sob uma única licença. O software não deverá ser separado para uso em mais de um computador.</w:t>
      </w:r>
    </w:p>
    <w:p w:rsidR="008B1196" w:rsidRPr="00EB4D74" w:rsidRDefault="008B1196" w:rsidP="008B1196">
      <w:pPr>
        <w:pStyle w:val="FootnoteBulletLevel1"/>
        <w:tabs>
          <w:tab w:val="clear" w:pos="900"/>
        </w:tabs>
        <w:ind w:left="0" w:firstLine="0"/>
        <w:rPr>
          <w:rFonts w:ascii="Tahoma" w:hAnsi="Tahoma" w:cs="Tahoma"/>
          <w:sz w:val="2"/>
          <w:lang w:val="it-IT"/>
        </w:rPr>
      </w:pPr>
    </w:p>
    <w:p w:rsidR="008B1196" w:rsidRPr="00EB4D74" w:rsidRDefault="008B1196" w:rsidP="008B1196">
      <w:pPr>
        <w:rPr>
          <w:lang w:val="it-IT"/>
        </w:rPr>
      </w:pPr>
    </w:p>
    <w:p w:rsidR="008B1196" w:rsidRPr="00EB4D74" w:rsidRDefault="008B1196" w:rsidP="008B1196">
      <w:pPr>
        <w:pStyle w:val="Heading3"/>
        <w:rPr>
          <w:rFonts w:ascii="Tahoma" w:hAnsi="Tahoma" w:cs="Tahoma"/>
        </w:rPr>
      </w:pPr>
      <w:bookmarkStart w:id="1099" w:name="_Toc340680155"/>
      <w:bookmarkStart w:id="1100" w:name="_Toc342914904"/>
      <w:bookmarkStart w:id="1101" w:name="Aps_9OfficeProPlusSubUserSL"/>
      <w:bookmarkEnd w:id="1098"/>
      <w:r w:rsidRPr="00EB4D74">
        <w:rPr>
          <w:rFonts w:ascii="Tahoma" w:hAnsi="Tahoma" w:cs="Tahoma"/>
          <w:caps/>
          <w:color w:val="F26200"/>
          <w:sz w:val="22"/>
          <w:vertAlign w:val="superscript"/>
          <w:lang w:val="pt-BR"/>
        </w:rPr>
        <w:t>11</w:t>
      </w:r>
      <w:r w:rsidRPr="00EB4D74">
        <w:rPr>
          <w:rFonts w:ascii="Tahoma" w:hAnsi="Tahoma" w:cs="Tahoma"/>
          <w:caps/>
          <w:color w:val="F26200"/>
          <w:sz w:val="22"/>
          <w:lang w:val="pt-BR"/>
        </w:rPr>
        <w:t xml:space="preserve"> </w:t>
      </w:r>
      <w:r w:rsidRPr="00EB4D74">
        <w:rPr>
          <w:rFonts w:ascii="Tahoma" w:hAnsi="Tahoma" w:cs="Tahoma"/>
          <w:color w:val="F26200"/>
          <w:sz w:val="22"/>
          <w:lang w:val="pt-BR"/>
        </w:rPr>
        <w:t>Office Professional Plus Subscription (Sl De Usuário)</w:t>
      </w:r>
      <w:bookmarkEnd w:id="1099"/>
      <w:bookmarkEnd w:id="1100"/>
    </w:p>
    <w:bookmarkEnd w:id="1101"/>
    <w:p w:rsidR="008B1196" w:rsidRPr="00EB4D74" w:rsidRDefault="008B1196" w:rsidP="008B1196">
      <w:pPr>
        <w:rPr>
          <w:rFonts w:cs="Tahoma"/>
        </w:rPr>
      </w:pPr>
    </w:p>
    <w:p w:rsidR="008B1196" w:rsidRPr="00EB4D74" w:rsidRDefault="008B1196" w:rsidP="008B1196">
      <w:pPr>
        <w:spacing w:after="60"/>
        <w:ind w:left="720"/>
        <w:rPr>
          <w:rFonts w:cs="Tahoma"/>
          <w:lang w:val="it-IT"/>
        </w:rPr>
      </w:pPr>
      <w:r w:rsidRPr="00EB4D74">
        <w:rPr>
          <w:rFonts w:cs="Tahoma"/>
          <w:b/>
          <w:lang w:val="pt-BR"/>
        </w:rPr>
        <w:t>Campus e School</w:t>
      </w:r>
    </w:p>
    <w:p w:rsidR="008B1196" w:rsidRPr="00EB4D74" w:rsidRDefault="008B1196" w:rsidP="008B1196">
      <w:pPr>
        <w:ind w:left="720"/>
        <w:rPr>
          <w:rFonts w:cs="Tahoma"/>
          <w:lang w:val="pt-BR"/>
        </w:rPr>
      </w:pPr>
      <w:r w:rsidRPr="00EB4D74">
        <w:rPr>
          <w:rFonts w:cs="Tahoma"/>
          <w:color w:val="000000"/>
          <w:lang w:val="pt-BR"/>
        </w:rPr>
        <w:t>Se a Instituição se inscrever no Office Professional Plus Subscription, ela deverá adquirir uma licença para cada Usuário Qualificado na organização da Instituição. Se a Instituição se inscrever na opção Student no Office Professional Plus Subscription, ela deverá adquirir uma licença para cada Aluno na Organização.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rPr>
      </w:pPr>
      <w:r w:rsidRPr="00EB4D74">
        <w:rPr>
          <w:rFonts w:cs="Tahoma"/>
          <w:b/>
          <w:lang w:val="pt-BR"/>
        </w:rPr>
        <w:t>Qualificação de Mídias</w:t>
      </w:r>
    </w:p>
    <w:p w:rsidR="008B1196" w:rsidRPr="00EB4D74" w:rsidRDefault="008B1196" w:rsidP="008B1196">
      <w:pPr>
        <w:ind w:left="720"/>
        <w:rPr>
          <w:rFonts w:cs="Tahoma"/>
        </w:rPr>
      </w:pPr>
      <w:r w:rsidRPr="00EB4D74">
        <w:rPr>
          <w:rFonts w:cs="Tahoma"/>
          <w:bCs/>
          <w:szCs w:val="18"/>
          <w:lang w:val="pt-BR"/>
        </w:rPr>
        <w:t>Os clientes de Enterprise e Enterprise Subscription com Assinaturas ativas do Office Professional Plus (USLs), que implantaram o Office Professional Plus 2010 de acordo com o contrato Enterprise ou Enterprise Subscription, poderão instalar o software Office Professional Plus 2010 no lugar do Office Professional Plus Subscription nos seus respectivos desktops qualificados.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bCs/>
          <w:color w:val="000000"/>
          <w:szCs w:val="18"/>
          <w:lang w:val="pt-BR"/>
        </w:rPr>
        <w:t>Os clientes de Enterprise e Enterprise Subscription com Assinaturas ativas do Office Professional Plus (USLs), que implantaram o Office para Mac Standard 2011 no contrato Enterprise ou Enterprise Subscription poderão instalar o Office para Mac Standard 2011 no lugar do Office Professional Plus Subscription nos seus respectivos desktops qualificados.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lastRenderedPageBreak/>
        <w:t>Em qualquer outro caso, os clientes deverão usar a mídia do Office Professional Plus Subscription para implantar o software de acordo com o seu respectivo Office Professional Plus Subscription (USLs).</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bCs/>
          <w:szCs w:val="18"/>
          <w:lang w:val="pt-BR"/>
        </w:rPr>
        <w:t xml:space="preserve">Trata-se de uma exceção única durante a introdução dos Serviços Online do Office Professional Plus Subscription. O Cliente precisará cumprir os requisitos de atualização dos Serviços Online na próxima versão. </w:t>
      </w:r>
      <w:r w:rsidRPr="00EB4D74">
        <w:rPr>
          <w:rFonts w:cs="Tahoma"/>
          <w:lang w:val="pt-BR"/>
        </w:rPr>
        <w:t>Para obter mais informações sobre os requisitos de atualização dos Serviços Online, consulte o documento de Direitos de Uso de Produto (PUR) no site http://www.microsoftvolumelicensing.com/userights/PUR.aspx</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lang w:val="pt-BR"/>
        </w:rPr>
        <w:t>Qualificação de Mídias com o Windows To Go Rights</w:t>
      </w:r>
    </w:p>
    <w:p w:rsidR="008B1196" w:rsidRPr="00EB4D74" w:rsidRDefault="008B1196" w:rsidP="008B1196">
      <w:pPr>
        <w:ind w:left="720"/>
        <w:rPr>
          <w:rFonts w:cs="Tahoma"/>
          <w:lang w:val="it-IT"/>
        </w:rPr>
      </w:pPr>
      <w:r w:rsidRPr="00EB4D74">
        <w:rPr>
          <w:rFonts w:cs="Tahoma"/>
          <w:lang w:val="pt-BR"/>
        </w:rPr>
        <w:t>Como parte da introdução ao Windows To Go Rights, se o usuário ao qual você atribuiu uma licença de Assinatura do Office Professional Plus invocar o direito de usar o software sob o Windows to Go Rights, em vez de instalar uma cópia do software fornecido com a Assinatura do Office Professional Plus em um dos dispositivos permitidos de acordo com os Direitos de Uso do Produto para Assinatura do Office Professional Plus, o referido usuário poderá instalar uma cópia do software Office Professional Plus na unidade USB usada para o Windows to Go Rights e usar o software Office Professional Plus nessa unidade USB em qualquer dispositivo licenciado. Esse direito expira no término da Assinatura do Office Professional Plus.</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lang w:val="pt-BR"/>
        </w:rPr>
        <w:t>Direitos de Downgrade</w:t>
      </w:r>
    </w:p>
    <w:p w:rsidR="008B1196" w:rsidRPr="00EB4D74" w:rsidRDefault="008B1196" w:rsidP="008B1196">
      <w:pPr>
        <w:ind w:left="720"/>
        <w:rPr>
          <w:rFonts w:cs="Tahoma"/>
        </w:rPr>
      </w:pPr>
      <w:bookmarkStart w:id="1102" w:name="Srv_9OutlookMac2011"/>
      <w:r w:rsidRPr="00EB4D74">
        <w:rPr>
          <w:rFonts w:cs="Tahoma"/>
          <w:lang w:val="pt-BR"/>
        </w:rPr>
        <w:t>Não existe versão anterior dos Serviços Online do Office Professional Plus Subscription, portanto, não existem direitos de downgrade.</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103" w:name="_Toc336338270"/>
      <w:bookmarkStart w:id="1104" w:name="_12_Outlook_para"/>
      <w:bookmarkStart w:id="1105" w:name="_Toc342914905"/>
      <w:bookmarkEnd w:id="1103"/>
      <w:bookmarkEnd w:id="1104"/>
      <w:r w:rsidRPr="00EB4D74">
        <w:rPr>
          <w:rFonts w:ascii="Tahoma" w:hAnsi="Tahoma" w:cs="Tahoma"/>
          <w:caps/>
          <w:color w:val="F66400"/>
          <w:sz w:val="22"/>
          <w:vertAlign w:val="superscript"/>
          <w:lang w:val="pt-BR"/>
        </w:rPr>
        <w:t>12</w:t>
      </w:r>
      <w:r w:rsidRPr="00EB4D74">
        <w:rPr>
          <w:rFonts w:ascii="Tahoma" w:hAnsi="Tahoma" w:cs="Tahoma"/>
          <w:color w:val="F66400"/>
          <w:sz w:val="22"/>
          <w:lang w:val="pt-BR"/>
        </w:rPr>
        <w:t xml:space="preserve"> Outlook para Mac 2011</w:t>
      </w:r>
      <w:bookmarkEnd w:id="1105"/>
    </w:p>
    <w:bookmarkEnd w:id="1102"/>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lang w:val="pt-BR"/>
        </w:rPr>
        <w:t>Caminho de Migração do Software Assurance para o Entourage para Mac 2008</w:t>
      </w:r>
    </w:p>
    <w:p w:rsidR="008B1196" w:rsidRPr="00EB4D74" w:rsidRDefault="008B1196" w:rsidP="008B1196">
      <w:pPr>
        <w:adjustRightInd w:val="0"/>
        <w:ind w:left="720"/>
        <w:textAlignment w:val="baseline"/>
        <w:rPr>
          <w:rFonts w:cs="Tahoma"/>
        </w:rPr>
      </w:pPr>
      <w:bookmarkStart w:id="1106" w:name="Srv_8Project2010Pro"/>
      <w:r w:rsidRPr="00EB4D74">
        <w:rPr>
          <w:rFonts w:cs="Tahoma"/>
          <w:lang w:val="pt-BR"/>
        </w:rPr>
        <w:t>A versão substituta do Entourage para Mac 2008 é o Outlook para Mac 2011.</w:t>
      </w:r>
    </w:p>
    <w:p w:rsidR="008B1196" w:rsidRPr="00EB4D74" w:rsidRDefault="008B1196" w:rsidP="008B1196">
      <w:pPr>
        <w:adjustRightInd w:val="0"/>
        <w:textAlignment w:val="baseline"/>
        <w:rPr>
          <w:rFonts w:cs="Tahoma"/>
        </w:rPr>
      </w:pPr>
    </w:p>
    <w:p w:rsidR="008B1196" w:rsidRPr="00EB4D74" w:rsidRDefault="008B1196" w:rsidP="008B1196">
      <w:pPr>
        <w:adjustRightInd w:val="0"/>
        <w:textAlignment w:val="baseline"/>
        <w:rPr>
          <w:rFonts w:cs="Tahoma"/>
        </w:rPr>
      </w:pPr>
    </w:p>
    <w:p w:rsidR="008B1196" w:rsidRPr="00EB4D74" w:rsidRDefault="008B1196" w:rsidP="008B1196">
      <w:pPr>
        <w:pStyle w:val="Heading3"/>
        <w:rPr>
          <w:rFonts w:ascii="Tahoma" w:hAnsi="Tahoma" w:cs="Tahoma"/>
        </w:rPr>
      </w:pPr>
      <w:bookmarkStart w:id="1107" w:name="_Toc336338271"/>
      <w:bookmarkStart w:id="1108" w:name="_Toc254806116"/>
      <w:bookmarkStart w:id="1109" w:name="_Toc342914906"/>
      <w:bookmarkStart w:id="1110" w:name="Srv_Project2010Pro"/>
      <w:bookmarkStart w:id="1111" w:name="Aps_8Project2010Pro"/>
      <w:bookmarkEnd w:id="1107"/>
      <w:bookmarkEnd w:id="1108"/>
      <w:r w:rsidRPr="00EB4D74">
        <w:rPr>
          <w:rFonts w:ascii="Tahoma" w:hAnsi="Tahoma" w:cs="Tahoma"/>
          <w:caps/>
          <w:color w:val="F66400"/>
          <w:sz w:val="22"/>
          <w:vertAlign w:val="superscript"/>
          <w:lang w:val="pt-BR"/>
        </w:rPr>
        <w:t>13</w:t>
      </w:r>
      <w:r w:rsidRPr="00EB4D74">
        <w:rPr>
          <w:rFonts w:ascii="Tahoma" w:hAnsi="Tahoma" w:cs="Tahoma"/>
          <w:color w:val="F66400"/>
          <w:sz w:val="22"/>
          <w:lang w:val="pt-BR"/>
        </w:rPr>
        <w:t xml:space="preserve"> Project 2013 Professional</w:t>
      </w:r>
      <w:bookmarkEnd w:id="1109"/>
    </w:p>
    <w:bookmarkEnd w:id="1106"/>
    <w:bookmarkEnd w:id="1110"/>
    <w:bookmarkEnd w:id="1111"/>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lang w:val="pt-BR"/>
        </w:rPr>
        <w:t>CAL do Project Server Complementar</w:t>
      </w:r>
    </w:p>
    <w:p w:rsidR="008B1196" w:rsidRPr="00EB4D74" w:rsidRDefault="008B1196" w:rsidP="008B1196">
      <w:pPr>
        <w:pStyle w:val="EndnoteText"/>
        <w:ind w:left="720"/>
        <w:rPr>
          <w:rFonts w:ascii="Tahoma" w:hAnsi="Tahoma" w:cs="Tahoma"/>
        </w:rPr>
      </w:pPr>
      <w:r w:rsidRPr="00EB4D74">
        <w:rPr>
          <w:rStyle w:val="EndnoteReference"/>
          <w:rFonts w:ascii="Tahoma" w:hAnsi="Tahoma" w:cs="Tahoma"/>
        </w:rPr>
        <w:t>Os clientes que licenciarem o Project Professional 2013 terão uma CAL do Dispositivo do Project Server 2013. O direito de acesso ao Project Server 2013 sob essa CAL se encerrará no término da Licença do Project Professional correspondente.</w:t>
      </w:r>
    </w:p>
    <w:p w:rsidR="008B1196" w:rsidRPr="00EB4D74" w:rsidRDefault="008B1196" w:rsidP="008B1196">
      <w:pPr>
        <w:pStyle w:val="EndnoteText"/>
        <w:ind w:left="720"/>
        <w:rPr>
          <w:rFonts w:ascii="Tahoma" w:hAnsi="Tahoma" w:cs="Tahoma"/>
        </w:rPr>
      </w:pPr>
    </w:p>
    <w:p w:rsidR="008B1196" w:rsidRPr="00EB4D74" w:rsidRDefault="008B1196" w:rsidP="008B1196">
      <w:pPr>
        <w:pStyle w:val="EndnoteText"/>
        <w:ind w:left="720"/>
        <w:rPr>
          <w:rFonts w:ascii="Tahoma" w:hAnsi="Tahoma" w:cs="Tahoma"/>
        </w:rPr>
      </w:pPr>
      <w:r w:rsidRPr="00EB4D74">
        <w:rPr>
          <w:rStyle w:val="EndnoteReference"/>
          <w:rFonts w:ascii="Tahoma" w:hAnsi="Tahoma" w:cs="Tahoma"/>
        </w:rPr>
        <w:t>Os clientes com Software Assurance ativo para a licença do Project Professional terão a cobertura do Software Assurance para suas CALs do Project Server complementares. Essa cobertura se encerrará no término da cobertura do Project Professional correspondente.</w:t>
      </w:r>
    </w:p>
    <w:p w:rsidR="008B1196" w:rsidRPr="00EB4D74" w:rsidRDefault="008B1196" w:rsidP="008B1196">
      <w:pPr>
        <w:pStyle w:val="EndnoteText"/>
        <w:ind w:left="720"/>
        <w:rPr>
          <w:rFonts w:ascii="Tahoma" w:hAnsi="Tahoma" w:cs="Tahoma"/>
        </w:rPr>
      </w:pPr>
    </w:p>
    <w:p w:rsidR="008B1196" w:rsidRPr="00EB4D74" w:rsidRDefault="008B1196" w:rsidP="008B1196">
      <w:pPr>
        <w:pStyle w:val="EndnoteText"/>
        <w:ind w:left="720"/>
        <w:rPr>
          <w:rFonts w:ascii="Tahoma" w:hAnsi="Tahoma" w:cs="Tahoma"/>
        </w:rPr>
      </w:pPr>
      <w:r w:rsidRPr="00EB4D74">
        <w:rPr>
          <w:rStyle w:val="EndnoteReference"/>
          <w:rFonts w:ascii="Tahoma" w:hAnsi="Tahoma" w:cs="Tahoma"/>
        </w:rPr>
        <w:t>Consulte as notas de condição do produto do Project Server para obter direitos adicionais aplicáveis a essas CALs.</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sz w:val="22"/>
          <w:szCs w:val="22"/>
        </w:rPr>
      </w:pPr>
      <w:bookmarkStart w:id="1112" w:name="_Toc336338272"/>
      <w:bookmarkStart w:id="1113" w:name="_14_Direitos_De"/>
      <w:bookmarkStart w:id="1114" w:name="_Toc340680158"/>
      <w:bookmarkStart w:id="1115" w:name="_Toc342914907"/>
      <w:bookmarkStart w:id="1116" w:name="Srv_RentalRightsOffice"/>
      <w:bookmarkStart w:id="1117" w:name="Srv_9RentalRightsOffice"/>
      <w:bookmarkEnd w:id="1112"/>
      <w:bookmarkEnd w:id="1113"/>
      <w:r w:rsidRPr="00EB4D74">
        <w:rPr>
          <w:rFonts w:ascii="Tahoma" w:hAnsi="Tahoma" w:cs="Tahoma"/>
          <w:caps/>
          <w:color w:val="E65D08"/>
          <w:sz w:val="22"/>
          <w:szCs w:val="22"/>
          <w:vertAlign w:val="superscript"/>
          <w:lang w:val="pt-BR"/>
        </w:rPr>
        <w:t xml:space="preserve">14 </w:t>
      </w:r>
      <w:r w:rsidRPr="00EB4D74">
        <w:rPr>
          <w:rFonts w:ascii="Tahoma" w:hAnsi="Tahoma" w:cs="Tahoma"/>
          <w:color w:val="E65D08"/>
          <w:sz w:val="22"/>
          <w:szCs w:val="22"/>
          <w:lang w:val="pt-BR"/>
        </w:rPr>
        <w:t>Direitos De Locação Do Office</w:t>
      </w:r>
      <w:bookmarkEnd w:id="1114"/>
      <w:bookmarkEnd w:id="1115"/>
    </w:p>
    <w:p w:rsidR="008B1196" w:rsidRPr="00EB4D74" w:rsidRDefault="008B1196" w:rsidP="008B1196">
      <w:pPr>
        <w:rPr>
          <w:rFonts w:cs="Tahoma"/>
        </w:rPr>
      </w:pPr>
    </w:p>
    <w:bookmarkEnd w:id="1116"/>
    <w:bookmarkEnd w:id="1117"/>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color w:val="000000"/>
          <w:sz w:val="18"/>
          <w:szCs w:val="18"/>
          <w:lang w:val="pt-BR"/>
        </w:rPr>
        <w:t xml:space="preserve">As licenças de direitos de locação concedidas sob esses programas são apenas licenças complementares. Elas não são licenças integrais de produtos. </w:t>
      </w:r>
      <w:r w:rsidRPr="00EB4D74">
        <w:rPr>
          <w:rFonts w:ascii="Tahoma" w:hAnsi="Tahoma" w:cs="Tahoma"/>
          <w:color w:val="000000"/>
          <w:sz w:val="18"/>
          <w:lang w:val="pt-BR"/>
        </w:rPr>
        <w:t>Portanto, cada desktop ao qual um cliente atribuir uma licença de direitos de locação deverá ser licenciado para executar um dos aplicativos qualificados identificados a seguir.</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Regras de Aplicativos Qualificados</w:t>
      </w:r>
    </w:p>
    <w:p w:rsidR="008B1196" w:rsidRPr="00EB4D74" w:rsidRDefault="008B1196" w:rsidP="008B1196">
      <w:pPr>
        <w:ind w:left="720"/>
        <w:rPr>
          <w:rFonts w:cs="Tahoma"/>
          <w:lang w:val="it-IT"/>
        </w:rPr>
      </w:pPr>
      <w:r w:rsidRPr="00EB4D74">
        <w:rPr>
          <w:rFonts w:cs="Tahoma"/>
          <w:color w:val="000000"/>
          <w:lang w:val="pt-BR"/>
        </w:rPr>
        <w:t>Cada uma destas condições deve ser atendida para que a Licença básica o qualifique para a licença de Direitos de Locação:</w:t>
      </w:r>
    </w:p>
    <w:p w:rsidR="008B1196" w:rsidRPr="00EB4D74" w:rsidRDefault="008B1196" w:rsidP="008B1196">
      <w:pPr>
        <w:ind w:left="900"/>
        <w:rPr>
          <w:rFonts w:cs="Tahoma"/>
          <w:lang w:val="it-IT"/>
        </w:rPr>
      </w:pPr>
    </w:p>
    <w:p w:rsidR="008B1196" w:rsidRPr="00EB4D74" w:rsidRDefault="008B1196" w:rsidP="008B1196">
      <w:pPr>
        <w:numPr>
          <w:ilvl w:val="0"/>
          <w:numId w:val="22"/>
        </w:numPr>
        <w:spacing w:after="60"/>
        <w:ind w:left="1440"/>
        <w:rPr>
          <w:rFonts w:cs="Tahoma"/>
          <w:lang w:val="it-IT"/>
        </w:rPr>
      </w:pPr>
      <w:r w:rsidRPr="00EB4D74">
        <w:rPr>
          <w:rFonts w:cs="Tahoma"/>
          <w:color w:val="000000"/>
          <w:lang w:val="pt-BR"/>
        </w:rPr>
        <w:t>A licença para o aplicativo qualificado deve ser cedida ao mesmo dispositivo ao qual a licença de Direitos de Locação de VL deverá ser cedida.</w:t>
      </w:r>
    </w:p>
    <w:p w:rsidR="008B1196" w:rsidRPr="00EB4D74" w:rsidRDefault="008B1196" w:rsidP="008B1196">
      <w:pPr>
        <w:numPr>
          <w:ilvl w:val="0"/>
          <w:numId w:val="22"/>
        </w:numPr>
        <w:tabs>
          <w:tab w:val="left" w:pos="1440"/>
        </w:tabs>
        <w:spacing w:after="60"/>
        <w:ind w:left="1440"/>
        <w:rPr>
          <w:rFonts w:cs="Tahoma"/>
          <w:lang w:val="it-IT"/>
        </w:rPr>
      </w:pPr>
      <w:r w:rsidRPr="00EB4D74">
        <w:rPr>
          <w:rFonts w:cs="Tahoma"/>
          <w:color w:val="000000"/>
          <w:lang w:val="pt-BR"/>
        </w:rPr>
        <w:t>O aplicativo qualificado deve ser instalado no referido dispositivo.</w:t>
      </w:r>
    </w:p>
    <w:p w:rsidR="008B1196" w:rsidRPr="00EB4D74" w:rsidRDefault="008B1196" w:rsidP="008B1196">
      <w:pPr>
        <w:pStyle w:val="EndnoteText"/>
        <w:ind w:left="720"/>
        <w:rPr>
          <w:rFonts w:ascii="Tahoma" w:hAnsi="Tahoma" w:cs="Tahoma"/>
          <w:color w:val="000000"/>
          <w:sz w:val="18"/>
          <w:lang w:val="it-IT"/>
        </w:rPr>
      </w:pPr>
    </w:p>
    <w:p w:rsidR="008B1196" w:rsidRPr="00EB4D74" w:rsidRDefault="008B1196" w:rsidP="008B1196">
      <w:pPr>
        <w:pStyle w:val="EndnoteText"/>
        <w:ind w:left="720"/>
        <w:rPr>
          <w:rFonts w:ascii="Tahoma" w:hAnsi="Tahoma" w:cs="Tahoma"/>
          <w:color w:val="000000"/>
          <w:sz w:val="18"/>
          <w:lang w:val="it-IT"/>
        </w:rPr>
      </w:pPr>
      <w:r w:rsidRPr="00EB4D74">
        <w:rPr>
          <w:rFonts w:ascii="Tahoma" w:hAnsi="Tahoma" w:cs="Tahoma"/>
          <w:color w:val="000000"/>
          <w:sz w:val="18"/>
          <w:lang w:val="it-IT"/>
        </w:rPr>
        <w:lastRenderedPageBreak/>
        <w:t>Os aplicativos qualificados por tipo de Programa são: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rPr>
          <w:rFonts w:cs="Tahoma"/>
          <w:lang w:val="it-IT"/>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8B1196" w:rsidRPr="00EB4D74" w:rsidTr="00EA30FC">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jc w:val="center"/>
              <w:rPr>
                <w:rFonts w:eastAsia="MS PGothic" w:cs="Tahoma"/>
                <w:b/>
                <w:bCs/>
                <w:color w:val="000000"/>
                <w:szCs w:val="18"/>
              </w:rPr>
            </w:pPr>
            <w:r w:rsidRPr="00EB4D74">
              <w:rPr>
                <w:rFonts w:cs="Tahoma"/>
                <w:b/>
                <w:color w:val="000000"/>
                <w:lang w:val="pt-BR"/>
              </w:rPr>
              <w:t>Aplicativos Qualificados para a aquisição de Direitos de Locação do Office Standard</w:t>
            </w:r>
          </w:p>
        </w:tc>
        <w:tc>
          <w:tcPr>
            <w:tcW w:w="1333" w:type="dxa"/>
            <w:gridSpan w:val="2"/>
            <w:tcBorders>
              <w:top w:val="nil"/>
              <w:left w:val="nil"/>
              <w:bottom w:val="single" w:sz="8" w:space="0" w:color="auto"/>
              <w:right w:val="nil"/>
            </w:tcBorders>
          </w:tcPr>
          <w:p w:rsidR="008B1196" w:rsidRPr="00EB4D74" w:rsidRDefault="008B1196" w:rsidP="00EA30FC">
            <w:pPr>
              <w:jc w:val="both"/>
              <w:rPr>
                <w:rFonts w:eastAsia="MS PGothic" w:cs="Tahoma"/>
                <w:color w:val="000000"/>
                <w:sz w:val="21"/>
                <w:szCs w:val="21"/>
              </w:rPr>
            </w:pPr>
          </w:p>
        </w:tc>
      </w:tr>
      <w:tr w:rsidR="008B1196" w:rsidRPr="00EB4D74" w:rsidTr="00EA30FC">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8B1196" w:rsidRPr="00EB4D74" w:rsidRDefault="008B1196" w:rsidP="00EA30FC">
            <w:pPr>
              <w:rPr>
                <w:rFonts w:eastAsia="MS PGothic" w:cs="Tahoma"/>
                <w:b/>
                <w:bCs/>
                <w:color w:val="000000"/>
                <w:szCs w:val="18"/>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8B1196" w:rsidRPr="00EB4D74" w:rsidRDefault="008B1196" w:rsidP="00EA30FC">
            <w:pPr>
              <w:jc w:val="center"/>
              <w:rPr>
                <w:rFonts w:cs="Tahoma"/>
                <w:b/>
                <w:bCs/>
                <w:color w:val="000000"/>
                <w:szCs w:val="18"/>
              </w:rPr>
            </w:pPr>
            <w:r w:rsidRPr="00EB4D74">
              <w:rPr>
                <w:rFonts w:cs="Tahoma"/>
                <w:b/>
                <w:bCs/>
                <w:color w:val="000000"/>
                <w:szCs w:val="18"/>
                <w:lang w:val="pt-B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B1196" w:rsidRPr="00EB4D74" w:rsidRDefault="008B1196" w:rsidP="00EA30FC">
            <w:pPr>
              <w:jc w:val="center"/>
              <w:rPr>
                <w:rFonts w:cs="Tahoma"/>
              </w:rPr>
            </w:pPr>
            <w:r w:rsidRPr="00EB4D74">
              <w:rPr>
                <w:rFonts w:cs="Tahoma"/>
                <w:b/>
                <w:color w:val="000000"/>
                <w:lang w:val="pt-BR"/>
              </w:rPr>
              <w:t>PIPC</w:t>
            </w:r>
          </w:p>
          <w:p w:rsidR="008B1196" w:rsidRPr="00EB4D74" w:rsidRDefault="008B1196" w:rsidP="00EA30FC">
            <w:pPr>
              <w:jc w:val="center"/>
              <w:rPr>
                <w:rFonts w:cs="Tahoma"/>
                <w:b/>
                <w:bCs/>
                <w:color w:val="000000"/>
                <w:szCs w:val="18"/>
              </w:rPr>
            </w:pPr>
            <w:r w:rsidRPr="00EB4D74">
              <w:rPr>
                <w:rFonts w:cs="Tahoma"/>
                <w:b/>
                <w:color w:val="000000"/>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cs="Tahoma"/>
                <w:b/>
                <w:bCs/>
                <w:color w:val="000000"/>
                <w:szCs w:val="18"/>
              </w:rPr>
            </w:pPr>
            <w:r w:rsidRPr="00EB4D74">
              <w:rPr>
                <w:rFonts w:cs="Tahoma"/>
                <w:b/>
                <w:bCs/>
                <w:color w:val="000000"/>
                <w:szCs w:val="18"/>
                <w:lang w:val="pt-BR"/>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cs="Tahoma"/>
                <w:b/>
                <w:bCs/>
                <w:color w:val="000000"/>
                <w:szCs w:val="18"/>
              </w:rPr>
            </w:pPr>
            <w:r w:rsidRPr="00EB4D74">
              <w:rPr>
                <w:rFonts w:cs="Tahoma"/>
                <w:b/>
                <w:bCs/>
                <w:color w:val="000000"/>
                <w:szCs w:val="18"/>
                <w:lang w:val="pt-BR"/>
              </w:rPr>
              <w:t>Licença Open</w:t>
            </w:r>
          </w:p>
        </w:tc>
      </w:tr>
      <w:tr w:rsidR="008B1196" w:rsidRPr="00EB4D74"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B1196" w:rsidRPr="00EB4D74" w:rsidRDefault="008B1196" w:rsidP="00EA30FC">
            <w:pPr>
              <w:ind w:left="90"/>
              <w:rPr>
                <w:rFonts w:cs="Tahoma"/>
                <w:b/>
                <w:bCs/>
                <w:color w:val="000000"/>
                <w:szCs w:val="18"/>
              </w:rPr>
            </w:pPr>
            <w:r w:rsidRPr="00EB4D74">
              <w:rPr>
                <w:rFonts w:cs="Tahoma"/>
                <w:b/>
                <w:color w:val="000000"/>
                <w:lang w:val="pt-BR"/>
              </w:rPr>
              <w:t xml:space="preserve">Office </w:t>
            </w:r>
            <w:r w:rsidRPr="00EB4D74">
              <w:rPr>
                <w:rFonts w:cs="Tahoma"/>
                <w:b/>
                <w:bCs/>
                <w:color w:val="000000"/>
                <w:szCs w:val="18"/>
              </w:rPr>
              <w:t>Standard</w:t>
            </w:r>
            <w:r w:rsidRPr="00EB4D74">
              <w:rPr>
                <w:rFonts w:cs="Tahoma"/>
                <w:b/>
                <w:color w:val="000000"/>
                <w:lang w:val="pt-BR"/>
              </w:rPr>
              <w:t xml:space="preserve"> 2013</w:t>
            </w:r>
          </w:p>
        </w:tc>
        <w:tc>
          <w:tcPr>
            <w:tcW w:w="1242" w:type="dxa"/>
            <w:tcBorders>
              <w:top w:val="single" w:sz="4" w:space="0" w:color="auto"/>
              <w:left w:val="single" w:sz="4" w:space="0" w:color="auto"/>
              <w:bottom w:val="single" w:sz="8" w:space="0" w:color="auto"/>
              <w:right w:val="single" w:sz="8" w:space="0" w:color="auto"/>
            </w:tcBorders>
            <w:noWrap/>
            <w:vAlign w:val="bottom"/>
          </w:tcPr>
          <w:p w:rsidR="008B1196" w:rsidRPr="00EB4D74" w:rsidRDefault="008B1196" w:rsidP="00EA30FC">
            <w:pPr>
              <w:jc w:val="center"/>
              <w:rPr>
                <w:rFonts w:eastAsia="MS PGothic" w:cs="Tahoma"/>
                <w:color w:val="000000"/>
                <w:sz w:val="21"/>
                <w:szCs w:val="21"/>
              </w:rPr>
            </w:pPr>
          </w:p>
        </w:tc>
        <w:tc>
          <w:tcPr>
            <w:tcW w:w="1185" w:type="dxa"/>
            <w:gridSpan w:val="2"/>
            <w:tcBorders>
              <w:top w:val="single" w:sz="4" w:space="0" w:color="auto"/>
              <w:left w:val="nil"/>
              <w:bottom w:val="single" w:sz="8" w:space="0" w:color="auto"/>
              <w:right w:val="single" w:sz="8" w:space="0" w:color="auto"/>
            </w:tcBorders>
          </w:tcPr>
          <w:p w:rsidR="008B1196" w:rsidRPr="00EB4D74" w:rsidRDefault="008B1196" w:rsidP="00EA30FC">
            <w:pPr>
              <w:jc w:val="center"/>
              <w:rPr>
                <w:rFonts w:eastAsia="MS PGothic" w:cs="Tahoma"/>
                <w:color w:val="000000"/>
                <w:sz w:val="21"/>
                <w:szCs w:val="21"/>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color w:val="000000"/>
                <w:sz w:val="21"/>
                <w:szCs w:val="21"/>
              </w:rPr>
            </w:pPr>
            <w:r w:rsidRPr="00EB4D74">
              <w:rPr>
                <w:rFonts w:cs="Tahoma"/>
                <w:color w:val="000000"/>
                <w:lang w:val="pt-BR"/>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color w:val="000000"/>
                <w:sz w:val="21"/>
                <w:szCs w:val="21"/>
              </w:rPr>
            </w:pPr>
            <w:r w:rsidRPr="00EB4D74">
              <w:rPr>
                <w:rFonts w:cs="Tahoma"/>
                <w:color w:val="000000"/>
                <w:lang w:val="pt-BR"/>
              </w:rPr>
              <w:t>x</w:t>
            </w:r>
          </w:p>
        </w:tc>
      </w:tr>
      <w:tr w:rsidR="008B1196" w:rsidRPr="00EB4D74"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B1196" w:rsidRPr="00EB4D74" w:rsidRDefault="008B1196" w:rsidP="00EA30FC">
            <w:pPr>
              <w:ind w:left="90"/>
              <w:rPr>
                <w:rFonts w:cs="Tahoma"/>
                <w:b/>
                <w:bCs/>
                <w:color w:val="000000"/>
                <w:szCs w:val="18"/>
              </w:rPr>
            </w:pPr>
            <w:r w:rsidRPr="00EB4D74">
              <w:rPr>
                <w:rFonts w:cs="Tahoma"/>
                <w:b/>
                <w:color w:val="000000"/>
                <w:lang w:val="pt-BR"/>
              </w:rPr>
              <w:t xml:space="preserve">Office </w:t>
            </w:r>
            <w:r w:rsidRPr="00EB4D74">
              <w:rPr>
                <w:rFonts w:cs="Tahoma"/>
                <w:b/>
                <w:bCs/>
                <w:color w:val="000000"/>
                <w:szCs w:val="18"/>
              </w:rPr>
              <w:t>Standard</w:t>
            </w:r>
            <w:r w:rsidRPr="00EB4D74">
              <w:rPr>
                <w:rFonts w:cs="Tahoma"/>
                <w:b/>
                <w:color w:val="000000"/>
                <w:lang w:val="pt-BR"/>
              </w:rPr>
              <w:t xml:space="preserve"> 2010</w:t>
            </w:r>
          </w:p>
        </w:tc>
        <w:tc>
          <w:tcPr>
            <w:tcW w:w="1242" w:type="dxa"/>
            <w:tcBorders>
              <w:top w:val="nil"/>
              <w:left w:val="single" w:sz="4" w:space="0" w:color="auto"/>
              <w:bottom w:val="single" w:sz="8" w:space="0" w:color="auto"/>
              <w:right w:val="single" w:sz="8" w:space="0" w:color="auto"/>
            </w:tcBorders>
            <w:noWrap/>
            <w:vAlign w:val="bottom"/>
          </w:tcPr>
          <w:p w:rsidR="008B1196" w:rsidRPr="00EB4D74" w:rsidRDefault="008B1196" w:rsidP="00EA30FC">
            <w:pPr>
              <w:jc w:val="center"/>
              <w:rPr>
                <w:rFonts w:eastAsia="MS PGothic" w:cs="Tahoma"/>
                <w:color w:val="000000"/>
                <w:sz w:val="21"/>
                <w:szCs w:val="21"/>
              </w:rPr>
            </w:pPr>
            <w:r w:rsidRPr="00EB4D74">
              <w:rPr>
                <w:rFonts w:cs="Tahoma"/>
                <w:color w:val="000000"/>
                <w:lang w:val="pt-BR"/>
              </w:rPr>
              <w:t>x</w:t>
            </w:r>
          </w:p>
        </w:tc>
        <w:tc>
          <w:tcPr>
            <w:tcW w:w="1185" w:type="dxa"/>
            <w:gridSpan w:val="2"/>
            <w:tcBorders>
              <w:top w:val="nil"/>
              <w:left w:val="nil"/>
              <w:bottom w:val="single" w:sz="8" w:space="0" w:color="auto"/>
              <w:right w:val="single" w:sz="8" w:space="0" w:color="auto"/>
            </w:tcBorders>
          </w:tcPr>
          <w:p w:rsidR="008B1196" w:rsidRPr="00EB4D74" w:rsidRDefault="008B1196" w:rsidP="00EA30FC">
            <w:pPr>
              <w:jc w:val="center"/>
              <w:rPr>
                <w:rFonts w:eastAsia="MS PGothic" w:cs="Tahoma"/>
                <w:color w:val="000000"/>
                <w:sz w:val="21"/>
                <w:szCs w:val="21"/>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color w:val="000000"/>
                <w:sz w:val="21"/>
                <w:szCs w:val="21"/>
              </w:rPr>
            </w:pPr>
            <w:r w:rsidRPr="00EB4D74">
              <w:rPr>
                <w:rFonts w:cs="Tahoma"/>
                <w:color w:val="000000"/>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color w:val="000000"/>
                <w:sz w:val="21"/>
                <w:szCs w:val="21"/>
              </w:rPr>
            </w:pPr>
            <w:r w:rsidRPr="00EB4D74">
              <w:rPr>
                <w:rFonts w:cs="Tahoma"/>
                <w:color w:val="000000"/>
                <w:lang w:val="pt-BR"/>
              </w:rPr>
              <w:t>x</w:t>
            </w:r>
          </w:p>
        </w:tc>
      </w:tr>
    </w:tbl>
    <w:p w:rsidR="008B1196" w:rsidRPr="00EB4D74" w:rsidRDefault="008B1196" w:rsidP="008B1196">
      <w:pPr>
        <w:rPr>
          <w:rFonts w:cs="Tahoma"/>
        </w:rPr>
      </w:pPr>
    </w:p>
    <w:tbl>
      <w:tblPr>
        <w:tblW w:w="7763" w:type="dxa"/>
        <w:tblInd w:w="100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8B1196" w:rsidRPr="00EB4D74" w:rsidTr="00EA30FC">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jc w:val="center"/>
              <w:rPr>
                <w:rFonts w:eastAsia="MS PGothic" w:cs="Tahoma"/>
                <w:b/>
                <w:bCs/>
                <w:szCs w:val="18"/>
              </w:rPr>
            </w:pPr>
            <w:r w:rsidRPr="00EB4D74">
              <w:rPr>
                <w:rFonts w:cs="Tahoma"/>
                <w:b/>
                <w:lang w:val="pt-BR"/>
              </w:rPr>
              <w:t>Aplicativos Qualificados para a aquisição de Direitos de Locação do Office Professional Plus</w:t>
            </w:r>
          </w:p>
        </w:tc>
        <w:tc>
          <w:tcPr>
            <w:tcW w:w="1333" w:type="dxa"/>
            <w:gridSpan w:val="2"/>
            <w:tcBorders>
              <w:top w:val="nil"/>
              <w:left w:val="nil"/>
              <w:bottom w:val="single" w:sz="8" w:space="0" w:color="auto"/>
              <w:right w:val="nil"/>
            </w:tcBorders>
          </w:tcPr>
          <w:p w:rsidR="008B1196" w:rsidRPr="00EB4D74" w:rsidRDefault="008B1196" w:rsidP="00EA30FC">
            <w:pPr>
              <w:jc w:val="both"/>
              <w:rPr>
                <w:rFonts w:eastAsia="MS PGothic" w:cs="Tahoma"/>
                <w:szCs w:val="21"/>
              </w:rPr>
            </w:pPr>
          </w:p>
        </w:tc>
      </w:tr>
      <w:tr w:rsidR="008B1196" w:rsidRPr="00EB4D74" w:rsidTr="00EA30FC">
        <w:trPr>
          <w:cantSplit/>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8B1196" w:rsidRPr="00EB4D74" w:rsidRDefault="008B1196" w:rsidP="00EA30FC">
            <w:pPr>
              <w:rPr>
                <w:rFonts w:eastAsia="MS PGothic" w:cs="Tahoma"/>
                <w:b/>
                <w:bCs/>
                <w:szCs w:val="18"/>
              </w:rPr>
            </w:pPr>
          </w:p>
        </w:tc>
        <w:tc>
          <w:tcPr>
            <w:tcW w:w="1242" w:type="dxa"/>
            <w:tcBorders>
              <w:top w:val="nil"/>
              <w:left w:val="nil"/>
              <w:bottom w:val="single" w:sz="8" w:space="0" w:color="auto"/>
              <w:right w:val="single" w:sz="4" w:space="0" w:color="auto"/>
            </w:tcBorders>
            <w:shd w:val="clear" w:color="auto" w:fill="FABF8F"/>
            <w:vAlign w:val="bottom"/>
          </w:tcPr>
          <w:p w:rsidR="008B1196" w:rsidRPr="00EB4D74" w:rsidRDefault="008B1196" w:rsidP="00EA30FC">
            <w:pPr>
              <w:jc w:val="center"/>
              <w:rPr>
                <w:rFonts w:cs="Tahoma"/>
                <w:b/>
                <w:bCs/>
                <w:szCs w:val="18"/>
              </w:rPr>
            </w:pPr>
            <w:r w:rsidRPr="00EB4D74">
              <w:rPr>
                <w:rFonts w:cs="Tahoma"/>
                <w:b/>
                <w:bCs/>
                <w:szCs w:val="18"/>
                <w:lang w:val="pt-BR"/>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8B1196" w:rsidRPr="00EB4D74" w:rsidRDefault="008B1196" w:rsidP="00EA30FC">
            <w:pPr>
              <w:jc w:val="center"/>
              <w:rPr>
                <w:rFonts w:cs="Tahoma"/>
              </w:rPr>
            </w:pPr>
            <w:r w:rsidRPr="00EB4D74">
              <w:rPr>
                <w:rFonts w:cs="Tahoma"/>
                <w:b/>
                <w:lang w:val="pt-BR"/>
              </w:rPr>
              <w:t>PIPC</w:t>
            </w:r>
          </w:p>
          <w:p w:rsidR="008B1196" w:rsidRPr="00EB4D74" w:rsidRDefault="008B1196" w:rsidP="00EA30FC">
            <w:pPr>
              <w:jc w:val="center"/>
              <w:rPr>
                <w:rFonts w:cs="Tahoma"/>
                <w:b/>
                <w:bCs/>
                <w:szCs w:val="16"/>
                <w:lang w:eastAsia="ja-JP"/>
              </w:rPr>
            </w:pPr>
            <w:r w:rsidRPr="00EB4D74">
              <w:rPr>
                <w:rFonts w:cs="Tahoma"/>
                <w:b/>
                <w:lang w:val="pt-BR"/>
              </w:rPr>
              <w:t>(Apenas para o Japão)</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cs="Tahoma"/>
                <w:b/>
                <w:bCs/>
                <w:szCs w:val="18"/>
              </w:rPr>
            </w:pPr>
            <w:r w:rsidRPr="00EB4D74">
              <w:rPr>
                <w:rFonts w:cs="Tahoma"/>
                <w:b/>
                <w:bCs/>
                <w:szCs w:val="18"/>
                <w:lang w:val="pt-BR"/>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cs="Tahoma"/>
                <w:b/>
                <w:bCs/>
                <w:szCs w:val="18"/>
              </w:rPr>
            </w:pPr>
            <w:r w:rsidRPr="00EB4D74">
              <w:rPr>
                <w:rFonts w:cs="Tahoma"/>
                <w:b/>
                <w:bCs/>
                <w:szCs w:val="18"/>
                <w:lang w:val="pt-BR"/>
              </w:rPr>
              <w:t>Licença Open</w:t>
            </w:r>
          </w:p>
        </w:tc>
      </w:tr>
      <w:tr w:rsidR="008B1196" w:rsidRPr="00EB4D74" w:rsidTr="00EA30FC">
        <w:trPr>
          <w:trHeight w:val="255"/>
        </w:trPr>
        <w:tc>
          <w:tcPr>
            <w:tcW w:w="2910" w:type="dxa"/>
            <w:tcBorders>
              <w:top w:val="nil"/>
              <w:left w:val="single" w:sz="8" w:space="0" w:color="auto"/>
              <w:bottom w:val="single" w:sz="4" w:space="0" w:color="auto"/>
              <w:right w:val="single" w:sz="8" w:space="0" w:color="auto"/>
            </w:tcBorders>
            <w:noWrap/>
            <w:vAlign w:val="bottom"/>
          </w:tcPr>
          <w:p w:rsidR="008B1196" w:rsidRPr="00EB4D74" w:rsidRDefault="008B1196" w:rsidP="00EA30FC">
            <w:pPr>
              <w:ind w:left="90"/>
              <w:rPr>
                <w:rFonts w:cs="Tahoma"/>
                <w:b/>
                <w:bCs/>
                <w:szCs w:val="18"/>
                <w:lang w:eastAsia="ja-JP"/>
              </w:rPr>
            </w:pPr>
            <w:r w:rsidRPr="00EB4D74">
              <w:rPr>
                <w:rFonts w:cs="Tahoma"/>
                <w:b/>
                <w:lang w:val="pt-BR"/>
              </w:rPr>
              <w:t>Office Professional Plus 2013</w:t>
            </w:r>
          </w:p>
        </w:tc>
        <w:tc>
          <w:tcPr>
            <w:tcW w:w="1242" w:type="dxa"/>
            <w:tcBorders>
              <w:top w:val="nil"/>
              <w:left w:val="nil"/>
              <w:bottom w:val="single" w:sz="8" w:space="0" w:color="auto"/>
              <w:right w:val="single" w:sz="8" w:space="0" w:color="auto"/>
            </w:tcBorders>
            <w:noWrap/>
            <w:vAlign w:val="bottom"/>
          </w:tcPr>
          <w:p w:rsidR="008B1196" w:rsidRPr="00EB4D74" w:rsidRDefault="008B1196" w:rsidP="00EA30FC">
            <w:pPr>
              <w:jc w:val="center"/>
              <w:rPr>
                <w:rFonts w:eastAsia="MS PGothic" w:cs="Tahoma"/>
                <w:szCs w:val="18"/>
              </w:rPr>
            </w:pPr>
          </w:p>
        </w:tc>
        <w:tc>
          <w:tcPr>
            <w:tcW w:w="1185" w:type="dxa"/>
            <w:gridSpan w:val="2"/>
            <w:tcBorders>
              <w:top w:val="nil"/>
              <w:left w:val="nil"/>
              <w:bottom w:val="single" w:sz="8" w:space="0" w:color="auto"/>
              <w:right w:val="single" w:sz="8" w:space="0" w:color="auto"/>
            </w:tcBorders>
          </w:tcPr>
          <w:p w:rsidR="008B1196" w:rsidRPr="00EB4D74" w:rsidRDefault="008B1196" w:rsidP="00EA30FC">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szCs w:val="18"/>
              </w:rPr>
            </w:pPr>
            <w:r w:rsidRPr="00EB4D74">
              <w:rPr>
                <w:rFonts w:cs="Tahoma"/>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szCs w:val="18"/>
              </w:rPr>
            </w:pPr>
            <w:r w:rsidRPr="00EB4D74">
              <w:rPr>
                <w:rFonts w:cs="Tahoma"/>
                <w:lang w:val="pt-BR"/>
              </w:rPr>
              <w:t>x</w:t>
            </w:r>
          </w:p>
        </w:tc>
      </w:tr>
      <w:tr w:rsidR="008B1196" w:rsidRPr="00EB4D74"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B1196" w:rsidRPr="00EB4D74" w:rsidRDefault="008B1196" w:rsidP="00EA30FC">
            <w:pPr>
              <w:ind w:left="90"/>
              <w:rPr>
                <w:rFonts w:cs="Tahoma"/>
                <w:b/>
                <w:bCs/>
                <w:szCs w:val="18"/>
                <w:lang w:eastAsia="ja-JP"/>
              </w:rPr>
            </w:pPr>
            <w:r w:rsidRPr="00EB4D74">
              <w:rPr>
                <w:rFonts w:cs="Tahoma"/>
                <w:b/>
                <w:lang w:val="pt-BR"/>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8B1196" w:rsidRPr="00EB4D74" w:rsidRDefault="008B1196" w:rsidP="00EA30FC">
            <w:pPr>
              <w:jc w:val="center"/>
              <w:rPr>
                <w:rFonts w:eastAsia="MS PGothic" w:cs="Tahoma"/>
                <w:szCs w:val="18"/>
              </w:rPr>
            </w:pPr>
          </w:p>
        </w:tc>
        <w:tc>
          <w:tcPr>
            <w:tcW w:w="1185" w:type="dxa"/>
            <w:gridSpan w:val="2"/>
            <w:tcBorders>
              <w:top w:val="nil"/>
              <w:left w:val="nil"/>
              <w:bottom w:val="single" w:sz="8" w:space="0" w:color="auto"/>
              <w:right w:val="single" w:sz="8" w:space="0" w:color="auto"/>
            </w:tcBorders>
          </w:tcPr>
          <w:p w:rsidR="008B1196" w:rsidRPr="00EB4D74" w:rsidRDefault="008B1196" w:rsidP="00EA30FC">
            <w:pPr>
              <w:jc w:val="center"/>
              <w:rPr>
                <w:rFonts w:eastAsia="MS PGothic" w:cs="Tahoma"/>
                <w:szCs w:val="18"/>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szCs w:val="18"/>
              </w:rPr>
            </w:pPr>
            <w:r w:rsidRPr="00EB4D74">
              <w:rPr>
                <w:rFonts w:cs="Tahoma"/>
                <w:lang w:val="pt-BR"/>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eastAsia="MS PGothic" w:cs="Tahoma"/>
                <w:szCs w:val="18"/>
              </w:rPr>
            </w:pPr>
            <w:r w:rsidRPr="00EB4D74">
              <w:rPr>
                <w:rFonts w:cs="Tahoma"/>
                <w:lang w:val="pt-BR"/>
              </w:rPr>
              <w:t>x</w:t>
            </w:r>
          </w:p>
        </w:tc>
      </w:tr>
      <w:tr w:rsidR="008B1196" w:rsidRPr="00EB4D74"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B1196" w:rsidRPr="00EB4D74" w:rsidRDefault="008B1196" w:rsidP="00EA30FC">
            <w:pPr>
              <w:ind w:left="90"/>
              <w:rPr>
                <w:rFonts w:cs="Tahoma"/>
                <w:b/>
                <w:bCs/>
                <w:szCs w:val="18"/>
              </w:rPr>
            </w:pPr>
            <w:r w:rsidRPr="00EB4D74">
              <w:rPr>
                <w:rFonts w:cs="Tahoma"/>
                <w:b/>
                <w:lang w:val="pt-BR"/>
              </w:rPr>
              <w:t>Office Personal 2013</w:t>
            </w:r>
          </w:p>
        </w:tc>
        <w:tc>
          <w:tcPr>
            <w:tcW w:w="1242" w:type="dxa"/>
            <w:tcBorders>
              <w:top w:val="nil"/>
              <w:left w:val="single" w:sz="4" w:space="0" w:color="auto"/>
              <w:bottom w:val="single" w:sz="8" w:space="0" w:color="auto"/>
              <w:right w:val="single" w:sz="8" w:space="0" w:color="auto"/>
            </w:tcBorders>
            <w:noWrap/>
            <w:vAlign w:val="bottom"/>
          </w:tcPr>
          <w:p w:rsidR="008B1196" w:rsidRPr="00EB4D74" w:rsidRDefault="008B1196" w:rsidP="00EA30F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8B1196" w:rsidRPr="00EB4D74" w:rsidRDefault="008B1196" w:rsidP="00EA30FC">
            <w:pPr>
              <w:jc w:val="center"/>
              <w:rPr>
                <w:rFonts w:eastAsia="MS PGothic" w:cs="Tahoma"/>
                <w:color w:val="000000"/>
                <w:szCs w:val="18"/>
              </w:rPr>
            </w:pPr>
            <w:r w:rsidRPr="00EB4D74">
              <w:rPr>
                <w:rFonts w:cs="Tahoma"/>
                <w:lang w:val="pt-B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szCs w:val="18"/>
              </w:rPr>
            </w:pPr>
          </w:p>
        </w:tc>
      </w:tr>
      <w:tr w:rsidR="008B1196" w:rsidRPr="00EB4D74"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B1196" w:rsidRPr="00EB4D74" w:rsidRDefault="008B1196" w:rsidP="00EA30FC">
            <w:pPr>
              <w:ind w:left="90"/>
              <w:rPr>
                <w:rFonts w:cs="Tahoma"/>
                <w:b/>
                <w:lang w:val="pt-BR"/>
              </w:rPr>
            </w:pPr>
            <w:r w:rsidRPr="00EB4D74">
              <w:rPr>
                <w:rFonts w:cs="Tahoma"/>
                <w:b/>
                <w:lang w:val="pt-BR"/>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8B1196" w:rsidRPr="00EB4D74" w:rsidRDefault="008B1196" w:rsidP="00EA30F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8B1196" w:rsidRPr="00EB4D74" w:rsidRDefault="008B1196" w:rsidP="00EA30FC">
            <w:pPr>
              <w:jc w:val="center"/>
              <w:rPr>
                <w:rFonts w:eastAsia="MS PGothic" w:cs="Tahoma"/>
                <w:color w:val="000000"/>
                <w:szCs w:val="18"/>
              </w:rPr>
            </w:pPr>
            <w:r w:rsidRPr="00EB4D74">
              <w:rPr>
                <w:rFonts w:cs="Tahoma"/>
                <w:lang w:val="pt-B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szCs w:val="18"/>
              </w:rPr>
            </w:pPr>
          </w:p>
        </w:tc>
      </w:tr>
      <w:tr w:rsidR="008B1196" w:rsidRPr="00EB4D74" w:rsidTr="00EA30FC">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8B1196" w:rsidRPr="00EB4D74" w:rsidRDefault="008B1196" w:rsidP="00EA30FC">
            <w:pPr>
              <w:ind w:left="90"/>
              <w:rPr>
                <w:rFonts w:cs="Tahoma"/>
                <w:b/>
                <w:lang w:val="pt-BR"/>
              </w:rPr>
            </w:pPr>
            <w:r w:rsidRPr="00EB4D74">
              <w:rPr>
                <w:rFonts w:cs="Tahoma"/>
                <w:b/>
                <w:lang w:val="pt-BR"/>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8B1196" w:rsidRPr="00EB4D74" w:rsidRDefault="008B1196" w:rsidP="00EA30FC">
            <w:pPr>
              <w:rPr>
                <w:rFonts w:eastAsia="Times New Roman" w:cs="Tahoma"/>
                <w:szCs w:val="18"/>
              </w:rPr>
            </w:pPr>
          </w:p>
        </w:tc>
        <w:tc>
          <w:tcPr>
            <w:tcW w:w="1185" w:type="dxa"/>
            <w:gridSpan w:val="2"/>
            <w:tcBorders>
              <w:top w:val="nil"/>
              <w:left w:val="nil"/>
              <w:bottom w:val="single" w:sz="8" w:space="0" w:color="auto"/>
              <w:right w:val="single" w:sz="8" w:space="0" w:color="auto"/>
            </w:tcBorders>
            <w:vAlign w:val="bottom"/>
          </w:tcPr>
          <w:p w:rsidR="008B1196" w:rsidRPr="00EB4D74" w:rsidRDefault="008B1196" w:rsidP="00EA30FC">
            <w:pPr>
              <w:jc w:val="center"/>
              <w:rPr>
                <w:rFonts w:eastAsia="MS PGothic" w:cs="Tahoma"/>
                <w:color w:val="FF0000"/>
                <w:szCs w:val="18"/>
              </w:rPr>
            </w:pPr>
            <w:r w:rsidRPr="00EB4D74">
              <w:rPr>
                <w:rFonts w:cs="Tahoma"/>
                <w:lang w:val="pt-BR"/>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szCs w:val="18"/>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szCs w:val="18"/>
              </w:rPr>
            </w:pPr>
          </w:p>
        </w:tc>
      </w:tr>
    </w:tbl>
    <w:p w:rsidR="008B1196" w:rsidRPr="00EB4D74" w:rsidRDefault="008B1196" w:rsidP="008B1196">
      <w:pPr>
        <w:rPr>
          <w:rFonts w:cs="Tahoma"/>
        </w:rPr>
      </w:pPr>
    </w:p>
    <w:p w:rsidR="008B1196" w:rsidRPr="00EB4D74" w:rsidRDefault="008B1196" w:rsidP="008B1196">
      <w:pPr>
        <w:ind w:left="720"/>
        <w:rPr>
          <w:rFonts w:cs="Tahoma"/>
          <w:lang w:val="it-IT"/>
        </w:rPr>
      </w:pPr>
      <w:r w:rsidRPr="00EB4D74">
        <w:rPr>
          <w:rFonts w:cs="Tahoma"/>
          <w:color w:val="000000"/>
          <w:szCs w:val="18"/>
          <w:lang w:val="pt-BR"/>
        </w:rPr>
        <w:t xml:space="preserve">Os clientes que adquirirem a licença de direitos de locação sobre uma licença de aplicativo qualificado terá seus direitos sob a licença desse aplicativo qualificado estendidos a fim de permitir que terceiros usem o mesmo software. </w:t>
      </w:r>
      <w:r w:rsidRPr="00EB4D74">
        <w:rPr>
          <w:rFonts w:cs="Tahoma"/>
          <w:color w:val="000000"/>
          <w:lang w:val="pt-BR"/>
        </w:rPr>
        <w:t xml:space="preserve">A licença de locação não é uma licença step-up para uma edição superior do produto. </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Exceção do Software Assurance</w:t>
      </w:r>
    </w:p>
    <w:p w:rsidR="008B1196" w:rsidRPr="00EB4D74" w:rsidRDefault="008B1196" w:rsidP="008B1196">
      <w:pPr>
        <w:ind w:left="720"/>
        <w:rPr>
          <w:rFonts w:cs="Tahoma"/>
          <w:lang w:val="it-IT"/>
        </w:rPr>
      </w:pPr>
      <w:r w:rsidRPr="00EB4D74">
        <w:rPr>
          <w:rFonts w:cs="Tahoma"/>
          <w:color w:val="000000"/>
          <w:lang w:val="pt-BR"/>
        </w:rPr>
        <w:t>Os clientes que estiverem adquirindo licenças de direitos de locação não estarão qualificados a obter o Software Assurance para as licenças de direitos de locação nem para as licenças básicas de software qualificado.</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118" w:name="_15_Visio_Professional"/>
      <w:bookmarkStart w:id="1119" w:name="_Toc342914908"/>
      <w:bookmarkEnd w:id="1118"/>
      <w:r w:rsidRPr="00EB4D74">
        <w:rPr>
          <w:rFonts w:ascii="Tahoma" w:hAnsi="Tahoma" w:cs="Tahoma"/>
          <w:caps/>
          <w:color w:val="F66400"/>
          <w:sz w:val="22"/>
          <w:vertAlign w:val="superscript"/>
          <w:lang w:val="pt-BR"/>
        </w:rPr>
        <w:t>15</w:t>
      </w:r>
      <w:r w:rsidRPr="00EB4D74">
        <w:rPr>
          <w:rFonts w:ascii="Tahoma" w:hAnsi="Tahoma" w:cs="Tahoma"/>
          <w:color w:val="F66400"/>
          <w:sz w:val="22"/>
          <w:lang w:val="pt-BR"/>
        </w:rPr>
        <w:t xml:space="preserve"> Visio Professional 2013</w:t>
      </w:r>
      <w:bookmarkEnd w:id="1119"/>
    </w:p>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bookmarkStart w:id="1120" w:name="_Toc336338274"/>
      <w:bookmarkStart w:id="1121" w:name="Srv_11VisioPremium2010"/>
      <w:bookmarkStart w:id="1122" w:name="Aps_11VisioPremium2010"/>
      <w:bookmarkStart w:id="1123" w:name="Srv_VisioPremium2010"/>
      <w:bookmarkEnd w:id="1120"/>
      <w:bookmarkEnd w:id="1121"/>
      <w:bookmarkEnd w:id="1122"/>
      <w:bookmarkEnd w:id="1123"/>
      <w:r w:rsidRPr="00EB4D74">
        <w:rPr>
          <w:rFonts w:cs="Tahoma"/>
          <w:b/>
          <w:lang w:val="pt-BR"/>
        </w:rPr>
        <w:t>Caminho de Migração do Software Assurance para Visio Premium 2010</w:t>
      </w:r>
    </w:p>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sz w:val="18"/>
          <w:lang w:val="pt-BR"/>
        </w:rPr>
        <w:t>Os Clientes com cobertura do Software Assurance ativa para Visio Premium 2010 a partir da data de disponibilidade de download para Visio Professional 2013 estão qualificados para usar o Visio Professional 2013 em vez do Visio Premium 2010. O direito de usar o Visio Professional 2013 sob essa oferta expira quando o direito de usar o Outlook 2010 com Business Contact Manager sob as licenças de qualificação correspondentes expirar. O uso do Visio Professional 2013 é regido pelos direitos de uso do Visio Professional 2013 e pelos termos e condições do contrato de licenciamento por volume do cliente. Esta nota de condição do produto e a evidência do cliente quanto à licença de qualificação correspondente comprovam o direito de uso do Visio Professional 2013 sob esta oferta. No término da cobertura do Software Assurance para o Visio Premium 2010, o cliente poderá adquirir o Software Assurance para o Visio Professional 2013 sem precisar adquirir uma nova licença separadamente.</w:t>
      </w:r>
    </w:p>
    <w:p w:rsidR="008B1196" w:rsidRPr="00EB4D74" w:rsidRDefault="008B1196" w:rsidP="008B1196">
      <w:pPr>
        <w:spacing w:after="60"/>
        <w:ind w:left="720"/>
        <w:rPr>
          <w:rFonts w:cs="Tahoma"/>
          <w:lang w:val="pt-BR"/>
        </w:rPr>
      </w:pPr>
    </w:p>
    <w:p w:rsidR="008B1196" w:rsidRPr="00EB4D74" w:rsidRDefault="008B1196" w:rsidP="008B1196">
      <w:pPr>
        <w:spacing w:after="60"/>
        <w:ind w:left="720"/>
        <w:rPr>
          <w:rFonts w:cs="Tahoma"/>
          <w:lang w:val="it-IT"/>
        </w:rPr>
      </w:pPr>
      <w:r w:rsidRPr="00EB4D74">
        <w:rPr>
          <w:rFonts w:cs="Tahoma"/>
          <w:b/>
          <w:lang w:val="pt-BR"/>
        </w:rPr>
        <w:t>Direitos de Downgrade para o Visio Professional 2013</w:t>
      </w:r>
    </w:p>
    <w:p w:rsidR="008B1196" w:rsidRPr="00EB4D74" w:rsidRDefault="008B1196" w:rsidP="008B1196">
      <w:pPr>
        <w:pStyle w:val="FootnoteBulletLevel1"/>
        <w:spacing w:before="0" w:after="0"/>
        <w:ind w:left="720" w:firstLine="0"/>
        <w:rPr>
          <w:rFonts w:ascii="Tahoma" w:hAnsi="Tahoma" w:cs="Tahoma"/>
          <w:lang w:val="pt-BR"/>
        </w:rPr>
      </w:pPr>
      <w:r w:rsidRPr="00EB4D74">
        <w:rPr>
          <w:rFonts w:ascii="Tahoma" w:hAnsi="Tahoma" w:cs="Tahoma"/>
          <w:sz w:val="18"/>
          <w:lang w:val="pt-BR"/>
        </w:rPr>
        <w:t>Os clientes do Software Assurance que implantaram somente o Visio Premium 2010 (ou seja, não estão usando nenhuma outra edição do Visio em sua organização) e precisam de estações adicionais do Visio Premium 2010 poderão comprar licenças do Visio Professional 2013 e fazer downgrade para o Visio Premium 2010. Não serão permitidos outros downgrades do Visio Professional 2013 para o Visio Premium 2010.</w:t>
      </w:r>
    </w:p>
    <w:p w:rsidR="008B1196" w:rsidRPr="00EB4D74" w:rsidRDefault="008B1196" w:rsidP="008B1196">
      <w:pPr>
        <w:tabs>
          <w:tab w:val="left" w:pos="900"/>
        </w:tabs>
        <w:rPr>
          <w:rFonts w:cs="Tahoma"/>
          <w:lang w:val="pt-BR"/>
        </w:rPr>
      </w:pPr>
    </w:p>
    <w:p w:rsidR="008B1196" w:rsidRPr="00EB4D74" w:rsidRDefault="008B1196" w:rsidP="008B1196">
      <w:pPr>
        <w:rPr>
          <w:rFonts w:cs="Tahoma"/>
          <w:lang w:val="pt-BR"/>
        </w:rPr>
      </w:pPr>
    </w:p>
    <w:p w:rsidR="008B1196" w:rsidRPr="00EB4D74" w:rsidRDefault="008B1196" w:rsidP="008B1196">
      <w:pPr>
        <w:pStyle w:val="Heading3"/>
        <w:rPr>
          <w:rFonts w:ascii="Tahoma" w:hAnsi="Tahoma" w:cs="Tahoma"/>
          <w:lang w:val="pt-BR"/>
        </w:rPr>
      </w:pPr>
      <w:bookmarkStart w:id="1124" w:name="_Toc336338275"/>
      <w:bookmarkStart w:id="1125" w:name="_Toc342914909"/>
      <w:bookmarkStart w:id="1126" w:name="Aps_12VS2010Professional"/>
      <w:bookmarkStart w:id="1127" w:name="_Toc252341836"/>
      <w:bookmarkEnd w:id="1124"/>
      <w:r w:rsidRPr="00EB4D74">
        <w:rPr>
          <w:rFonts w:ascii="Tahoma" w:hAnsi="Tahoma" w:cs="Tahoma"/>
          <w:caps/>
          <w:color w:val="F66400"/>
          <w:sz w:val="22"/>
          <w:vertAlign w:val="superscript"/>
          <w:lang w:val="pt-BR"/>
        </w:rPr>
        <w:lastRenderedPageBreak/>
        <w:t>16</w:t>
      </w:r>
      <w:r w:rsidRPr="00EB4D74">
        <w:rPr>
          <w:rFonts w:ascii="Tahoma" w:hAnsi="Tahoma" w:cs="Tahoma"/>
          <w:color w:val="F66400"/>
          <w:sz w:val="22"/>
          <w:lang w:val="pt-BR"/>
        </w:rPr>
        <w:t xml:space="preserve"> Visual Studio Professional 2012</w:t>
      </w:r>
      <w:bookmarkEnd w:id="1125"/>
    </w:p>
    <w:bookmarkEnd w:id="1126"/>
    <w:p w:rsidR="008B1196" w:rsidRPr="00EB4D74" w:rsidRDefault="008B1196" w:rsidP="008B1196">
      <w:pPr>
        <w:pStyle w:val="FootnoteBulletLevel1"/>
        <w:tabs>
          <w:tab w:val="clear" w:pos="900"/>
        </w:tabs>
        <w:spacing w:before="0" w:after="0"/>
        <w:ind w:left="0" w:firstLine="0"/>
        <w:rPr>
          <w:rFonts w:ascii="Tahoma" w:hAnsi="Tahoma" w:cs="Tahoma"/>
          <w:sz w:val="18"/>
          <w:szCs w:val="18"/>
          <w:lang w:val="pt-BR"/>
        </w:rPr>
      </w:pPr>
    </w:p>
    <w:p w:rsidR="008B1196" w:rsidRPr="00EB4D74" w:rsidRDefault="008B1196" w:rsidP="008B1196">
      <w:pPr>
        <w:spacing w:after="60"/>
        <w:ind w:left="720"/>
        <w:rPr>
          <w:rFonts w:cs="Tahoma"/>
          <w:lang w:val="pt-BR"/>
        </w:rPr>
      </w:pPr>
      <w:r w:rsidRPr="00EB4D74">
        <w:rPr>
          <w:rFonts w:cs="Tahoma"/>
          <w:b/>
          <w:lang w:val="pt-BR"/>
        </w:rPr>
        <w:t>Caminho de Migração do Software Assurance para o Visual Studio LightSwitch 2011</w:t>
      </w:r>
    </w:p>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sz w:val="18"/>
          <w:lang w:val="pt-BR"/>
        </w:rPr>
        <w:t>Os clientes com cobertura ativa do Software Assurance para Visual Studio LightSwitch 2011 desde a data de disponibilização para Visual Studio Professional 2012 estão qualificados a usar o Visual Studio Professional 2012. O direito de uso do Visual Studio Professional 2012 sob essa oferta se encerra no término do direito de uso do Visual Studio LightSwitch 2011 sob as licenças de qualificação correspondentes. O uso do Visual Studio Professional 2012 é regido pelos direitos de uso do Visual Studio Professional 2012 e pelos termos e pelas condições do contrato de licenciamento por volume do cliente. Esta nota de condição do produto e a evidência do cliente quanto à licença de qualificação correspondente comprovam o direito de uso do Visual Studio Professional 2012 sob esta oferta.</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rPr>
      </w:pPr>
      <w:bookmarkStart w:id="1128" w:name="_Toc342914910"/>
      <w:bookmarkStart w:id="1129" w:name="Aps_13VS2010ProfessionalMSDN"/>
      <w:bookmarkEnd w:id="1127"/>
      <w:r w:rsidRPr="00EB4D74">
        <w:rPr>
          <w:rFonts w:ascii="Tahoma" w:hAnsi="Tahoma" w:cs="Tahoma"/>
          <w:caps/>
          <w:color w:val="F66400"/>
          <w:sz w:val="22"/>
          <w:vertAlign w:val="superscript"/>
          <w:lang w:val="pt-BR"/>
        </w:rPr>
        <w:t>17</w:t>
      </w:r>
      <w:r w:rsidRPr="00EB4D74">
        <w:rPr>
          <w:rFonts w:ascii="Tahoma" w:hAnsi="Tahoma" w:cs="Tahoma"/>
          <w:color w:val="F66400"/>
          <w:sz w:val="22"/>
          <w:lang w:val="pt-BR"/>
        </w:rPr>
        <w:t xml:space="preserve"> Visual Studio Professional 2012 com MSDN</w:t>
      </w:r>
      <w:bookmarkEnd w:id="1128"/>
    </w:p>
    <w:p w:rsidR="008B1196" w:rsidRPr="00EB4D74" w:rsidRDefault="008B1196" w:rsidP="008B1196">
      <w:pPr>
        <w:ind w:left="720"/>
        <w:rPr>
          <w:rFonts w:cs="Tahoma"/>
        </w:rPr>
      </w:pPr>
    </w:p>
    <w:bookmarkEnd w:id="1129"/>
    <w:p w:rsidR="008B1196" w:rsidRPr="00EB4D74" w:rsidRDefault="008B1196" w:rsidP="008B1196">
      <w:pPr>
        <w:spacing w:after="60"/>
        <w:ind w:left="720"/>
        <w:rPr>
          <w:rFonts w:cs="Tahoma"/>
        </w:rPr>
      </w:pPr>
      <w:r w:rsidRPr="00EB4D74">
        <w:rPr>
          <w:rFonts w:cs="Tahoma"/>
          <w:b/>
          <w:lang w:val="pt-BR"/>
        </w:rPr>
        <w:t>Visual Studio Team Foundation Server 2012</w:t>
      </w:r>
    </w:p>
    <w:p w:rsidR="008B1196" w:rsidRPr="00EB4D74" w:rsidRDefault="008B1196" w:rsidP="008B1196">
      <w:pPr>
        <w:pStyle w:val="EndnoteText"/>
        <w:tabs>
          <w:tab w:val="num" w:pos="1350"/>
        </w:tabs>
        <w:ind w:left="720"/>
        <w:rPr>
          <w:rFonts w:ascii="Tahoma" w:hAnsi="Tahoma" w:cs="Tahoma"/>
          <w:lang w:val="it-IT"/>
        </w:rPr>
      </w:pPr>
      <w:r w:rsidRPr="00EB4D74">
        <w:rPr>
          <w:rFonts w:ascii="Tahoma" w:hAnsi="Tahoma" w:cs="Tahoma"/>
          <w:sz w:val="18"/>
        </w:rPr>
        <w:t xml:space="preserve">O assinante está qualificado para uma licença de servidor para o Visual Studio Team Foundation Server 2012 e uma CAL de Usuário do Team Foundation Server. </w:t>
      </w:r>
      <w:r w:rsidRPr="00EB4D74">
        <w:rPr>
          <w:rFonts w:ascii="Tahoma" w:hAnsi="Tahoma" w:cs="Tahoma"/>
          <w:sz w:val="18"/>
          <w:lang w:val="it-IT"/>
        </w:rPr>
        <w:t>A CAL é reservada unicamente para uso do assinante.</w:t>
      </w:r>
    </w:p>
    <w:p w:rsidR="008B1196" w:rsidRPr="00EB4D74" w:rsidRDefault="008B1196" w:rsidP="008B1196">
      <w:pPr>
        <w:pStyle w:val="EndnoteText"/>
        <w:tabs>
          <w:tab w:val="num" w:pos="1350"/>
        </w:tabs>
        <w:ind w:left="72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t>SQL Server Parallel Data Warehouse Developer</w:t>
      </w:r>
    </w:p>
    <w:p w:rsidR="008B1196" w:rsidRPr="00EB4D74" w:rsidRDefault="008B1196" w:rsidP="008B1196">
      <w:pPr>
        <w:pStyle w:val="EndnoteText"/>
        <w:tabs>
          <w:tab w:val="num" w:pos="1350"/>
        </w:tabs>
        <w:ind w:left="720"/>
        <w:rPr>
          <w:rFonts w:ascii="Tahoma" w:hAnsi="Tahoma" w:cs="Tahoma"/>
          <w:lang w:val="it-IT"/>
        </w:rPr>
      </w:pPr>
      <w:r w:rsidRPr="00EB4D74">
        <w:rPr>
          <w:rFonts w:ascii="Tahoma" w:hAnsi="Tahoma" w:cs="Tahoma"/>
          <w:sz w:val="18"/>
          <w:lang w:val="it-IT"/>
        </w:rPr>
        <w:t>O assinante é qualificado para uma licença do SQL Server 2008 R2 Parallel Data Warehouse Developer.</w:t>
      </w:r>
    </w:p>
    <w:p w:rsidR="008B1196" w:rsidRPr="00EB4D74" w:rsidRDefault="008B1196" w:rsidP="008B1196">
      <w:pPr>
        <w:pStyle w:val="FootnoteBulletLevel1"/>
        <w:tabs>
          <w:tab w:val="clear" w:pos="900"/>
          <w:tab w:val="num" w:pos="1350"/>
        </w:tabs>
        <w:spacing w:before="0" w:after="0"/>
        <w:ind w:left="720" w:firstLine="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t>Caminho de Migração do Software Assurance para o Visual Studio 2010 Professional com MSDN Embedded</w:t>
      </w:r>
    </w:p>
    <w:p w:rsidR="008B1196" w:rsidRPr="00EB4D74" w:rsidRDefault="008B1196" w:rsidP="008B1196">
      <w:pPr>
        <w:pStyle w:val="FootnoteBulletLevel1"/>
        <w:tabs>
          <w:tab w:val="clear" w:pos="900"/>
          <w:tab w:val="num" w:pos="1350"/>
        </w:tabs>
        <w:spacing w:before="0" w:after="0"/>
        <w:ind w:left="720" w:firstLine="0"/>
        <w:rPr>
          <w:rFonts w:ascii="Tahoma" w:hAnsi="Tahoma" w:cs="Tahoma"/>
          <w:lang w:val="it-IT"/>
        </w:rPr>
      </w:pPr>
      <w:r w:rsidRPr="00EB4D74">
        <w:rPr>
          <w:rFonts w:ascii="Tahoma" w:hAnsi="Tahoma" w:cs="Tahoma"/>
          <w:sz w:val="18"/>
          <w:lang w:val="pt-BR"/>
        </w:rPr>
        <w:t>A versão sucessora do Visual Studio 2010 Professional com MSDN Embedded é o Visual Studio Professional 2012 com MSDN.</w:t>
      </w:r>
    </w:p>
    <w:p w:rsidR="008B1196" w:rsidRPr="00EB4D74" w:rsidRDefault="008B1196" w:rsidP="008B1196">
      <w:pPr>
        <w:pStyle w:val="FootnoteBulletLevel1"/>
        <w:tabs>
          <w:tab w:val="clear" w:pos="900"/>
          <w:tab w:val="num" w:pos="1350"/>
        </w:tabs>
        <w:spacing w:before="0" w:after="0"/>
        <w:ind w:left="720" w:firstLine="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t>Qualificação do Software Assurance</w:t>
      </w: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Os clientes com Software Assurance próximo à data de término referente às licenças dos produtos a seguir estão qualificados a renovar suas coberturas como Visual Studio Professional 2012 com MSDN:</w:t>
      </w:r>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Ultimate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Premium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 Embedded</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 Professional</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Professional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Team Suite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Test Edition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Development Edition com MSDN Premium</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 xml:space="preserve">Visual Studio Team System Architecture Edition com MSDN Premium </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Visual Studio Team System Database Edition com MSDN Premium</w:t>
      </w:r>
    </w:p>
    <w:p w:rsidR="008B1196" w:rsidRPr="00EB4D74" w:rsidRDefault="008B1196" w:rsidP="008B1196">
      <w:pPr>
        <w:pStyle w:val="FootnoteBulletLevel2"/>
        <w:numPr>
          <w:ilvl w:val="0"/>
          <w:numId w:val="13"/>
        </w:numPr>
        <w:spacing w:before="0" w:after="60"/>
        <w:ind w:left="1440"/>
        <w:rPr>
          <w:rFonts w:ascii="Tahoma" w:hAnsi="Tahoma" w:cs="Tahoma"/>
          <w:sz w:val="18"/>
          <w:lang w:val="it-IT"/>
        </w:rPr>
      </w:pPr>
      <w:r w:rsidRPr="00EB4D74">
        <w:rPr>
          <w:rFonts w:ascii="Tahoma" w:hAnsi="Tahoma" w:cs="Tahoma"/>
          <w:sz w:val="18"/>
          <w:lang w:val="it-IT"/>
        </w:rPr>
        <w:t>Clientes com uma assinatura de varejo ativa para qualquer um dos softwares acima</w:t>
      </w:r>
    </w:p>
    <w:p w:rsidR="008B1196" w:rsidRPr="00EB4D74" w:rsidRDefault="008B1196" w:rsidP="008B1196">
      <w:pPr>
        <w:pStyle w:val="FootnoteBulletLevel2"/>
        <w:numPr>
          <w:ilvl w:val="0"/>
          <w:numId w:val="13"/>
        </w:numPr>
        <w:spacing w:before="0" w:after="60"/>
        <w:ind w:left="1440"/>
        <w:rPr>
          <w:rFonts w:ascii="Tahoma" w:hAnsi="Tahoma" w:cs="Tahoma"/>
          <w:sz w:val="18"/>
        </w:rPr>
      </w:pPr>
      <w:r w:rsidRPr="00EB4D74">
        <w:rPr>
          <w:rFonts w:ascii="Tahoma" w:hAnsi="Tahoma" w:cs="Tahoma"/>
          <w:sz w:val="18"/>
        </w:rPr>
        <w:t>MSDN Essentials (adquirido com a licença de varejo do Visual Studio 2010 Professional)</w:t>
      </w:r>
    </w:p>
    <w:p w:rsidR="008B1196" w:rsidRPr="00EB4D74" w:rsidRDefault="008B1196" w:rsidP="008B1196">
      <w:pPr>
        <w:pStyle w:val="FootnoteBulletLevel1"/>
        <w:tabs>
          <w:tab w:val="clear" w:pos="900"/>
        </w:tabs>
        <w:spacing w:before="0" w:after="0"/>
        <w:ind w:left="720" w:firstLine="0"/>
        <w:rPr>
          <w:rFonts w:ascii="Tahoma" w:hAnsi="Tahoma" w:cs="Tahoma"/>
          <w:sz w:val="18"/>
          <w:lang w:val="pt-BR"/>
        </w:rPr>
      </w:pPr>
    </w:p>
    <w:p w:rsidR="008B1196" w:rsidRPr="00EB4D74" w:rsidRDefault="008B1196" w:rsidP="008B1196">
      <w:pPr>
        <w:pStyle w:val="FootnoteBulletLevel1"/>
        <w:tabs>
          <w:tab w:val="clear" w:pos="900"/>
        </w:tabs>
        <w:spacing w:before="0" w:after="0"/>
        <w:ind w:left="720" w:firstLine="0"/>
        <w:rPr>
          <w:rFonts w:ascii="Tahoma" w:hAnsi="Tahoma" w:cs="Tahoma"/>
          <w:lang w:val="pt-BR"/>
        </w:rPr>
      </w:pPr>
      <w:r w:rsidRPr="00EB4D74">
        <w:rPr>
          <w:rFonts w:ascii="Tahoma" w:hAnsi="Tahoma" w:cs="Tahoma"/>
          <w:sz w:val="18"/>
          <w:lang w:val="pt-BR"/>
        </w:rPr>
        <w:t xml:space="preserve">Os clientes do Enterprise, Select ou Open Value com cobertura do Software Assurance ativa para o Visual Studio Professional 2012 com MSDN também podem fazer step-up para o Visual Studio Premium 2012 com MSDN ou o Visual Studio Ultimate 2012 com MSDN por meio da aquisição de </w:t>
      </w:r>
      <w:hyperlink w:anchor="Step_Up" w:history="1">
        <w:r w:rsidRPr="00EB4D74">
          <w:rPr>
            <w:rStyle w:val="Hyperlink"/>
            <w:rFonts w:ascii="Tahoma" w:hAnsi="Tahoma" w:cs="Tahoma"/>
            <w:color w:val="auto"/>
            <w:sz w:val="18"/>
            <w:u w:val="none"/>
            <w:lang w:val="pt-BR"/>
          </w:rPr>
          <w:t>SKUs de Step-up</w:t>
        </w:r>
      </w:hyperlink>
      <w:r w:rsidRPr="00EB4D74">
        <w:rPr>
          <w:rFonts w:ascii="Tahoma" w:hAnsi="Tahoma" w:cs="Tahoma"/>
          <w:sz w:val="18"/>
          <w:lang w:val="pt-BR"/>
        </w:rPr>
        <w:t xml:space="preserve"> apropriadas.</w:t>
      </w:r>
    </w:p>
    <w:p w:rsidR="008B1196" w:rsidRPr="00EB4D74" w:rsidRDefault="008B1196" w:rsidP="008B1196">
      <w:pPr>
        <w:pStyle w:val="FootnoteBulletLevel2"/>
        <w:tabs>
          <w:tab w:val="clear" w:pos="1260"/>
        </w:tabs>
        <w:spacing w:before="0"/>
        <w:ind w:left="720" w:firstLine="0"/>
        <w:rPr>
          <w:rFonts w:ascii="Tahoma" w:hAnsi="Tahoma" w:cs="Tahoma"/>
          <w:sz w:val="18"/>
          <w:szCs w:val="18"/>
          <w:lang w:val="pt-BR"/>
        </w:rPr>
      </w:pPr>
    </w:p>
    <w:p w:rsidR="008B1196" w:rsidRPr="00EB4D74" w:rsidRDefault="008B1196" w:rsidP="008B1196">
      <w:pPr>
        <w:pStyle w:val="FootnoteBulletLevel2"/>
        <w:tabs>
          <w:tab w:val="clear" w:pos="1260"/>
        </w:tabs>
        <w:spacing w:before="0"/>
        <w:ind w:left="720" w:firstLine="0"/>
        <w:rPr>
          <w:rFonts w:ascii="Tahoma" w:hAnsi="Tahoma" w:cs="Tahoma"/>
          <w:sz w:val="18"/>
          <w:szCs w:val="18"/>
          <w:lang w:val="pt-BR"/>
        </w:rPr>
      </w:pPr>
    </w:p>
    <w:p w:rsidR="008B1196" w:rsidRPr="00EB4D74" w:rsidRDefault="008B1196" w:rsidP="008B1196">
      <w:pPr>
        <w:pStyle w:val="FootnoteBulletLevel2"/>
        <w:tabs>
          <w:tab w:val="clear" w:pos="1260"/>
        </w:tabs>
        <w:spacing w:before="0"/>
        <w:ind w:left="720" w:firstLine="0"/>
        <w:rPr>
          <w:rFonts w:ascii="Tahoma" w:hAnsi="Tahoma" w:cs="Tahoma"/>
          <w:sz w:val="18"/>
          <w:szCs w:val="18"/>
          <w:lang w:val="pt-BR"/>
        </w:rPr>
      </w:pPr>
    </w:p>
    <w:p w:rsidR="008B1196" w:rsidRPr="00EB4D74" w:rsidRDefault="008B1196" w:rsidP="008B1196">
      <w:pPr>
        <w:pStyle w:val="FootnoteBulletLevel2"/>
        <w:tabs>
          <w:tab w:val="clear" w:pos="1260"/>
        </w:tabs>
        <w:spacing w:before="0"/>
        <w:ind w:left="720" w:firstLine="0"/>
        <w:rPr>
          <w:rFonts w:ascii="Tahoma" w:hAnsi="Tahoma" w:cs="Tahoma"/>
          <w:sz w:val="18"/>
          <w:szCs w:val="18"/>
          <w:lang w:val="pt-BR"/>
        </w:rPr>
      </w:pPr>
    </w:p>
    <w:p w:rsidR="008B1196" w:rsidRPr="00EB4D74" w:rsidRDefault="008B1196" w:rsidP="008B1196">
      <w:pPr>
        <w:spacing w:after="60"/>
        <w:ind w:left="720"/>
        <w:rPr>
          <w:rFonts w:cs="Tahoma"/>
          <w:lang w:val="pt-BR"/>
        </w:rPr>
      </w:pPr>
      <w:r w:rsidRPr="00EB4D74">
        <w:rPr>
          <w:rFonts w:cs="Tahoma"/>
          <w:b/>
          <w:lang w:val="pt-BR"/>
        </w:rPr>
        <w:lastRenderedPageBreak/>
        <w:t>Serviços de Assinatura</w:t>
      </w:r>
    </w:p>
    <w:p w:rsidR="008B1196" w:rsidRPr="00EB4D74" w:rsidRDefault="008B1196" w:rsidP="008B1196">
      <w:pPr>
        <w:pStyle w:val="FootnoteBulletLevel2"/>
        <w:tabs>
          <w:tab w:val="clear" w:pos="1260"/>
        </w:tabs>
        <w:spacing w:before="0"/>
        <w:ind w:left="720" w:firstLine="0"/>
        <w:rPr>
          <w:rFonts w:ascii="Tahoma" w:hAnsi="Tahoma" w:cs="Tahoma"/>
          <w:lang w:val="pt-BR"/>
        </w:rPr>
      </w:pPr>
      <w:r w:rsidRPr="00EB4D74">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pt-BR"/>
        </w:rPr>
      </w:pPr>
    </w:p>
    <w:p w:rsidR="008B1196" w:rsidRPr="00EB4D74" w:rsidRDefault="008B1196" w:rsidP="008B1196">
      <w:pPr>
        <w:spacing w:after="60"/>
        <w:ind w:left="720"/>
        <w:rPr>
          <w:rFonts w:cs="Tahoma"/>
        </w:rPr>
      </w:pPr>
      <w:r w:rsidRPr="00EB4D74">
        <w:rPr>
          <w:rFonts w:cs="Tahoma"/>
          <w:b/>
          <w:lang w:val="pt-BR"/>
        </w:rPr>
        <w:t>Windows Azure Platform Services</w:t>
      </w:r>
    </w:p>
    <w:p w:rsidR="008B1196" w:rsidRPr="00EB4D74" w:rsidRDefault="008B1196" w:rsidP="008B1196">
      <w:pPr>
        <w:pStyle w:val="FootnoteBulletLevel2"/>
        <w:tabs>
          <w:tab w:val="clear" w:pos="1260"/>
        </w:tabs>
        <w:spacing w:before="0"/>
        <w:ind w:left="720" w:firstLine="0"/>
        <w:rPr>
          <w:rFonts w:ascii="Tahoma" w:hAnsi="Tahoma" w:cs="Tahoma"/>
        </w:rPr>
      </w:pPr>
      <w:r w:rsidRPr="00EB4D74">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rsidR="008B1196" w:rsidRPr="00EB4D74" w:rsidRDefault="008B1196" w:rsidP="008B1196">
      <w:pPr>
        <w:pStyle w:val="FootnoteBulletLevel2"/>
        <w:tabs>
          <w:tab w:val="clear" w:pos="1260"/>
        </w:tabs>
        <w:spacing w:before="0"/>
        <w:ind w:left="0" w:firstLine="0"/>
        <w:rPr>
          <w:rFonts w:ascii="Tahoma" w:hAnsi="Tahoma" w:cs="Tahoma"/>
          <w:sz w:val="18"/>
          <w:szCs w:val="18"/>
        </w:rPr>
      </w:pPr>
    </w:p>
    <w:p w:rsidR="008B1196" w:rsidRPr="00EB4D74" w:rsidRDefault="008B1196" w:rsidP="008B1196">
      <w:pPr>
        <w:pStyle w:val="FootnoteBulletLevel2"/>
        <w:tabs>
          <w:tab w:val="clear" w:pos="1260"/>
        </w:tabs>
        <w:spacing w:before="0"/>
        <w:ind w:left="0" w:firstLine="0"/>
        <w:rPr>
          <w:rFonts w:ascii="Tahoma" w:hAnsi="Tahoma" w:cs="Tahoma"/>
          <w:sz w:val="18"/>
          <w:szCs w:val="18"/>
        </w:rPr>
      </w:pPr>
    </w:p>
    <w:p w:rsidR="008B1196" w:rsidRPr="00EB4D74" w:rsidRDefault="008B1196" w:rsidP="008B1196">
      <w:pPr>
        <w:pStyle w:val="Heading3"/>
        <w:rPr>
          <w:rFonts w:ascii="Tahoma" w:hAnsi="Tahoma" w:cs="Tahoma"/>
        </w:rPr>
      </w:pPr>
      <w:bookmarkStart w:id="1130" w:name="_Toc336338277"/>
      <w:bookmarkStart w:id="1131" w:name="_Toc252341837"/>
      <w:bookmarkStart w:id="1132" w:name="_Toc342914911"/>
      <w:bookmarkStart w:id="1133" w:name="Aps_16VS2010PremiumMSDN"/>
      <w:bookmarkEnd w:id="1130"/>
      <w:bookmarkEnd w:id="1131"/>
      <w:r w:rsidRPr="00EB4D74">
        <w:rPr>
          <w:rFonts w:ascii="Tahoma" w:hAnsi="Tahoma" w:cs="Tahoma"/>
          <w:caps/>
          <w:color w:val="F66400"/>
          <w:sz w:val="22"/>
          <w:vertAlign w:val="superscript"/>
          <w:lang w:val="pt-BR"/>
        </w:rPr>
        <w:t>18</w:t>
      </w:r>
      <w:r w:rsidRPr="00EB4D74">
        <w:rPr>
          <w:rFonts w:ascii="Tahoma" w:hAnsi="Tahoma" w:cs="Tahoma"/>
          <w:color w:val="F66400"/>
          <w:sz w:val="22"/>
          <w:lang w:val="pt-BR"/>
        </w:rPr>
        <w:t xml:space="preserve"> Visual Studio Premium 2012 com MSDN</w:t>
      </w:r>
      <w:bookmarkEnd w:id="1132"/>
    </w:p>
    <w:bookmarkEnd w:id="1133"/>
    <w:p w:rsidR="008B1196" w:rsidRPr="00EB4D74" w:rsidRDefault="008B1196" w:rsidP="008B1196">
      <w:pPr>
        <w:pStyle w:val="FootnoteBulletLevel1"/>
        <w:tabs>
          <w:tab w:val="clear" w:pos="900"/>
        </w:tabs>
        <w:spacing w:before="0" w:after="0"/>
        <w:ind w:left="720" w:firstLine="0"/>
        <w:rPr>
          <w:rFonts w:ascii="Tahoma" w:hAnsi="Tahoma" w:cs="Tahoma"/>
          <w:sz w:val="18"/>
          <w:szCs w:val="18"/>
        </w:rPr>
      </w:pPr>
    </w:p>
    <w:p w:rsidR="008B1196" w:rsidRPr="00EB4D74" w:rsidRDefault="008B1196" w:rsidP="008B1196">
      <w:pPr>
        <w:spacing w:after="60"/>
        <w:ind w:left="720"/>
        <w:rPr>
          <w:rFonts w:cs="Tahoma"/>
        </w:rPr>
      </w:pPr>
      <w:r w:rsidRPr="00EB4D74">
        <w:rPr>
          <w:rFonts w:cs="Tahoma"/>
          <w:b/>
          <w:lang w:val="pt-BR"/>
        </w:rPr>
        <w:t>Visual Studio Team Foundation Server 2012</w:t>
      </w:r>
    </w:p>
    <w:p w:rsidR="008B1196" w:rsidRPr="00EB4D74" w:rsidRDefault="008B1196" w:rsidP="008B1196">
      <w:pPr>
        <w:pStyle w:val="EndnoteText"/>
        <w:ind w:left="720"/>
        <w:rPr>
          <w:rFonts w:ascii="Tahoma" w:hAnsi="Tahoma" w:cs="Tahoma"/>
          <w:lang w:val="it-IT"/>
        </w:rPr>
      </w:pPr>
      <w:r w:rsidRPr="00EB4D74">
        <w:rPr>
          <w:rFonts w:ascii="Tahoma" w:hAnsi="Tahoma" w:cs="Tahoma"/>
          <w:sz w:val="18"/>
        </w:rPr>
        <w:t xml:space="preserve">O assinante está qualificado para uma licença de servidor para o Visual Studio Team Foundation Server 2012 e uma CAL de Usuário do Team Foundation Server. </w:t>
      </w:r>
      <w:r w:rsidRPr="00EB4D74">
        <w:rPr>
          <w:rFonts w:ascii="Tahoma" w:hAnsi="Tahoma" w:cs="Tahoma"/>
          <w:sz w:val="18"/>
          <w:lang w:val="it-IT"/>
        </w:rPr>
        <w:t>A CAL é reservada unicamente para uso do assinante.</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t>SQL Server Parallel Data Warehouse Developer</w:t>
      </w: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 assinante é qualificado para uma licença do SQL Server 2008 R2 Parallel Data Warehouse Developer.</w:t>
      </w: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t>Qualificação do Software Assurance</w:t>
      </w: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Os clientes com Software Assurance próximo à data de término referente aos produtos a seguir estão qualificados a renovar suas coberturas como Visual Studio Premium 2012 com MSDN:</w:t>
      </w:r>
    </w:p>
    <w:p w:rsidR="008B1196" w:rsidRPr="00EB4D74" w:rsidRDefault="008B1196" w:rsidP="008B1196">
      <w:pPr>
        <w:pStyle w:val="EndnoteText"/>
        <w:spacing w:after="60"/>
        <w:rPr>
          <w:rFonts w:ascii="Tahoma" w:hAnsi="Tahoma" w:cs="Tahoma"/>
          <w:sz w:val="18"/>
          <w:szCs w:val="18"/>
          <w:lang w:val="it-IT"/>
        </w:rPr>
      </w:pP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Ultimate com MSDN</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Premium com MSDN</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Professional com MSDN Premium</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Team System Team Suite com MSDN Premium</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Team System Test Edition com MSDN Premium</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Team System Development Edition com MSDN Premium</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Team System Architecture Edition com MSDN Premium</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Team System Database Edition com MSDN Premium</w:t>
      </w:r>
    </w:p>
    <w:p w:rsidR="008B1196" w:rsidRPr="00EB4D74" w:rsidRDefault="008B1196" w:rsidP="008B1196">
      <w:pPr>
        <w:pStyle w:val="FootnoteBulletLevel2"/>
        <w:numPr>
          <w:ilvl w:val="0"/>
          <w:numId w:val="15"/>
        </w:numPr>
        <w:spacing w:before="0" w:after="60"/>
        <w:ind w:left="1440"/>
        <w:rPr>
          <w:rFonts w:ascii="Tahoma" w:hAnsi="Tahoma" w:cs="Tahoma"/>
          <w:lang w:val="it-IT"/>
        </w:rPr>
      </w:pPr>
      <w:r w:rsidRPr="00EB4D74">
        <w:rPr>
          <w:rFonts w:ascii="Tahoma" w:hAnsi="Tahoma" w:cs="Tahoma"/>
          <w:sz w:val="18"/>
          <w:lang w:val="pt-BR"/>
        </w:rPr>
        <w:t>Clientes com uma assinatura de varejo ativa para qualquer um dos softwares acima</w:t>
      </w:r>
    </w:p>
    <w:p w:rsidR="008B1196" w:rsidRPr="00EB4D74" w:rsidRDefault="008B1196" w:rsidP="008B1196">
      <w:pPr>
        <w:pStyle w:val="FootnoteBulletLevel1"/>
        <w:spacing w:before="0" w:after="0"/>
        <w:ind w:left="907" w:firstLine="0"/>
        <w:rPr>
          <w:rFonts w:ascii="Tahoma" w:hAnsi="Tahoma" w:cs="Tahoma"/>
          <w:sz w:val="18"/>
          <w:szCs w:val="18"/>
          <w:lang w:val="it-IT"/>
        </w:rPr>
      </w:pPr>
    </w:p>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sz w:val="18"/>
          <w:lang w:val="pt-BR"/>
        </w:rPr>
        <w:t>Os clientes com Software Assurance próximo à data de término referente ao Visual Studio Premium 2012 com MSDN estão qualificados a renovar suas coberturas como:</w:t>
      </w:r>
    </w:p>
    <w:p w:rsidR="008B1196" w:rsidRPr="00EB4D74" w:rsidRDefault="008B1196" w:rsidP="008B1196">
      <w:pPr>
        <w:pStyle w:val="FootnoteBulletLevel1"/>
        <w:spacing w:before="0" w:after="0"/>
        <w:ind w:left="907" w:firstLine="0"/>
        <w:rPr>
          <w:rFonts w:ascii="Tahoma" w:hAnsi="Tahoma" w:cs="Tahoma"/>
          <w:sz w:val="18"/>
          <w:szCs w:val="18"/>
          <w:lang w:val="it-IT"/>
        </w:rPr>
      </w:pP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Professional com MSDN</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Visual Studio Test Professional com MSDN</w:t>
      </w:r>
    </w:p>
    <w:p w:rsidR="008B1196" w:rsidRPr="00EB4D74" w:rsidRDefault="008B1196" w:rsidP="008B1196">
      <w:pPr>
        <w:pStyle w:val="FootnoteBulletLevel2"/>
        <w:numPr>
          <w:ilvl w:val="0"/>
          <w:numId w:val="15"/>
        </w:numPr>
        <w:spacing w:before="0" w:after="60"/>
        <w:ind w:left="1440"/>
        <w:rPr>
          <w:rFonts w:ascii="Tahoma" w:hAnsi="Tahoma" w:cs="Tahoma"/>
        </w:rPr>
      </w:pPr>
      <w:r w:rsidRPr="00EB4D74">
        <w:rPr>
          <w:rFonts w:ascii="Tahoma" w:hAnsi="Tahoma" w:cs="Tahoma"/>
          <w:sz w:val="18"/>
          <w:lang w:val="pt-BR"/>
        </w:rPr>
        <w:t>MSDN Operating Systems</w:t>
      </w:r>
    </w:p>
    <w:p w:rsidR="008B1196" w:rsidRPr="00EB4D74" w:rsidRDefault="008B1196" w:rsidP="008B1196">
      <w:pPr>
        <w:pStyle w:val="FootnoteBulletLevel1"/>
        <w:spacing w:before="0" w:after="0"/>
        <w:ind w:left="907" w:firstLine="0"/>
        <w:rPr>
          <w:rFonts w:ascii="Tahoma" w:hAnsi="Tahoma" w:cs="Tahoma"/>
          <w:sz w:val="18"/>
          <w:szCs w:val="18"/>
        </w:rPr>
      </w:pPr>
    </w:p>
    <w:p w:rsidR="008B1196" w:rsidRPr="00EB4D74" w:rsidRDefault="008B1196" w:rsidP="008B1196">
      <w:pPr>
        <w:pStyle w:val="FootnoteBulletLevel1"/>
        <w:tabs>
          <w:tab w:val="clear" w:pos="900"/>
        </w:tabs>
        <w:spacing w:before="0" w:after="0"/>
        <w:ind w:left="720" w:firstLine="0"/>
        <w:rPr>
          <w:rFonts w:ascii="Tahoma" w:hAnsi="Tahoma" w:cs="Tahoma"/>
        </w:rPr>
      </w:pPr>
      <w:r w:rsidRPr="00EB4D74">
        <w:rPr>
          <w:rFonts w:ascii="Tahoma" w:hAnsi="Tahoma" w:cs="Tahoma"/>
          <w:sz w:val="18"/>
          <w:lang w:val="pt-BR"/>
        </w:rPr>
        <w:t xml:space="preserve">Os clientes do Enterprise, Select ou Open Value com cobertura do Software Assurance ativa para o Visual Studio Premium 2012 com MSDN também podem fazer step-up para o Visual Studio Ultimate 2012 com MSDN por meio da aquisição de </w:t>
      </w:r>
      <w:hyperlink w:anchor="Step_Up" w:history="1">
        <w:r w:rsidRPr="00EB4D74">
          <w:rPr>
            <w:rFonts w:ascii="Tahoma" w:hAnsi="Tahoma" w:cs="Tahoma"/>
            <w:sz w:val="18"/>
            <w:lang w:val="pt-BR"/>
          </w:rPr>
          <w:t>Step-Up SKU</w:t>
        </w:r>
      </w:hyperlink>
      <w:r w:rsidRPr="00EB4D74">
        <w:rPr>
          <w:rFonts w:ascii="Tahoma" w:hAnsi="Tahoma" w:cs="Tahoma"/>
          <w:sz w:val="18"/>
          <w:lang w:val="pt-BR"/>
        </w:rPr>
        <w:t xml:space="preserve"> apropriadas.</w:t>
      </w:r>
    </w:p>
    <w:p w:rsidR="008B1196" w:rsidRPr="00EB4D74" w:rsidRDefault="008B1196" w:rsidP="008B1196">
      <w:pPr>
        <w:pStyle w:val="FootnoteBulletLevel2"/>
        <w:tabs>
          <w:tab w:val="clear" w:pos="1260"/>
        </w:tabs>
        <w:spacing w:before="0"/>
        <w:ind w:left="720" w:firstLine="0"/>
        <w:rPr>
          <w:rFonts w:ascii="Tahoma" w:hAnsi="Tahoma" w:cs="Tahoma"/>
          <w:sz w:val="18"/>
          <w:szCs w:val="18"/>
        </w:rPr>
      </w:pPr>
    </w:p>
    <w:p w:rsidR="008B1196" w:rsidRPr="00EB4D74" w:rsidRDefault="008B1196" w:rsidP="008B1196">
      <w:pPr>
        <w:spacing w:after="60"/>
        <w:ind w:left="720"/>
        <w:rPr>
          <w:rFonts w:cs="Tahoma"/>
        </w:rPr>
      </w:pPr>
      <w:r w:rsidRPr="00EB4D74">
        <w:rPr>
          <w:rFonts w:cs="Tahoma"/>
          <w:b/>
          <w:lang w:val="pt-BR"/>
        </w:rPr>
        <w:t>Serviços de Assinatura</w:t>
      </w:r>
    </w:p>
    <w:p w:rsidR="008B1196" w:rsidRPr="00EB4D74" w:rsidRDefault="008B1196" w:rsidP="008B1196">
      <w:pPr>
        <w:pStyle w:val="FootnoteBulletLevel2"/>
        <w:tabs>
          <w:tab w:val="clear" w:pos="1260"/>
        </w:tabs>
        <w:spacing w:before="0"/>
        <w:ind w:left="720" w:firstLine="0"/>
        <w:rPr>
          <w:rFonts w:ascii="Tahoma" w:hAnsi="Tahoma" w:cs="Tahoma"/>
          <w:sz w:val="18"/>
          <w:lang w:val="pt-BR"/>
        </w:rPr>
      </w:pPr>
      <w:r w:rsidRPr="00EB4D74">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8B1196" w:rsidRPr="00EB4D74" w:rsidRDefault="008B1196" w:rsidP="008B1196">
      <w:pPr>
        <w:pStyle w:val="FootnoteBulletLevel2"/>
        <w:tabs>
          <w:tab w:val="clear" w:pos="1260"/>
        </w:tabs>
        <w:spacing w:before="0"/>
        <w:ind w:left="720" w:firstLine="0"/>
        <w:rPr>
          <w:rFonts w:ascii="Tahoma" w:hAnsi="Tahoma" w:cs="Tahoma"/>
        </w:rPr>
      </w:pPr>
    </w:p>
    <w:p w:rsidR="008B1196" w:rsidRPr="00EB4D74" w:rsidRDefault="008B1196" w:rsidP="008B1196">
      <w:pPr>
        <w:spacing w:after="60"/>
        <w:ind w:left="720"/>
        <w:rPr>
          <w:rFonts w:cs="Tahoma"/>
        </w:rPr>
      </w:pPr>
      <w:r w:rsidRPr="00EB4D74">
        <w:rPr>
          <w:rFonts w:cs="Tahoma"/>
          <w:b/>
          <w:lang w:val="pt-BR"/>
        </w:rPr>
        <w:t>Windows Azure Platform Services</w:t>
      </w:r>
    </w:p>
    <w:p w:rsidR="008B1196" w:rsidRPr="00EB4D74" w:rsidRDefault="008B1196" w:rsidP="008B1196">
      <w:pPr>
        <w:pStyle w:val="FootnoteBulletLevel2"/>
        <w:tabs>
          <w:tab w:val="clear" w:pos="1260"/>
        </w:tabs>
        <w:spacing w:before="0"/>
        <w:ind w:left="720" w:firstLine="0"/>
        <w:rPr>
          <w:rFonts w:ascii="Tahoma" w:hAnsi="Tahoma" w:cs="Tahoma"/>
        </w:rPr>
      </w:pPr>
      <w:r w:rsidRPr="00EB4D74">
        <w:rPr>
          <w:rFonts w:ascii="Tahoma" w:hAnsi="Tahoma" w:cs="Tahoma"/>
          <w:sz w:val="18"/>
          <w:lang w:val="pt-BR"/>
        </w:rPr>
        <w:t>Os benefícios do Windows Azure não podem ser combinados de várias assinaturas do MSDN em uma única conta do Windows Azure. O uso do Windows Azure está sujeito aos termos de uso do Windows Azure.</w:t>
      </w:r>
    </w:p>
    <w:p w:rsidR="008B1196" w:rsidRPr="00EB4D74" w:rsidRDefault="008B1196" w:rsidP="008B1196">
      <w:pPr>
        <w:pStyle w:val="Heading3"/>
        <w:rPr>
          <w:rFonts w:ascii="Tahoma" w:hAnsi="Tahoma" w:cs="Tahoma"/>
        </w:rPr>
      </w:pPr>
      <w:bookmarkStart w:id="1134" w:name="_Toc336338278"/>
      <w:bookmarkStart w:id="1135" w:name="_Toc342914912"/>
      <w:bookmarkStart w:id="1136" w:name="Aps_18VS2010UltimateMSDN"/>
      <w:bookmarkEnd w:id="1134"/>
      <w:r w:rsidRPr="00EB4D74">
        <w:rPr>
          <w:rFonts w:ascii="Tahoma" w:hAnsi="Tahoma" w:cs="Tahoma"/>
          <w:caps/>
          <w:color w:val="F66400"/>
          <w:sz w:val="22"/>
          <w:vertAlign w:val="superscript"/>
          <w:lang w:val="pt-BR"/>
        </w:rPr>
        <w:lastRenderedPageBreak/>
        <w:t>19</w:t>
      </w:r>
      <w:r w:rsidRPr="00EB4D74">
        <w:rPr>
          <w:rFonts w:ascii="Tahoma" w:hAnsi="Tahoma" w:cs="Tahoma"/>
          <w:color w:val="F66400"/>
          <w:sz w:val="22"/>
          <w:lang w:val="pt-BR"/>
        </w:rPr>
        <w:t xml:space="preserve"> Visual Studio Ultimate 2012 com MSDN</w:t>
      </w:r>
      <w:bookmarkEnd w:id="1135"/>
    </w:p>
    <w:bookmarkEnd w:id="1136"/>
    <w:p w:rsidR="008B1196" w:rsidRPr="00EB4D74" w:rsidRDefault="008B1196" w:rsidP="008B1196">
      <w:pPr>
        <w:adjustRightInd w:val="0"/>
        <w:ind w:left="540"/>
        <w:textAlignment w:val="baseline"/>
        <w:rPr>
          <w:rFonts w:cs="Tahoma"/>
        </w:rPr>
      </w:pPr>
    </w:p>
    <w:p w:rsidR="008B1196" w:rsidRPr="00EB4D74" w:rsidRDefault="008B1196" w:rsidP="008B1196">
      <w:pPr>
        <w:spacing w:after="60"/>
        <w:ind w:left="720"/>
        <w:rPr>
          <w:rFonts w:cs="Tahoma"/>
        </w:rPr>
      </w:pPr>
      <w:r w:rsidRPr="00EB4D74">
        <w:rPr>
          <w:rFonts w:cs="Tahoma"/>
          <w:b/>
          <w:lang w:val="pt-BR"/>
        </w:rPr>
        <w:t>Visual Studio Team Foundation Server 2012</w:t>
      </w:r>
    </w:p>
    <w:p w:rsidR="008B1196" w:rsidRPr="00EB4D74" w:rsidRDefault="008B1196" w:rsidP="008B1196">
      <w:pPr>
        <w:pStyle w:val="EndnoteText"/>
        <w:ind w:left="720"/>
        <w:rPr>
          <w:rFonts w:ascii="Tahoma" w:hAnsi="Tahoma" w:cs="Tahoma"/>
          <w:lang w:val="it-IT"/>
        </w:rPr>
      </w:pPr>
      <w:r w:rsidRPr="00EB4D74">
        <w:rPr>
          <w:rFonts w:ascii="Tahoma" w:hAnsi="Tahoma" w:cs="Tahoma"/>
          <w:sz w:val="18"/>
        </w:rPr>
        <w:t xml:space="preserve">O assinante está qualificado para uma licença de servidor para o Visual Studio Team Foundation Server 2012 e uma CAL de Usuário do Team Foundation Server. </w:t>
      </w:r>
      <w:r w:rsidRPr="00EB4D74">
        <w:rPr>
          <w:rFonts w:ascii="Tahoma" w:hAnsi="Tahoma" w:cs="Tahoma"/>
          <w:sz w:val="18"/>
          <w:lang w:val="it-IT"/>
        </w:rPr>
        <w:t>A CAL é reservada unicamente para uso do assinante.</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t>SQL Server Parallel Data Warehouse Developer</w:t>
      </w: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 assinante é qualificado para uma licença do SQL Server 2008 R2 Parallel Data Warehouse Developer.</w:t>
      </w:r>
    </w:p>
    <w:p w:rsidR="008B1196" w:rsidRPr="00EB4D74" w:rsidRDefault="008B1196" w:rsidP="008B1196">
      <w:pPr>
        <w:adjustRightInd w:val="0"/>
        <w:ind w:left="720"/>
        <w:textAlignment w:val="baseline"/>
        <w:rPr>
          <w:rFonts w:cs="Tahoma"/>
          <w:lang w:val="it-IT"/>
        </w:rPr>
      </w:pPr>
    </w:p>
    <w:p w:rsidR="008B1196" w:rsidRPr="00EB4D74" w:rsidRDefault="008B1196" w:rsidP="008B1196">
      <w:pPr>
        <w:spacing w:after="60"/>
        <w:ind w:left="720"/>
        <w:rPr>
          <w:rFonts w:cs="Tahoma"/>
          <w:lang w:val="it-IT"/>
        </w:rPr>
      </w:pPr>
      <w:r w:rsidRPr="00EB4D74">
        <w:rPr>
          <w:rFonts w:cs="Tahoma"/>
          <w:b/>
          <w:lang w:val="pt-BR"/>
        </w:rPr>
        <w:t>Qualificação do Software Assurance</w:t>
      </w:r>
    </w:p>
    <w:p w:rsidR="008B1196" w:rsidRPr="00EB4D74" w:rsidRDefault="008B1196" w:rsidP="008B1196">
      <w:pPr>
        <w:ind w:left="720"/>
        <w:rPr>
          <w:rFonts w:cs="Tahoma"/>
          <w:lang w:val="it-IT"/>
        </w:rPr>
      </w:pPr>
      <w:r w:rsidRPr="00EB4D74">
        <w:rPr>
          <w:rFonts w:cs="Tahoma"/>
          <w:lang w:val="pt-BR"/>
        </w:rPr>
        <w:t>Os clientes com Software Assurance próximo à data de término referente aos produtos a seguir estão qualificados a renovar suas coberturas como Visual Studio Ultimate 2012 com MSDN:</w:t>
      </w:r>
    </w:p>
    <w:p w:rsidR="008B1196" w:rsidRPr="00EB4D74" w:rsidRDefault="008B1196" w:rsidP="008B1196">
      <w:pPr>
        <w:ind w:left="900"/>
        <w:rPr>
          <w:rFonts w:cs="Tahoma"/>
          <w:lang w:val="it-IT"/>
        </w:rPr>
      </w:pP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Ultimate com MSDN</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Team System Team Suite com MSDN Premium</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Team System Test Edition com MSDN Premium</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Team System Development Edition com MSDN Premium</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Team System Architecture Edition com MSDN Premium</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Team System Database Edition com MSDN Premium</w:t>
      </w:r>
    </w:p>
    <w:p w:rsidR="008B1196" w:rsidRPr="00EB4D74" w:rsidRDefault="008B1196" w:rsidP="008B1196">
      <w:pPr>
        <w:numPr>
          <w:ilvl w:val="0"/>
          <w:numId w:val="15"/>
        </w:numPr>
        <w:adjustRightInd w:val="0"/>
        <w:snapToGrid w:val="0"/>
        <w:spacing w:after="60"/>
        <w:ind w:left="1440"/>
        <w:textAlignment w:val="baseline"/>
        <w:rPr>
          <w:rFonts w:cs="Tahoma"/>
          <w:lang w:val="it-IT"/>
        </w:rPr>
      </w:pPr>
      <w:r w:rsidRPr="00EB4D74">
        <w:rPr>
          <w:rFonts w:cs="Tahoma"/>
          <w:lang w:val="pt-BR"/>
        </w:rPr>
        <w:t>Clientes com uma assinatura de varejo ativa para qualquer um dos softwares acima</w:t>
      </w:r>
    </w:p>
    <w:p w:rsidR="008B1196" w:rsidRPr="00EB4D74" w:rsidRDefault="008B1196" w:rsidP="008B1196">
      <w:pPr>
        <w:tabs>
          <w:tab w:val="num" w:pos="900"/>
        </w:tabs>
        <w:adjustRightInd w:val="0"/>
        <w:ind w:left="1440"/>
        <w:textAlignment w:val="baseline"/>
        <w:rPr>
          <w:rFonts w:cs="Tahoma"/>
          <w:lang w:val="it-IT"/>
        </w:rPr>
      </w:pPr>
    </w:p>
    <w:p w:rsidR="008B1196" w:rsidRPr="00EB4D74" w:rsidRDefault="008B1196" w:rsidP="008B1196">
      <w:pPr>
        <w:adjustRightInd w:val="0"/>
        <w:ind w:left="720"/>
        <w:textAlignment w:val="baseline"/>
        <w:rPr>
          <w:rFonts w:cs="Tahoma"/>
          <w:lang w:val="it-IT"/>
        </w:rPr>
      </w:pPr>
      <w:r w:rsidRPr="00EB4D74">
        <w:rPr>
          <w:rFonts w:cs="Tahoma"/>
          <w:lang w:val="pt-BR"/>
        </w:rPr>
        <w:t>Os clientes com Software Assurance próximo à data de término referente ao Visual Studio Ultimate 2012 com MSDN estão qualificados a renovar suas coberturas como:</w:t>
      </w:r>
    </w:p>
    <w:p w:rsidR="008B1196" w:rsidRPr="00EB4D74" w:rsidRDefault="008B1196" w:rsidP="008B1196">
      <w:pPr>
        <w:adjustRightInd w:val="0"/>
        <w:ind w:left="720"/>
        <w:textAlignment w:val="baseline"/>
        <w:rPr>
          <w:rFonts w:cs="Tahoma"/>
          <w:lang w:val="it-IT"/>
        </w:rPr>
      </w:pP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Premium com MSDN</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Professional com MSDN</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Visual Studio Test Professional com MSDN</w:t>
      </w:r>
    </w:p>
    <w:p w:rsidR="008B1196" w:rsidRPr="00EB4D74" w:rsidRDefault="008B1196" w:rsidP="008B1196">
      <w:pPr>
        <w:numPr>
          <w:ilvl w:val="0"/>
          <w:numId w:val="15"/>
        </w:numPr>
        <w:adjustRightInd w:val="0"/>
        <w:snapToGrid w:val="0"/>
        <w:spacing w:after="60"/>
        <w:ind w:left="1440"/>
        <w:textAlignment w:val="baseline"/>
        <w:rPr>
          <w:rFonts w:cs="Tahoma"/>
        </w:rPr>
      </w:pPr>
      <w:r w:rsidRPr="00EB4D74">
        <w:rPr>
          <w:rFonts w:cs="Tahoma"/>
          <w:lang w:val="pt-BR"/>
        </w:rPr>
        <w:t>MSDN Operating Systems</w:t>
      </w:r>
    </w:p>
    <w:p w:rsidR="008B1196" w:rsidRPr="00EB4D74" w:rsidRDefault="008B1196" w:rsidP="008B1196">
      <w:pPr>
        <w:tabs>
          <w:tab w:val="num" w:pos="900"/>
        </w:tabs>
        <w:adjustRightInd w:val="0"/>
        <w:ind w:left="900"/>
        <w:textAlignment w:val="baseline"/>
        <w:rPr>
          <w:rFonts w:cs="Tahoma"/>
        </w:rPr>
      </w:pPr>
    </w:p>
    <w:p w:rsidR="008B1196" w:rsidRPr="00EB4D74" w:rsidRDefault="008B1196" w:rsidP="008B1196">
      <w:pPr>
        <w:adjustRightInd w:val="0"/>
        <w:ind w:left="720"/>
        <w:textAlignment w:val="baseline"/>
        <w:rPr>
          <w:rFonts w:cs="Tahoma"/>
        </w:rPr>
      </w:pPr>
      <w:r w:rsidRPr="00EB4D74">
        <w:rPr>
          <w:rFonts w:cs="Tahoma"/>
          <w:lang w:val="pt-BR"/>
        </w:rPr>
        <w:t xml:space="preserve">Os clientes do Enterprise, Select ou Open Value com cobertura do Software Assurance ativa para qualquer um dos produtos a seguir também poderão fazer step-up para o Visual Studio Ultimate 2012 com MSDN por meio da aquisição de </w:t>
      </w:r>
      <w:hyperlink w:anchor="Step_Up" w:history="1">
        <w:r w:rsidRPr="00EB4D74">
          <w:t>SKUs de Step-up</w:t>
        </w:r>
      </w:hyperlink>
      <w:r w:rsidRPr="00EB4D74">
        <w:rPr>
          <w:rFonts w:cs="Tahoma"/>
          <w:lang w:val="pt-BR"/>
        </w:rPr>
        <w:t xml:space="preserve"> apropriadas:</w:t>
      </w:r>
    </w:p>
    <w:p w:rsidR="008B1196" w:rsidRPr="00EB4D74" w:rsidRDefault="008B1196" w:rsidP="008B1196">
      <w:pPr>
        <w:tabs>
          <w:tab w:val="num" w:pos="900"/>
        </w:tabs>
        <w:adjustRightInd w:val="0"/>
        <w:ind w:left="900"/>
        <w:textAlignment w:val="baseline"/>
        <w:rPr>
          <w:rFonts w:cs="Tahoma"/>
        </w:rPr>
      </w:pPr>
    </w:p>
    <w:p w:rsidR="008B1196" w:rsidRPr="00EB4D74" w:rsidRDefault="008B1196" w:rsidP="008B1196">
      <w:pPr>
        <w:numPr>
          <w:ilvl w:val="0"/>
          <w:numId w:val="15"/>
        </w:numPr>
        <w:adjustRightInd w:val="0"/>
        <w:snapToGrid w:val="0"/>
        <w:ind w:left="1440"/>
        <w:textAlignment w:val="baseline"/>
        <w:rPr>
          <w:rFonts w:cs="Tahoma"/>
        </w:rPr>
      </w:pPr>
      <w:r w:rsidRPr="00EB4D74">
        <w:rPr>
          <w:rFonts w:cs="Tahoma"/>
          <w:lang w:val="pt-BR"/>
        </w:rPr>
        <w:t>Visual Studio Premium com MSDN</w:t>
      </w:r>
    </w:p>
    <w:p w:rsidR="008B1196" w:rsidRPr="00EB4D74" w:rsidRDefault="008B1196" w:rsidP="008B1196">
      <w:pPr>
        <w:adjustRightInd w:val="0"/>
        <w:snapToGrid w:val="0"/>
        <w:textAlignment w:val="baseline"/>
        <w:rPr>
          <w:rFonts w:cs="Tahoma"/>
        </w:rPr>
      </w:pPr>
    </w:p>
    <w:p w:rsidR="008B1196" w:rsidRPr="00EB4D74" w:rsidRDefault="008B1196" w:rsidP="008B1196">
      <w:pPr>
        <w:spacing w:after="60"/>
        <w:ind w:left="720"/>
        <w:rPr>
          <w:rFonts w:cs="Tahoma"/>
        </w:rPr>
      </w:pPr>
      <w:r w:rsidRPr="00EB4D74">
        <w:rPr>
          <w:rFonts w:cs="Tahoma"/>
          <w:b/>
          <w:lang w:val="pt-BR"/>
        </w:rPr>
        <w:t>Serviços de Assinatura</w:t>
      </w:r>
    </w:p>
    <w:p w:rsidR="008B1196" w:rsidRPr="00EB4D74" w:rsidRDefault="008B1196" w:rsidP="008B1196">
      <w:pPr>
        <w:pStyle w:val="FootnoteBulletLevel2"/>
        <w:tabs>
          <w:tab w:val="clear" w:pos="1260"/>
        </w:tabs>
        <w:spacing w:before="0"/>
        <w:ind w:left="720" w:firstLine="0"/>
        <w:rPr>
          <w:rFonts w:ascii="Tahoma" w:hAnsi="Tahoma" w:cs="Tahoma"/>
        </w:rPr>
      </w:pPr>
      <w:r w:rsidRPr="00EB4D74">
        <w:rPr>
          <w:rFonts w:ascii="Tahoma" w:hAnsi="Tahoma" w:cs="Tahoma"/>
          <w:sz w:val="18"/>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8B1196" w:rsidRPr="00EB4D74" w:rsidRDefault="008B1196" w:rsidP="008B1196">
      <w:pPr>
        <w:pStyle w:val="FootnoteBulletLevel1"/>
        <w:spacing w:before="0" w:after="0"/>
        <w:ind w:left="720" w:firstLine="0"/>
        <w:rPr>
          <w:rFonts w:ascii="Tahoma" w:hAnsi="Tahoma" w:cs="Tahoma"/>
          <w:sz w:val="18"/>
          <w:szCs w:val="18"/>
        </w:rPr>
      </w:pPr>
    </w:p>
    <w:p w:rsidR="008B1196" w:rsidRPr="00EB4D74" w:rsidRDefault="008B1196" w:rsidP="008B1196">
      <w:pPr>
        <w:spacing w:after="60"/>
        <w:ind w:left="720"/>
        <w:rPr>
          <w:rFonts w:cs="Tahoma"/>
        </w:rPr>
      </w:pPr>
      <w:r w:rsidRPr="00EB4D74">
        <w:rPr>
          <w:rFonts w:cs="Tahoma"/>
          <w:b/>
          <w:lang w:val="pt-BR"/>
        </w:rPr>
        <w:t>Windows Azure Platform Services</w:t>
      </w:r>
    </w:p>
    <w:p w:rsidR="008B1196" w:rsidRPr="00EB4D74" w:rsidRDefault="008B1196" w:rsidP="008B1196">
      <w:pPr>
        <w:adjustRightInd w:val="0"/>
        <w:snapToGrid w:val="0"/>
        <w:ind w:left="720"/>
        <w:textAlignment w:val="baseline"/>
        <w:rPr>
          <w:rFonts w:cs="Tahoma"/>
        </w:rPr>
      </w:pPr>
      <w:r w:rsidRPr="00EB4D74">
        <w:rPr>
          <w:rFonts w:cs="Tahoma"/>
          <w:lang w:val="pt-BR"/>
        </w:rPr>
        <w:t xml:space="preserve">Os benefícios do Windows Azure não podem ser combinados de várias assinaturas do MSDN em uma única conta do Windows Azure. </w:t>
      </w:r>
      <w:bookmarkStart w:id="1137" w:name="Aps_19VS2010TestMSDN"/>
      <w:r w:rsidRPr="00EB4D74">
        <w:rPr>
          <w:rFonts w:cs="Tahoma"/>
          <w:lang w:val="pt-BR"/>
        </w:rPr>
        <w:t>O uso do Windows Azure está sujeito aos termos de uso do Windows Azure.</w:t>
      </w:r>
    </w:p>
    <w:p w:rsidR="008B1196" w:rsidRPr="00EB4D74" w:rsidRDefault="008B1196" w:rsidP="008B1196">
      <w:pPr>
        <w:adjustRightInd w:val="0"/>
        <w:snapToGrid w:val="0"/>
        <w:textAlignment w:val="baseline"/>
        <w:rPr>
          <w:rFonts w:cs="Tahoma"/>
        </w:rPr>
      </w:pPr>
    </w:p>
    <w:p w:rsidR="008B1196" w:rsidRPr="00EB4D74" w:rsidRDefault="008B1196" w:rsidP="008B1196">
      <w:pPr>
        <w:adjustRightInd w:val="0"/>
        <w:snapToGrid w:val="0"/>
        <w:textAlignment w:val="baseline"/>
        <w:rPr>
          <w:rFonts w:cs="Tahoma"/>
        </w:rPr>
      </w:pPr>
    </w:p>
    <w:p w:rsidR="008B1196" w:rsidRPr="00EB4D74" w:rsidRDefault="008B1196" w:rsidP="008B1196">
      <w:pPr>
        <w:pStyle w:val="Heading3"/>
        <w:rPr>
          <w:rFonts w:ascii="Tahoma" w:hAnsi="Tahoma" w:cs="Tahoma"/>
        </w:rPr>
      </w:pPr>
      <w:bookmarkStart w:id="1138" w:name="_Toc336338279"/>
      <w:bookmarkStart w:id="1139" w:name="_20_Visual_Studio"/>
      <w:bookmarkStart w:id="1140" w:name="_Toc342914913"/>
      <w:bookmarkEnd w:id="1137"/>
      <w:bookmarkEnd w:id="1138"/>
      <w:bookmarkEnd w:id="1139"/>
      <w:r w:rsidRPr="00EB4D74">
        <w:rPr>
          <w:rFonts w:ascii="Tahoma" w:hAnsi="Tahoma" w:cs="Tahoma"/>
          <w:caps/>
          <w:color w:val="F66400"/>
          <w:sz w:val="22"/>
          <w:vertAlign w:val="superscript"/>
          <w:lang w:val="pt-BR"/>
        </w:rPr>
        <w:t>20</w:t>
      </w:r>
      <w:r w:rsidRPr="00EB4D74">
        <w:rPr>
          <w:rFonts w:ascii="Tahoma" w:hAnsi="Tahoma" w:cs="Tahoma"/>
          <w:color w:val="F66400"/>
          <w:sz w:val="22"/>
          <w:lang w:val="pt-BR"/>
        </w:rPr>
        <w:t xml:space="preserve"> Visual Studio Test Professional 2012 com MSDN</w:t>
      </w:r>
      <w:bookmarkEnd w:id="1140"/>
    </w:p>
    <w:p w:rsidR="008B1196" w:rsidRPr="00EB4D74" w:rsidRDefault="008B1196" w:rsidP="008B1196">
      <w:pPr>
        <w:pStyle w:val="FootnoteBulletLevel1"/>
        <w:spacing w:before="0" w:after="0"/>
        <w:rPr>
          <w:rFonts w:ascii="Tahoma" w:hAnsi="Tahoma" w:cs="Tahoma"/>
          <w:sz w:val="18"/>
          <w:szCs w:val="18"/>
        </w:rPr>
      </w:pPr>
    </w:p>
    <w:p w:rsidR="008B1196" w:rsidRPr="00EB4D74" w:rsidRDefault="008B1196" w:rsidP="008B1196">
      <w:pPr>
        <w:spacing w:after="60"/>
        <w:ind w:left="720"/>
        <w:rPr>
          <w:rFonts w:cs="Tahoma"/>
        </w:rPr>
      </w:pPr>
      <w:r w:rsidRPr="00EB4D74">
        <w:rPr>
          <w:rFonts w:cs="Tahoma"/>
          <w:b/>
          <w:lang w:val="pt-BR"/>
        </w:rPr>
        <w:t>Visual Studio Team Foundation Server 2012</w:t>
      </w:r>
    </w:p>
    <w:p w:rsidR="008B1196" w:rsidRPr="00EB4D74" w:rsidRDefault="008B1196" w:rsidP="008B1196">
      <w:pPr>
        <w:pStyle w:val="EndnoteText"/>
        <w:ind w:left="720"/>
        <w:rPr>
          <w:rFonts w:ascii="Tahoma" w:hAnsi="Tahoma" w:cs="Tahoma"/>
          <w:spacing w:val="-2"/>
          <w:lang w:val="it-IT"/>
        </w:rPr>
      </w:pPr>
      <w:r w:rsidRPr="00EB4D74">
        <w:rPr>
          <w:rFonts w:ascii="Tahoma" w:hAnsi="Tahoma" w:cs="Tahoma"/>
          <w:spacing w:val="-2"/>
          <w:sz w:val="18"/>
        </w:rPr>
        <w:t xml:space="preserve">O assinante está qualificado para uma licença de servidor para o Visual Studio Team Foundation Server 2012 e uma CAL de Usuário do Team Foundation Server. </w:t>
      </w:r>
      <w:r w:rsidRPr="00EB4D74">
        <w:rPr>
          <w:rFonts w:ascii="Tahoma" w:hAnsi="Tahoma" w:cs="Tahoma"/>
          <w:spacing w:val="-2"/>
          <w:sz w:val="18"/>
          <w:lang w:val="it-IT"/>
        </w:rPr>
        <w:t>A CAL é reservada unicamente para uso do assinante.</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lang w:val="pt-BR"/>
        </w:rPr>
        <w:lastRenderedPageBreak/>
        <w:t>SQL Server Parallel Data Warehouse Developer</w:t>
      </w:r>
    </w:p>
    <w:p w:rsidR="008B1196" w:rsidRPr="00EB4D74" w:rsidRDefault="008B1196" w:rsidP="008B1196">
      <w:pPr>
        <w:pStyle w:val="EndnoteText"/>
        <w:ind w:left="720"/>
        <w:rPr>
          <w:rFonts w:ascii="Tahoma" w:hAnsi="Tahoma" w:cs="Tahoma"/>
          <w:sz w:val="18"/>
          <w:lang w:val="it-IT"/>
        </w:rPr>
      </w:pPr>
      <w:r w:rsidRPr="00EB4D74">
        <w:rPr>
          <w:rFonts w:ascii="Tahoma" w:hAnsi="Tahoma" w:cs="Tahoma"/>
          <w:sz w:val="18"/>
          <w:lang w:val="it-IT"/>
        </w:rPr>
        <w:t>O assinante é qualificado para uma licença do SQL Server 2008 R2 Parallel Data Warehouse Developer.</w:t>
      </w:r>
    </w:p>
    <w:p w:rsidR="008B1196" w:rsidRPr="00EB4D74" w:rsidRDefault="008B1196" w:rsidP="008B1196">
      <w:pPr>
        <w:pStyle w:val="EndnoteText"/>
        <w:ind w:left="720"/>
        <w:rPr>
          <w:rFonts w:ascii="Tahoma" w:hAnsi="Tahoma" w:cs="Tahoma"/>
          <w:lang w:val="it-IT"/>
        </w:rPr>
      </w:pPr>
    </w:p>
    <w:p w:rsidR="008B1196" w:rsidRPr="00EB4D74" w:rsidRDefault="008B1196" w:rsidP="008B1196">
      <w:pPr>
        <w:spacing w:after="60"/>
        <w:ind w:left="720"/>
        <w:rPr>
          <w:rFonts w:cs="Tahoma"/>
          <w:lang w:val="it-IT"/>
        </w:rPr>
      </w:pPr>
      <w:r w:rsidRPr="00EB4D74">
        <w:rPr>
          <w:rFonts w:cs="Tahoma"/>
          <w:b/>
          <w:lang w:val="pt-BR"/>
        </w:rPr>
        <w:t>Qualificação do Software Assurance</w:t>
      </w: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Os clientes com Software Assurance próximo à data de término referente aos produtos a seguir estão qualificados a renovar suas coberturas como Visual Studio Test Professional 2012 com MSDN:</w:t>
      </w:r>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pStyle w:val="FootnoteBulletLevel2"/>
        <w:numPr>
          <w:ilvl w:val="0"/>
          <w:numId w:val="14"/>
        </w:numPr>
        <w:spacing w:before="0" w:after="60"/>
        <w:ind w:left="1440"/>
        <w:rPr>
          <w:rFonts w:ascii="Tahoma" w:hAnsi="Tahoma" w:cs="Tahoma"/>
        </w:rPr>
      </w:pPr>
      <w:r w:rsidRPr="00EB4D74">
        <w:rPr>
          <w:rFonts w:ascii="Tahoma" w:hAnsi="Tahoma" w:cs="Tahoma"/>
          <w:sz w:val="18"/>
          <w:lang w:val="pt-BR"/>
        </w:rPr>
        <w:t>Visual Studio Ultimate com MSDN</w:t>
      </w:r>
    </w:p>
    <w:p w:rsidR="008B1196" w:rsidRPr="00EB4D74" w:rsidRDefault="008B1196" w:rsidP="008B1196">
      <w:pPr>
        <w:pStyle w:val="FootnoteBulletLevel2"/>
        <w:numPr>
          <w:ilvl w:val="0"/>
          <w:numId w:val="14"/>
        </w:numPr>
        <w:spacing w:before="0" w:after="60"/>
        <w:ind w:left="1440"/>
        <w:rPr>
          <w:rFonts w:ascii="Tahoma" w:hAnsi="Tahoma" w:cs="Tahoma"/>
        </w:rPr>
      </w:pPr>
      <w:r w:rsidRPr="00EB4D74">
        <w:rPr>
          <w:rFonts w:ascii="Tahoma" w:hAnsi="Tahoma" w:cs="Tahoma"/>
          <w:sz w:val="18"/>
          <w:lang w:val="pt-BR"/>
        </w:rPr>
        <w:t>Visual Studio Test Professional com MSDN</w:t>
      </w:r>
    </w:p>
    <w:p w:rsidR="008B1196" w:rsidRPr="00EB4D74" w:rsidRDefault="008B1196" w:rsidP="008B1196">
      <w:pPr>
        <w:pStyle w:val="FootnoteBulletLevel2"/>
        <w:numPr>
          <w:ilvl w:val="0"/>
          <w:numId w:val="14"/>
        </w:numPr>
        <w:spacing w:before="0" w:after="60"/>
        <w:ind w:left="1440"/>
        <w:rPr>
          <w:rFonts w:ascii="Tahoma" w:hAnsi="Tahoma" w:cs="Tahoma"/>
          <w:lang w:val="it-IT"/>
        </w:rPr>
      </w:pPr>
      <w:r w:rsidRPr="00EB4D74">
        <w:rPr>
          <w:rFonts w:ascii="Tahoma" w:hAnsi="Tahoma" w:cs="Tahoma"/>
          <w:sz w:val="18"/>
          <w:lang w:val="pt-BR"/>
        </w:rPr>
        <w:t>Clientes com uma assinatura de varejo ativa para qualquer um dos softwares acima</w:t>
      </w:r>
    </w:p>
    <w:p w:rsidR="008B1196" w:rsidRPr="00EB4D74" w:rsidRDefault="008B1196" w:rsidP="008B1196">
      <w:pPr>
        <w:pStyle w:val="FootnoteBulletLevel1"/>
        <w:spacing w:before="0" w:after="0"/>
        <w:ind w:firstLine="0"/>
        <w:rPr>
          <w:rFonts w:ascii="Tahoma" w:hAnsi="Tahoma" w:cs="Tahoma"/>
          <w:sz w:val="18"/>
          <w:szCs w:val="18"/>
          <w:lang w:val="it-IT"/>
        </w:rPr>
      </w:pPr>
    </w:p>
    <w:p w:rsidR="008B1196" w:rsidRPr="00EB4D74" w:rsidRDefault="008B1196" w:rsidP="008B1196">
      <w:pPr>
        <w:pStyle w:val="FootnoteBulletLevel2"/>
        <w:tabs>
          <w:tab w:val="clear" w:pos="1260"/>
        </w:tabs>
        <w:spacing w:before="0"/>
        <w:ind w:left="720" w:firstLine="0"/>
        <w:rPr>
          <w:rFonts w:ascii="Tahoma" w:hAnsi="Tahoma" w:cs="Tahoma"/>
        </w:rPr>
      </w:pPr>
      <w:r w:rsidRPr="00EB4D74">
        <w:rPr>
          <w:rFonts w:ascii="Tahoma" w:hAnsi="Tahoma" w:cs="Tahoma"/>
          <w:sz w:val="18"/>
          <w:lang w:val="pt-BR"/>
        </w:rPr>
        <w:t xml:space="preserve">Os clientes do Enterprise, Select ou Open Value com cobertura do Software Assurance ativa para o Visual Studio Test Professional 2012 com MSDN também podem fazer step-up para o Visual Studio Premium 2012 com MSDN por meio da aquisição de </w:t>
      </w:r>
      <w:hyperlink w:anchor="Step_Up" w:history="1">
        <w:r w:rsidRPr="00EB4D74">
          <w:rPr>
            <w:rStyle w:val="Hyperlink"/>
            <w:rFonts w:ascii="Tahoma" w:hAnsi="Tahoma" w:cs="Tahoma"/>
            <w:color w:val="auto"/>
            <w:sz w:val="18"/>
            <w:u w:val="none"/>
            <w:lang w:val="pt-BR"/>
          </w:rPr>
          <w:t>SKUs de Step-up</w:t>
        </w:r>
      </w:hyperlink>
      <w:r w:rsidRPr="00EB4D74">
        <w:rPr>
          <w:rFonts w:ascii="Tahoma" w:hAnsi="Tahoma" w:cs="Tahoma"/>
          <w:sz w:val="18"/>
          <w:lang w:val="pt-BR"/>
        </w:rPr>
        <w:t xml:space="preserve"> apropriadas</w:t>
      </w:r>
    </w:p>
    <w:p w:rsidR="008B1196" w:rsidRPr="00EB4D74" w:rsidRDefault="008B1196" w:rsidP="008B1196">
      <w:pPr>
        <w:pStyle w:val="FootnoteBulletLevel2"/>
        <w:tabs>
          <w:tab w:val="clear" w:pos="1260"/>
        </w:tabs>
        <w:spacing w:before="0"/>
        <w:ind w:left="720" w:firstLine="0"/>
        <w:rPr>
          <w:rFonts w:ascii="Tahoma" w:hAnsi="Tahoma" w:cs="Tahoma"/>
          <w:sz w:val="18"/>
          <w:szCs w:val="18"/>
        </w:rPr>
      </w:pPr>
    </w:p>
    <w:p w:rsidR="008B1196" w:rsidRPr="00EB4D74" w:rsidRDefault="008B1196" w:rsidP="008B1196">
      <w:pPr>
        <w:spacing w:after="60"/>
        <w:ind w:left="720"/>
        <w:rPr>
          <w:rFonts w:cs="Tahoma"/>
        </w:rPr>
      </w:pPr>
      <w:r w:rsidRPr="00EB4D74">
        <w:rPr>
          <w:rFonts w:cs="Tahoma"/>
          <w:b/>
          <w:lang w:val="pt-BR"/>
        </w:rPr>
        <w:t>Serviços de Assinatura</w:t>
      </w:r>
    </w:p>
    <w:p w:rsidR="008B1196" w:rsidRPr="00EB4D74" w:rsidRDefault="008B1196" w:rsidP="008B1196">
      <w:pPr>
        <w:ind w:left="720"/>
        <w:rPr>
          <w:rFonts w:cs="Tahoma"/>
        </w:rPr>
      </w:pPr>
      <w:bookmarkStart w:id="1141" w:name="_14_Operating_System"/>
      <w:bookmarkEnd w:id="1141"/>
      <w:r w:rsidRPr="00EB4D74">
        <w:rPr>
          <w:rFonts w:cs="Tahoma"/>
          <w:lang w:val="pt-BR"/>
        </w:rPr>
        <w:t>Os serviços de assinatura MSDN, que podem incluir downloads, chaves de produto, benefícios do Windows Azure, e-learning, suporte técnico, benefícios do Windows Store e outros serviços, só estarão disponíveis enquanto a assinatura estiver ativa.</w:t>
      </w:r>
    </w:p>
    <w:p w:rsidR="008B1196" w:rsidRPr="00EB4D74" w:rsidRDefault="008B1196" w:rsidP="008B1196">
      <w:pPr>
        <w:rPr>
          <w:rStyle w:val="LogoportDoNotTranslate"/>
          <w:rFonts w:ascii="Tahoma" w:hAnsi="Tahoma" w:cs="Tahoma"/>
          <w:sz w:val="18"/>
        </w:rPr>
      </w:pPr>
    </w:p>
    <w:p w:rsidR="008B1196" w:rsidRPr="00EB4D74" w:rsidRDefault="008B1196" w:rsidP="008B1196">
      <w:pPr>
        <w:rPr>
          <w:rFonts w:cs="Tahoma"/>
          <w:b/>
          <w:sz w:val="28"/>
          <w:szCs w:val="24"/>
          <w:lang w:val="pt-BR"/>
        </w:rPr>
      </w:pPr>
      <w:bookmarkStart w:id="1142" w:name="_Toc336338280"/>
      <w:bookmarkStart w:id="1143" w:name="_Toc342914914"/>
      <w:bookmarkEnd w:id="1142"/>
      <w:r w:rsidRPr="00EB4D74">
        <w:rPr>
          <w:rFonts w:cs="Tahoma"/>
          <w:sz w:val="28"/>
          <w:lang w:val="pt-BR"/>
        </w:rPr>
        <w:br w:type="page"/>
      </w:r>
    </w:p>
    <w:p w:rsidR="008B1196" w:rsidRPr="00EB4D74" w:rsidRDefault="008B1196" w:rsidP="008B1196">
      <w:pPr>
        <w:pStyle w:val="Heading2"/>
        <w:ind w:left="0"/>
        <w:rPr>
          <w:rFonts w:ascii="Tahoma" w:hAnsi="Tahoma" w:cs="Tahoma"/>
        </w:rPr>
      </w:pPr>
      <w:r w:rsidRPr="00EB4D74">
        <w:rPr>
          <w:rFonts w:ascii="Tahoma" w:hAnsi="Tahoma" w:cs="Tahoma"/>
          <w:sz w:val="28"/>
          <w:lang w:val="pt-BR"/>
        </w:rPr>
        <w:lastRenderedPageBreak/>
        <w:t>Pool de Sistemas</w:t>
      </w:r>
      <w:bookmarkEnd w:id="1143"/>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144" w:name="_Toc336338281"/>
      <w:bookmarkStart w:id="1145" w:name="_21Licença_de_Assinatura"/>
      <w:bookmarkStart w:id="1146" w:name="_Toc342914915"/>
      <w:bookmarkEnd w:id="1144"/>
      <w:bookmarkEnd w:id="1145"/>
      <w:r w:rsidRPr="00EB4D74">
        <w:rPr>
          <w:rFonts w:ascii="Tahoma" w:hAnsi="Tahoma" w:cs="Tahoma"/>
          <w:caps/>
          <w:color w:val="F66400"/>
          <w:sz w:val="22"/>
          <w:vertAlign w:val="superscript"/>
          <w:lang w:val="pt-BR"/>
        </w:rPr>
        <w:t>21</w:t>
      </w:r>
      <w:r w:rsidRPr="00EB4D74">
        <w:rPr>
          <w:rFonts w:ascii="Tahoma" w:hAnsi="Tahoma" w:cs="Tahoma"/>
          <w:caps/>
          <w:color w:val="F66400"/>
          <w:sz w:val="22"/>
          <w:lang w:val="pt-BR"/>
        </w:rPr>
        <w:t xml:space="preserve"> </w:t>
      </w:r>
      <w:r w:rsidRPr="00EB4D74">
        <w:rPr>
          <w:rFonts w:ascii="Tahoma" w:hAnsi="Tahoma" w:cs="Tahoma"/>
          <w:color w:val="F66400"/>
          <w:sz w:val="22"/>
          <w:lang w:val="pt-BR"/>
        </w:rPr>
        <w:t>Licença de Assinatura do Windows</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Companion</w:t>
      </w:r>
      <w:bookmarkEnd w:id="1146"/>
    </w:p>
    <w:p w:rsidR="008B1196" w:rsidRPr="00EB4D74" w:rsidRDefault="008B1196" w:rsidP="008B1196">
      <w:pPr>
        <w:rPr>
          <w:rFonts w:cs="Tahoma"/>
        </w:rPr>
      </w:pPr>
    </w:p>
    <w:p w:rsidR="008B1196" w:rsidRPr="00EB4D74" w:rsidRDefault="008B1196" w:rsidP="008B1196">
      <w:pPr>
        <w:ind w:left="720"/>
        <w:rPr>
          <w:rFonts w:cs="Tahoma"/>
          <w:lang w:val="it-IT"/>
        </w:rPr>
      </w:pPr>
      <w:r w:rsidRPr="00EB4D74">
        <w:rPr>
          <w:rFonts w:cs="Tahoma"/>
          <w:color w:val="000000"/>
          <w:lang w:val="pt-BR"/>
        </w:rPr>
        <w:t>Instituições com um Contrato School: As Instituições podem comprar a Licença de Assinatura do Windows Companion (CSL) se elas tiverem cobertura para os produtos qualificados. A quantidade máxima de CSLs que podem ser compradas é igual à contagem de PC Qualificado da instituição dos produtos qualificados.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147" w:name="_Toc336338282"/>
      <w:bookmarkStart w:id="1148" w:name="Sys_24WindowsVistaDVDPack"/>
      <w:bookmarkStart w:id="1149" w:name="Sys_21MDOPforSA"/>
      <w:bookmarkStart w:id="1150" w:name="Sys_25MDOPforSA"/>
      <w:bookmarkStart w:id="1151" w:name="_Toc342914916"/>
      <w:bookmarkEnd w:id="1147"/>
      <w:bookmarkEnd w:id="1148"/>
      <w:bookmarkEnd w:id="1149"/>
      <w:bookmarkEnd w:id="1150"/>
      <w:r w:rsidRPr="00EB4D74">
        <w:rPr>
          <w:rFonts w:ascii="Tahoma" w:hAnsi="Tahoma" w:cs="Tahoma"/>
          <w:caps/>
          <w:color w:val="F66400"/>
          <w:sz w:val="22"/>
          <w:vertAlign w:val="superscript"/>
          <w:lang w:val="pt-BR"/>
        </w:rPr>
        <w:t>22</w:t>
      </w:r>
      <w:r w:rsidRPr="00EB4D74">
        <w:rPr>
          <w:rFonts w:ascii="Tahoma" w:hAnsi="Tahoma" w:cs="Tahoma"/>
          <w:color w:val="F66400"/>
          <w:sz w:val="22"/>
          <w:lang w:val="pt-BR"/>
        </w:rPr>
        <w:t xml:space="preserve"> DVD Playback Pack Windows Vista</w:t>
      </w:r>
      <w:bookmarkEnd w:id="1151"/>
    </w:p>
    <w:p w:rsidR="008B1196" w:rsidRPr="00EB4D74" w:rsidRDefault="008B1196" w:rsidP="008B1196">
      <w:pPr>
        <w:rPr>
          <w:rFonts w:cs="Tahoma"/>
          <w:lang w:val="it-IT"/>
        </w:rPr>
      </w:pPr>
    </w:p>
    <w:p w:rsidR="008B1196" w:rsidRPr="00EB4D74" w:rsidRDefault="008B1196" w:rsidP="008B1196">
      <w:pPr>
        <w:ind w:left="720"/>
        <w:rPr>
          <w:rFonts w:cs="Tahoma"/>
          <w:lang w:val="it-IT"/>
        </w:rPr>
      </w:pPr>
      <w:r w:rsidRPr="00EB4D74">
        <w:rPr>
          <w:rFonts w:cs="Tahoma"/>
          <w:color w:val="000000"/>
          <w:lang w:val="pt-BR"/>
        </w:rPr>
        <w:t>Os clientes do Licenciamento por Volume instalando ou operando o DVD Playback Pack Windows Vista devem consultar os Direitos de Uso de Produto (PUR) do Microsoft Licensing de dezembro de 2010 sobre os termos de licença.</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rPr>
      </w:pPr>
      <w:bookmarkStart w:id="1152" w:name="_Toc336338283"/>
      <w:bookmarkStart w:id="1153" w:name="_23_Microsoft_Desktop"/>
      <w:bookmarkStart w:id="1154" w:name="_Toc342914917"/>
      <w:bookmarkEnd w:id="1152"/>
      <w:bookmarkEnd w:id="1153"/>
      <w:r w:rsidRPr="00EB4D74">
        <w:rPr>
          <w:rFonts w:ascii="Tahoma" w:hAnsi="Tahoma" w:cs="Tahoma"/>
          <w:caps/>
          <w:color w:val="F66400"/>
          <w:sz w:val="22"/>
          <w:vertAlign w:val="superscript"/>
          <w:lang w:val="pt-BR"/>
        </w:rPr>
        <w:t>23</w:t>
      </w:r>
      <w:r w:rsidRPr="00EB4D74">
        <w:rPr>
          <w:rFonts w:ascii="Tahoma" w:hAnsi="Tahoma" w:cs="Tahoma"/>
          <w:color w:val="F66400"/>
          <w:sz w:val="22"/>
          <w:lang w:val="pt-BR"/>
        </w:rPr>
        <w:t xml:space="preserve"> Microsoft Desktop Optimization Pack para Software Assurance</w:t>
      </w:r>
      <w:bookmarkEnd w:id="1154"/>
    </w:p>
    <w:p w:rsidR="008B1196" w:rsidRPr="00EB4D74" w:rsidRDefault="008B1196" w:rsidP="008B1196">
      <w:pPr>
        <w:rPr>
          <w:rFonts w:cs="Tahoma"/>
        </w:rPr>
      </w:pPr>
    </w:p>
    <w:p w:rsidR="008B1196" w:rsidRPr="00EB4D74" w:rsidRDefault="008B1196" w:rsidP="008B1196">
      <w:pPr>
        <w:ind w:left="720"/>
        <w:rPr>
          <w:rFonts w:cs="Tahoma"/>
        </w:rPr>
      </w:pPr>
      <w:r w:rsidRPr="00EB4D74">
        <w:rPr>
          <w:rFonts w:cs="Tahoma"/>
          <w:color w:val="000000"/>
          <w:lang w:val="pt-BR"/>
        </w:rPr>
        <w:t>Os Clientes que desejam adquirir o Microsoft Desktop Optimization Pack for Software Assurance (MDOP) devem primeiro adquirir e atribuir a seu desktop um dos seguintes:</w:t>
      </w:r>
    </w:p>
    <w:p w:rsidR="008B1196" w:rsidRPr="00EB4D74" w:rsidRDefault="008B1196" w:rsidP="008B1196">
      <w:pPr>
        <w:numPr>
          <w:ilvl w:val="0"/>
          <w:numId w:val="90"/>
        </w:numPr>
        <w:tabs>
          <w:tab w:val="left" w:pos="1440"/>
        </w:tabs>
        <w:ind w:left="1440" w:hanging="446"/>
        <w:rPr>
          <w:rFonts w:cs="Tahoma"/>
        </w:rPr>
      </w:pPr>
      <w:r w:rsidRPr="00EB4D74">
        <w:rPr>
          <w:rFonts w:cs="Tahoma"/>
          <w:color w:val="000000"/>
          <w:lang w:val="pt-BR"/>
        </w:rPr>
        <w:t>Software Assurance ativo para o Sistema Operacional Windows Desktop ou</w:t>
      </w:r>
    </w:p>
    <w:p w:rsidR="008B1196" w:rsidRPr="00EB4D74" w:rsidRDefault="008B1196" w:rsidP="008B1196">
      <w:pPr>
        <w:numPr>
          <w:ilvl w:val="0"/>
          <w:numId w:val="90"/>
        </w:numPr>
        <w:tabs>
          <w:tab w:val="left" w:pos="1440"/>
        </w:tabs>
        <w:ind w:left="1440" w:hanging="446"/>
        <w:rPr>
          <w:rFonts w:cs="Tahoma"/>
        </w:rPr>
      </w:pPr>
      <w:r w:rsidRPr="00EB4D74">
        <w:rPr>
          <w:rFonts w:cs="Tahoma"/>
          <w:color w:val="000000"/>
          <w:lang w:val="pt-BR"/>
        </w:rPr>
        <w:t>Uma licença do Windows Virtual Desktop Access ou</w:t>
      </w:r>
    </w:p>
    <w:p w:rsidR="008B1196" w:rsidRPr="00EB4D74" w:rsidRDefault="008B1196" w:rsidP="008B1196">
      <w:pPr>
        <w:numPr>
          <w:ilvl w:val="0"/>
          <w:numId w:val="90"/>
        </w:numPr>
        <w:tabs>
          <w:tab w:val="left" w:pos="1440"/>
        </w:tabs>
        <w:ind w:left="1440" w:hanging="446"/>
        <w:rPr>
          <w:rFonts w:cs="Tahoma"/>
          <w:lang w:val="it-IT"/>
        </w:rPr>
      </w:pPr>
      <w:r w:rsidRPr="00EB4D74">
        <w:rPr>
          <w:rFonts w:cs="Tahoma"/>
          <w:lang w:val="pt-BR"/>
        </w:rPr>
        <w:t>Uma assinatura ativa para Windows Intune (Por Dispositivo).</w:t>
      </w:r>
    </w:p>
    <w:p w:rsidR="008B1196" w:rsidRPr="00EB4D74" w:rsidRDefault="008B1196" w:rsidP="008B1196">
      <w:pPr>
        <w:spacing w:before="120" w:after="120"/>
        <w:ind w:left="720"/>
        <w:rPr>
          <w:rFonts w:cs="Tahoma"/>
          <w:lang w:val="it-IT"/>
        </w:rPr>
      </w:pPr>
      <w:r w:rsidRPr="00EB4D74">
        <w:rPr>
          <w:rFonts w:cs="Tahoma"/>
          <w:color w:val="000000"/>
          <w:lang w:val="pt-BR"/>
        </w:rPr>
        <w:t>Dispositivos cobertos pela Licença de Assinatura do Companion ativa também são permitidos.</w:t>
      </w:r>
    </w:p>
    <w:p w:rsidR="008B1196" w:rsidRPr="00EB4D74" w:rsidRDefault="008B1196" w:rsidP="008B1196">
      <w:pPr>
        <w:ind w:left="720"/>
        <w:rPr>
          <w:rFonts w:cs="Tahoma"/>
          <w:lang w:val="it-IT"/>
        </w:rPr>
      </w:pPr>
    </w:p>
    <w:p w:rsidR="008B1196" w:rsidRPr="00EB4D74" w:rsidRDefault="008B1196" w:rsidP="008B1196">
      <w:pPr>
        <w:ind w:left="720"/>
        <w:rPr>
          <w:rFonts w:cs="Tahoma"/>
        </w:rPr>
      </w:pPr>
      <w:r w:rsidRPr="00EB4D74">
        <w:rPr>
          <w:rFonts w:cs="Tahoma"/>
          <w:color w:val="000000"/>
          <w:lang w:val="pt-BR"/>
        </w:rPr>
        <w:t>Os clientes de Licenciamento por Volume com licenças ativas para o MDOP receberão os seguintes softwares (conforme forem disponibilizados).</w:t>
      </w:r>
    </w:p>
    <w:p w:rsidR="008B1196" w:rsidRPr="00EB4D74" w:rsidRDefault="008B1196" w:rsidP="008B1196">
      <w:pPr>
        <w:ind w:left="720"/>
        <w:rPr>
          <w:rFonts w:cs="Tahoma"/>
        </w:rPr>
      </w:pPr>
    </w:p>
    <w:p w:rsidR="008B1196" w:rsidRPr="00EB4D74" w:rsidRDefault="008B1196" w:rsidP="008B1196">
      <w:pPr>
        <w:numPr>
          <w:ilvl w:val="0"/>
          <w:numId w:val="90"/>
        </w:numPr>
        <w:tabs>
          <w:tab w:val="left" w:pos="1440"/>
        </w:tabs>
        <w:spacing w:after="60"/>
        <w:ind w:left="1440" w:hanging="446"/>
        <w:rPr>
          <w:rFonts w:cs="Tahoma"/>
        </w:rPr>
      </w:pPr>
      <w:r w:rsidRPr="00EB4D74">
        <w:rPr>
          <w:rFonts w:cs="Tahoma"/>
          <w:color w:val="000000"/>
          <w:lang w:val="pt-BR"/>
        </w:rPr>
        <w:t>Microsoft Application Virtualization para Windows Desktops (App-V)</w:t>
      </w:r>
    </w:p>
    <w:p w:rsidR="008B1196" w:rsidRPr="00EB4D74" w:rsidRDefault="008B1196" w:rsidP="008B1196">
      <w:pPr>
        <w:numPr>
          <w:ilvl w:val="0"/>
          <w:numId w:val="90"/>
        </w:numPr>
        <w:tabs>
          <w:tab w:val="left" w:pos="1440"/>
        </w:tabs>
        <w:spacing w:after="60"/>
        <w:ind w:left="1440" w:hanging="446"/>
        <w:rPr>
          <w:rFonts w:cs="Tahoma"/>
          <w:lang w:val="it-IT"/>
        </w:rPr>
      </w:pPr>
      <w:r w:rsidRPr="00EB4D74">
        <w:rPr>
          <w:rFonts w:cs="Tahoma"/>
          <w:color w:val="000000"/>
          <w:lang w:val="pt-BR"/>
        </w:rPr>
        <w:t>Gerenciamento da Política do Grupo Avançado da Microsoft (AGPM)</w:t>
      </w:r>
    </w:p>
    <w:p w:rsidR="008B1196" w:rsidRPr="00EB4D74" w:rsidRDefault="008B1196" w:rsidP="008B1196">
      <w:pPr>
        <w:numPr>
          <w:ilvl w:val="0"/>
          <w:numId w:val="90"/>
        </w:numPr>
        <w:tabs>
          <w:tab w:val="left" w:pos="1440"/>
        </w:tabs>
        <w:spacing w:after="60"/>
        <w:ind w:left="1440" w:hanging="446"/>
        <w:rPr>
          <w:rFonts w:cs="Tahoma"/>
          <w:lang w:val="it-IT"/>
        </w:rPr>
      </w:pPr>
      <w:r w:rsidRPr="00EB4D74">
        <w:rPr>
          <w:rFonts w:cs="Tahoma"/>
          <w:color w:val="000000"/>
          <w:lang w:val="pt-BR"/>
        </w:rPr>
        <w:t>Ferramentas de Diagnóstico e Recuperação da Microsoft (DART)</w:t>
      </w:r>
    </w:p>
    <w:p w:rsidR="008B1196" w:rsidRPr="00EB4D74" w:rsidRDefault="008B1196" w:rsidP="008B1196">
      <w:pPr>
        <w:numPr>
          <w:ilvl w:val="0"/>
          <w:numId w:val="90"/>
        </w:numPr>
        <w:tabs>
          <w:tab w:val="left" w:pos="1440"/>
        </w:tabs>
        <w:spacing w:after="60"/>
        <w:ind w:left="1440" w:hanging="446"/>
        <w:rPr>
          <w:rFonts w:cs="Tahoma"/>
        </w:rPr>
      </w:pPr>
      <w:r w:rsidRPr="00EB4D74">
        <w:rPr>
          <w:rFonts w:cs="Tahoma"/>
          <w:color w:val="000000"/>
          <w:lang w:val="pt-BR"/>
        </w:rPr>
        <w:t>Microsoft System Center Desktop Error Monitoring (DEM)</w:t>
      </w:r>
    </w:p>
    <w:p w:rsidR="008B1196" w:rsidRPr="00EB4D74" w:rsidRDefault="008B1196" w:rsidP="008B1196">
      <w:pPr>
        <w:numPr>
          <w:ilvl w:val="0"/>
          <w:numId w:val="90"/>
        </w:numPr>
        <w:tabs>
          <w:tab w:val="left" w:pos="1440"/>
        </w:tabs>
        <w:spacing w:after="60"/>
        <w:ind w:left="1440" w:hanging="446"/>
        <w:rPr>
          <w:rFonts w:cs="Tahoma"/>
        </w:rPr>
      </w:pPr>
      <w:r w:rsidRPr="00EB4D74">
        <w:rPr>
          <w:rFonts w:cs="Tahoma"/>
          <w:color w:val="000000"/>
          <w:lang w:val="pt-BR"/>
        </w:rPr>
        <w:t>Microsoft Enterprise Desktop Virtualization (MED-V)</w:t>
      </w:r>
    </w:p>
    <w:p w:rsidR="008B1196" w:rsidRPr="00EB4D74" w:rsidRDefault="008B1196" w:rsidP="008B1196">
      <w:pPr>
        <w:numPr>
          <w:ilvl w:val="0"/>
          <w:numId w:val="90"/>
        </w:numPr>
        <w:tabs>
          <w:tab w:val="left" w:pos="1440"/>
        </w:tabs>
        <w:spacing w:after="60"/>
        <w:ind w:left="1440" w:hanging="446"/>
        <w:rPr>
          <w:rFonts w:cs="Tahoma"/>
        </w:rPr>
      </w:pPr>
      <w:r w:rsidRPr="00EB4D74">
        <w:rPr>
          <w:rFonts w:cs="Tahoma"/>
          <w:color w:val="000000"/>
          <w:lang w:val="pt-BR"/>
        </w:rPr>
        <w:t>Microsoft BitLocker</w:t>
      </w:r>
      <w:r w:rsidRPr="00EB4D74">
        <w:rPr>
          <w:rFonts w:cs="Tahoma"/>
          <w:color w:val="000000"/>
          <w:vertAlign w:val="superscript"/>
          <w:lang w:val="pt-BR"/>
        </w:rPr>
        <w:t>®</w:t>
      </w:r>
      <w:r w:rsidRPr="00EB4D74">
        <w:rPr>
          <w:rFonts w:cs="Tahoma"/>
          <w:color w:val="000000"/>
          <w:lang w:val="pt-BR"/>
        </w:rPr>
        <w:t xml:space="preserve"> Administration and Monitoring (MBAM)</w:t>
      </w:r>
    </w:p>
    <w:p w:rsidR="008B1196" w:rsidRPr="00EB4D74" w:rsidRDefault="008B1196" w:rsidP="008B1196">
      <w:pPr>
        <w:numPr>
          <w:ilvl w:val="0"/>
          <w:numId w:val="90"/>
        </w:numPr>
        <w:tabs>
          <w:tab w:val="left" w:pos="1440"/>
        </w:tabs>
        <w:spacing w:after="60"/>
        <w:ind w:left="1440" w:hanging="446"/>
        <w:rPr>
          <w:rFonts w:cs="Tahoma"/>
        </w:rPr>
      </w:pPr>
      <w:r w:rsidRPr="00EB4D74">
        <w:rPr>
          <w:rFonts w:cs="Tahoma"/>
          <w:color w:val="000000"/>
          <w:lang w:val="pt-BR"/>
        </w:rPr>
        <w:t>Microsoft User Experience Virtualization (UE-V)</w:t>
      </w:r>
    </w:p>
    <w:p w:rsidR="008B1196" w:rsidRPr="00EB4D74" w:rsidRDefault="008B1196" w:rsidP="008B1196">
      <w:pPr>
        <w:tabs>
          <w:tab w:val="left" w:pos="1440"/>
        </w:tabs>
        <w:ind w:left="994"/>
        <w:rPr>
          <w:rFonts w:cs="Tahoma"/>
        </w:rPr>
      </w:pPr>
    </w:p>
    <w:p w:rsidR="008B1196" w:rsidRPr="00EB4D74" w:rsidRDefault="008B1196" w:rsidP="008B1196">
      <w:pPr>
        <w:spacing w:after="60"/>
        <w:ind w:left="720"/>
        <w:rPr>
          <w:rFonts w:cs="Tahoma"/>
        </w:rPr>
      </w:pPr>
      <w:r w:rsidRPr="00EB4D74">
        <w:rPr>
          <w:rFonts w:cs="Tahoma"/>
          <w:b/>
          <w:color w:val="000000"/>
          <w:lang w:val="pt-BR"/>
        </w:rPr>
        <w:t>Oferta do Windows Intune (Por Dispositivo) para Clientes do Microsoft Desktop Optimization Pack (MDOP) que Usam o Asset Inventory Service</w:t>
      </w:r>
    </w:p>
    <w:p w:rsidR="008B1196" w:rsidRPr="00EB4D74" w:rsidRDefault="008B1196" w:rsidP="008B1196">
      <w:pPr>
        <w:ind w:left="720"/>
        <w:rPr>
          <w:rFonts w:cs="Tahoma"/>
          <w:lang w:val="it-IT"/>
        </w:rPr>
      </w:pPr>
      <w:r w:rsidRPr="00EB4D74">
        <w:rPr>
          <w:rFonts w:cs="Tahoma"/>
          <w:color w:val="000000"/>
          <w:lang w:val="pt-BR"/>
        </w:rPr>
        <w:t xml:space="preserve">O Asset Inventory Service (AIS) oferecido como parte do MDOP será descontinuado em 3 de abril de 2013. A partir dessa data, os clientes não terão mais acesso ao serviço. </w:t>
      </w:r>
      <w:r w:rsidRPr="00EB4D74">
        <w:rPr>
          <w:rFonts w:cs="Tahoma"/>
          <w:lang w:val="pt-BR"/>
        </w:rPr>
        <w:t xml:space="preserve">Os clientes MDOP com contas AIS ativas ativadas no Volume Licensing Service Center (Centro de Atendimento de Licenciamento por Volume) em ou antes de 30 de abril de 2012 terão a opção de mudar para e usar o serviço online Windows Intune (Por Dispositivo) desde que o Windows Intune (Por Dispositivo) esteja comercialmente disponível no país do cliente. Uma lista de países nos quais o Windows Intune (Por Dispositivo) está comercialmente disponível pode ser encontrada aqui: </w:t>
      </w:r>
      <w:hyperlink r:id="rId27" w:history="1">
        <w:r w:rsidRPr="00EB4D74">
          <w:rPr>
            <w:rFonts w:cs="Tahoma"/>
            <w:color w:val="0000FF"/>
            <w:u w:val="single"/>
            <w:lang w:val="pt-BR"/>
          </w:rPr>
          <w:t>http://www.microsoft.com/en-us/windows/windowsintune/faq/default.aspx</w:t>
        </w:r>
      </w:hyperlink>
      <w:r w:rsidRPr="00EB4D74">
        <w:rPr>
          <w:rFonts w:cs="Tahoma"/>
          <w:lang w:val="pt-BR"/>
        </w:rPr>
        <w:t>.</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color w:val="000000"/>
          <w:lang w:val="pt-BR"/>
        </w:rPr>
        <w:t>Detalhes da Oferta</w:t>
      </w:r>
    </w:p>
    <w:p w:rsidR="008B1196" w:rsidRPr="00EB4D74" w:rsidRDefault="008B1196" w:rsidP="008B1196">
      <w:pPr>
        <w:numPr>
          <w:ilvl w:val="1"/>
          <w:numId w:val="100"/>
        </w:numPr>
        <w:spacing w:after="60"/>
        <w:rPr>
          <w:rFonts w:cs="Tahoma"/>
          <w:lang w:val="it-IT"/>
        </w:rPr>
      </w:pPr>
      <w:r w:rsidRPr="00EB4D74">
        <w:rPr>
          <w:rFonts w:cs="Tahoma"/>
          <w:color w:val="000000"/>
          <w:lang w:val="pt-BR"/>
        </w:rPr>
        <w:t>Esta oferta pode ser aceita a qualquer momento entre 3 de abril de 2012 e a expiração da assinatura MDOP atual dos clientes.</w:t>
      </w:r>
    </w:p>
    <w:p w:rsidR="008B1196" w:rsidRPr="00EB4D74" w:rsidRDefault="008B1196" w:rsidP="008B1196">
      <w:pPr>
        <w:numPr>
          <w:ilvl w:val="1"/>
          <w:numId w:val="100"/>
        </w:numPr>
        <w:spacing w:after="60"/>
        <w:rPr>
          <w:rFonts w:cs="Tahoma"/>
          <w:lang w:val="it-IT"/>
        </w:rPr>
      </w:pPr>
      <w:r w:rsidRPr="00EB4D74">
        <w:rPr>
          <w:rFonts w:cs="Tahoma"/>
          <w:color w:val="000000"/>
          <w:lang w:val="pt-BR"/>
        </w:rPr>
        <w:t>Para aceitar a oferta, os clientes devem (1) criar uma conta de avaliação do Windows Intune (Por Dispositivo) acessando o site http://www.microsoft.com/en-us/windows/windowsintune/try-and-buy.aspx e, em seguida, (2) enviar o formulário de aceitação da oferta no site http://go.microsoft.com/fwlink/?LinkID=242876.</w:t>
      </w:r>
    </w:p>
    <w:p w:rsidR="008B1196" w:rsidRPr="00EB4D74" w:rsidRDefault="008B1196" w:rsidP="008B1196">
      <w:pPr>
        <w:numPr>
          <w:ilvl w:val="1"/>
          <w:numId w:val="100"/>
        </w:numPr>
        <w:spacing w:after="60"/>
        <w:rPr>
          <w:rFonts w:cs="Tahoma"/>
          <w:lang w:val="it-IT"/>
        </w:rPr>
      </w:pPr>
      <w:r w:rsidRPr="00EB4D74">
        <w:rPr>
          <w:rFonts w:cs="Tahoma"/>
          <w:lang w:val="pt-BR"/>
        </w:rPr>
        <w:lastRenderedPageBreak/>
        <w:t>O acesso e o uso do Windows Intune (Por Dispositivo) concedido por esta oferta expirará no término da assinatura MDOP do cliente.</w:t>
      </w:r>
    </w:p>
    <w:p w:rsidR="008B1196" w:rsidRPr="00EB4D74" w:rsidRDefault="008B1196" w:rsidP="008B1196">
      <w:pPr>
        <w:numPr>
          <w:ilvl w:val="1"/>
          <w:numId w:val="100"/>
        </w:numPr>
        <w:spacing w:after="60"/>
        <w:rPr>
          <w:rFonts w:cs="Tahoma"/>
          <w:lang w:val="it-IT"/>
        </w:rPr>
      </w:pPr>
      <w:r w:rsidRPr="00EB4D74">
        <w:rPr>
          <w:rFonts w:cs="Tahoma"/>
          <w:color w:val="000000"/>
          <w:lang w:val="pt-BR"/>
        </w:rPr>
        <w:t>Os termos e as condições dos contratos dos clientes, os Termos Universais de Licença dos Direitos de Uso do Produto e os Termos Gerais de Licença da seção Serviços Online dos Direitos de Uso do Produto regem o uso do serviço.</w:t>
      </w:r>
    </w:p>
    <w:p w:rsidR="008B1196" w:rsidRPr="00EB4D74" w:rsidRDefault="008B1196" w:rsidP="008B1196">
      <w:pPr>
        <w:numPr>
          <w:ilvl w:val="1"/>
          <w:numId w:val="100"/>
        </w:numPr>
        <w:spacing w:after="60"/>
        <w:rPr>
          <w:rFonts w:cs="Tahoma"/>
          <w:lang w:val="it-IT"/>
        </w:rPr>
      </w:pPr>
      <w:r w:rsidRPr="00EB4D74">
        <w:rPr>
          <w:rFonts w:cs="Tahoma"/>
          <w:lang w:val="pt-BR"/>
        </w:rPr>
        <w:t xml:space="preserve">O número de dispositivos a partir do qual um cliente está qualificado para acessar o Windows Intune (Por Dispositivo) sob esta oferta é igual ao número total de assinatura do AIS do cliente no momento em que o cliente aceita esta oferta do Windows Intune (Por Dispositivo). </w:t>
      </w:r>
      <w:r w:rsidRPr="00EB4D74">
        <w:rPr>
          <w:rFonts w:cs="Tahoma"/>
          <w:color w:val="000000"/>
          <w:lang w:val="pt-BR"/>
        </w:rPr>
        <w:t>O número de AIS adicionado a uma conta ativa a qualquer momento até o momento em que o cliente aceitar a oferta do Windows</w:t>
      </w:r>
      <w:r w:rsidRPr="00EB4D74">
        <w:rPr>
          <w:rFonts w:cs="Tahoma"/>
          <w:color w:val="000000"/>
          <w:vertAlign w:val="superscript"/>
          <w:lang w:val="pt-BR"/>
        </w:rPr>
        <w:t>®</w:t>
      </w:r>
      <w:r w:rsidRPr="00EB4D74">
        <w:rPr>
          <w:rFonts w:cs="Tahoma"/>
          <w:color w:val="000000"/>
          <w:lang w:val="pt-BR"/>
        </w:rPr>
        <w:t xml:space="preserve"> Intune será incluído na conta.</w:t>
      </w:r>
    </w:p>
    <w:p w:rsidR="008B1196" w:rsidRPr="00EB4D74" w:rsidRDefault="008B1196" w:rsidP="008B1196">
      <w:pPr>
        <w:numPr>
          <w:ilvl w:val="1"/>
          <w:numId w:val="100"/>
        </w:numPr>
        <w:spacing w:after="60"/>
        <w:rPr>
          <w:rFonts w:cs="Tahoma"/>
          <w:lang w:val="it-IT"/>
        </w:rPr>
      </w:pPr>
      <w:r w:rsidRPr="00EB4D74">
        <w:rPr>
          <w:rFonts w:cs="Tahoma"/>
          <w:lang w:val="pt-BR"/>
        </w:rPr>
        <w:t>O número de MDOP adquirido depois que um cliente aceita esta oferta do Windows Intune (Por Dispositivo), incluindo as licenças adquiridas por meio do processo de adequação (“true-up”) sob seu contrato de licenciamento por volume não será qualificado para acessar o Windows Intune (Por Dispositivo) sob esta oferta. Se um cliente desejar acessar o Windows Intune (Por Dispositivo) a partir de um número de dispositivos além do número permitido sob esta oferta, eles precisarão adquirir separadamente licenças adicionais.</w:t>
      </w:r>
    </w:p>
    <w:p w:rsidR="008B1196" w:rsidRPr="00EB4D74" w:rsidRDefault="008B1196" w:rsidP="008B1196">
      <w:pPr>
        <w:numPr>
          <w:ilvl w:val="1"/>
          <w:numId w:val="100"/>
        </w:numPr>
        <w:spacing w:after="60"/>
        <w:rPr>
          <w:rFonts w:cs="Tahoma"/>
          <w:lang w:val="it-IT"/>
        </w:rPr>
      </w:pPr>
      <w:bookmarkStart w:id="1155" w:name="_24_Windows®_Companion"/>
      <w:bookmarkStart w:id="1156" w:name="_24_Windows®_8"/>
      <w:bookmarkEnd w:id="1155"/>
      <w:bookmarkEnd w:id="1156"/>
      <w:r w:rsidRPr="00EB4D74">
        <w:rPr>
          <w:rFonts w:cs="Tahoma"/>
          <w:lang w:val="pt-BR"/>
        </w:rPr>
        <w:t>Os direitos de acesso ao Windows Intune (Por Dispositivo) sob esta oferta não incluem qualquer direito de usar o sistema operacional do desktop do Windows.</w:t>
      </w:r>
    </w:p>
    <w:p w:rsidR="008B1196" w:rsidRPr="00EB4D74" w:rsidRDefault="008B1196" w:rsidP="008B1196">
      <w:pPr>
        <w:contextualSpacing/>
        <w:rPr>
          <w:rFonts w:cs="Tahoma"/>
          <w:lang w:val="it-IT"/>
        </w:rPr>
      </w:pPr>
    </w:p>
    <w:p w:rsidR="008B1196" w:rsidRPr="00EB4D74" w:rsidRDefault="008B1196" w:rsidP="008B1196">
      <w:pPr>
        <w:contextualSpacing/>
        <w:rPr>
          <w:rFonts w:cs="Tahoma"/>
          <w:lang w:val="it-IT"/>
        </w:rPr>
      </w:pPr>
    </w:p>
    <w:p w:rsidR="008B1196" w:rsidRPr="00EB4D74" w:rsidRDefault="008B1196" w:rsidP="008B1196">
      <w:pPr>
        <w:pStyle w:val="Heading3"/>
        <w:rPr>
          <w:rFonts w:ascii="Tahoma" w:hAnsi="Tahoma" w:cs="Tahoma"/>
        </w:rPr>
      </w:pPr>
      <w:bookmarkStart w:id="1157" w:name="_Toc336338284"/>
      <w:bookmarkStart w:id="1158" w:name="Sys_22WindowsPartnersLearning"/>
      <w:bookmarkStart w:id="1159" w:name="_Toc342914918"/>
      <w:bookmarkEnd w:id="1157"/>
      <w:bookmarkEnd w:id="1158"/>
      <w:r w:rsidRPr="00EB4D74">
        <w:rPr>
          <w:rFonts w:ascii="Tahoma" w:hAnsi="Tahoma" w:cs="Tahoma"/>
          <w:caps/>
          <w:color w:val="F66400"/>
          <w:sz w:val="22"/>
          <w:vertAlign w:val="superscript"/>
          <w:lang w:val="pt-BR"/>
        </w:rPr>
        <w:t>24</w:t>
      </w:r>
      <w:r w:rsidRPr="00EB4D74">
        <w:rPr>
          <w:rFonts w:ascii="Tahoma" w:hAnsi="Tahoma" w:cs="Tahoma"/>
          <w:color w:val="F66400"/>
          <w:sz w:val="22"/>
          <w:lang w:val="pt-BR"/>
        </w:rPr>
        <w:t xml:space="preserve"> Windows</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8 Enterprise Sideloading</w:t>
      </w:r>
      <w:bookmarkEnd w:id="1159"/>
    </w:p>
    <w:p w:rsidR="008B1196" w:rsidRPr="00EB4D74" w:rsidRDefault="008B1196" w:rsidP="008B1196">
      <w:pPr>
        <w:rPr>
          <w:rFonts w:cs="Tahoma"/>
        </w:rPr>
      </w:pPr>
    </w:p>
    <w:p w:rsidR="008B1196" w:rsidRPr="00EB4D74" w:rsidRDefault="008B1196" w:rsidP="008B1196">
      <w:pPr>
        <w:rPr>
          <w:rFonts w:cs="Tahoma"/>
        </w:rPr>
      </w:pPr>
    </w:p>
    <w:tbl>
      <w:tblPr>
        <w:tblW w:w="5838" w:type="dxa"/>
        <w:tblInd w:w="910" w:type="dxa"/>
        <w:tblCellMar>
          <w:left w:w="0" w:type="dxa"/>
          <w:right w:w="0" w:type="dxa"/>
        </w:tblCellMar>
        <w:tblLook w:val="04A0" w:firstRow="1" w:lastRow="0" w:firstColumn="1" w:lastColumn="0" w:noHBand="0" w:noVBand="1"/>
      </w:tblPr>
      <w:tblGrid>
        <w:gridCol w:w="3158"/>
        <w:gridCol w:w="1340"/>
        <w:gridCol w:w="1340"/>
      </w:tblGrid>
      <w:tr w:rsidR="008B1196" w:rsidRPr="00EB4D74" w:rsidTr="00EA30FC">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8B1196" w:rsidRPr="00EB4D74" w:rsidRDefault="008B1196" w:rsidP="00EA30FC">
            <w:pPr>
              <w:jc w:val="center"/>
              <w:rPr>
                <w:rFonts w:eastAsia="Times New Roman" w:cs="Tahoma"/>
                <w:b/>
                <w:bCs/>
                <w:szCs w:val="18"/>
              </w:rPr>
            </w:pPr>
            <w:r w:rsidRPr="00EB4D74">
              <w:rPr>
                <w:rFonts w:cs="Tahoma"/>
                <w:b/>
                <w:lang w:val="pt-BR"/>
              </w:rPr>
              <w:t>Disponibilidade do Produto</w:t>
            </w:r>
          </w:p>
        </w:tc>
        <w:tc>
          <w:tcPr>
            <w:tcW w:w="1340" w:type="dxa"/>
            <w:tcBorders>
              <w:top w:val="single" w:sz="4" w:space="0" w:color="auto"/>
              <w:left w:val="nil"/>
              <w:bottom w:val="single" w:sz="4" w:space="0" w:color="auto"/>
              <w:right w:val="single" w:sz="4" w:space="0" w:color="auto"/>
            </w:tcBorders>
            <w:shd w:val="clear" w:color="auto" w:fill="FABF8F"/>
            <w:vAlign w:val="bottom"/>
          </w:tcPr>
          <w:p w:rsidR="008B1196" w:rsidRPr="00EB4D74" w:rsidRDefault="008B1196" w:rsidP="00EA30FC">
            <w:pPr>
              <w:jc w:val="center"/>
              <w:rPr>
                <w:rFonts w:cs="Tahoma"/>
                <w:b/>
                <w:bCs/>
                <w:szCs w:val="18"/>
              </w:rPr>
            </w:pPr>
            <w:r w:rsidRPr="00EB4D74">
              <w:rPr>
                <w:rFonts w:cs="Tahoma"/>
                <w:b/>
                <w:bCs/>
                <w:szCs w:val="18"/>
                <w:lang w:val="pt-BR"/>
              </w:rPr>
              <w:t>Licenças Disponíveis para Aquisição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Cs w:val="18"/>
                <w:lang w:val="it-IT"/>
              </w:rPr>
            </w:pPr>
            <w:r w:rsidRPr="00EB4D74">
              <w:rPr>
                <w:rFonts w:cs="Tahoma"/>
                <w:b/>
                <w:lang w:val="pt-BR"/>
              </w:rPr>
              <w:t>Disponível como um Benefício do SA</w:t>
            </w:r>
          </w:p>
        </w:tc>
      </w:tr>
      <w:tr w:rsidR="008B1196" w:rsidRPr="00EB4D74"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eastAsia="Times New Roman" w:cs="Tahoma"/>
                <w:b/>
                <w:bCs/>
                <w:szCs w:val="18"/>
              </w:rPr>
            </w:pPr>
            <w:r w:rsidRPr="00EB4D74">
              <w:rPr>
                <w:rFonts w:cs="Tahoma"/>
                <w:b/>
                <w:lang w:val="pt-BR"/>
              </w:rPr>
              <w:t>Licença Open</w:t>
            </w:r>
          </w:p>
        </w:tc>
        <w:tc>
          <w:tcPr>
            <w:tcW w:w="1340" w:type="dxa"/>
            <w:tcBorders>
              <w:top w:val="single" w:sz="4" w:space="0" w:color="auto"/>
              <w:left w:val="single" w:sz="4" w:space="0" w:color="auto"/>
              <w:bottom w:val="single" w:sz="4" w:space="0" w:color="auto"/>
              <w:right w:val="single" w:sz="4" w:space="0" w:color="auto"/>
            </w:tcBorders>
            <w:vAlign w:val="center"/>
          </w:tcPr>
          <w:p w:rsidR="008B1196" w:rsidRPr="00EB4D74" w:rsidRDefault="008B1196" w:rsidP="00EA30FC">
            <w:pPr>
              <w:jc w:val="center"/>
              <w:rPr>
                <w:rFonts w:cs="Tahoma"/>
                <w:szCs w:val="18"/>
              </w:rPr>
            </w:pPr>
            <w:r w:rsidRPr="00EB4D74">
              <w:rPr>
                <w:rFonts w:cs="Tahoma"/>
                <w:szCs w:val="18"/>
                <w:lang w:val="pt-B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eastAsia="Times New Roman" w:cs="Tahoma"/>
                <w:szCs w:val="18"/>
              </w:rPr>
            </w:pPr>
          </w:p>
        </w:tc>
      </w:tr>
      <w:tr w:rsidR="008B1196" w:rsidRPr="00EB4D74"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cs="Tahoma"/>
                <w:b/>
                <w:bCs/>
                <w:szCs w:val="18"/>
              </w:rPr>
            </w:pPr>
            <w:r w:rsidRPr="00EB4D74">
              <w:rPr>
                <w:rFonts w:cs="Tahoma"/>
                <w:b/>
                <w:bCs/>
                <w:szCs w:val="18"/>
                <w:lang w:val="pt-BR"/>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8B1196" w:rsidRPr="00EB4D74" w:rsidRDefault="008B1196" w:rsidP="00EA30FC">
            <w:pPr>
              <w:jc w:val="center"/>
              <w:rPr>
                <w:rFonts w:cs="Tahoma"/>
                <w:szCs w:val="18"/>
              </w:rPr>
            </w:pPr>
            <w:r w:rsidRPr="00EB4D74">
              <w:rPr>
                <w:rFonts w:cs="Tahoma"/>
                <w:szCs w:val="18"/>
                <w:lang w:val="pt-BR"/>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eastAsia="Times New Roman" w:cs="Tahoma"/>
                <w:szCs w:val="18"/>
              </w:rPr>
            </w:pPr>
            <w:r w:rsidRPr="00EB4D74">
              <w:rPr>
                <w:rFonts w:eastAsia="Times New Roman" w:cs="Tahoma"/>
                <w:szCs w:val="18"/>
                <w:lang w:val="pt-BR"/>
              </w:rPr>
              <w:t>x</w:t>
            </w:r>
          </w:p>
        </w:tc>
      </w:tr>
      <w:tr w:rsidR="008B1196" w:rsidRPr="00EB4D74"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cs="Tahoma"/>
                <w:b/>
                <w:bCs/>
                <w:szCs w:val="18"/>
              </w:rPr>
            </w:pPr>
            <w:r w:rsidRPr="00EB4D74">
              <w:rPr>
                <w:rFonts w:cs="Tahoma"/>
                <w:b/>
                <w:lang w:val="pt-BR"/>
              </w:rPr>
              <w:t>Contrato Enterprise/EAS</w:t>
            </w:r>
          </w:p>
        </w:tc>
        <w:tc>
          <w:tcPr>
            <w:tcW w:w="1340" w:type="dxa"/>
            <w:tcBorders>
              <w:top w:val="single" w:sz="4" w:space="0" w:color="auto"/>
              <w:left w:val="single" w:sz="4" w:space="0" w:color="auto"/>
              <w:bottom w:val="single" w:sz="4" w:space="0" w:color="auto"/>
              <w:right w:val="single" w:sz="4" w:space="0" w:color="auto"/>
            </w:tcBorders>
            <w:vAlign w:val="center"/>
          </w:tcPr>
          <w:p w:rsidR="008B1196" w:rsidRPr="00EB4D74" w:rsidRDefault="008B1196" w:rsidP="00EA30FC">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eastAsia="Times New Roman" w:cs="Tahoma"/>
                <w:szCs w:val="18"/>
              </w:rPr>
            </w:pPr>
            <w:r w:rsidRPr="00EB4D74">
              <w:rPr>
                <w:rFonts w:eastAsia="Times New Roman" w:cs="Tahoma"/>
                <w:szCs w:val="18"/>
                <w:lang w:val="pt-BR"/>
              </w:rPr>
              <w:t>x</w:t>
            </w:r>
          </w:p>
        </w:tc>
      </w:tr>
      <w:tr w:rsidR="008B1196" w:rsidRPr="00EB4D74" w:rsidTr="00EA30FC">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cs="Tahoma"/>
                <w:b/>
                <w:bCs/>
                <w:szCs w:val="18"/>
              </w:rPr>
            </w:pPr>
            <w:r w:rsidRPr="00EB4D74">
              <w:rPr>
                <w:rFonts w:cs="Tahoma"/>
                <w:b/>
                <w:lang w:val="pt-BR"/>
              </w:rPr>
              <w:t>EES</w:t>
            </w:r>
          </w:p>
        </w:tc>
        <w:tc>
          <w:tcPr>
            <w:tcW w:w="1340" w:type="dxa"/>
            <w:tcBorders>
              <w:top w:val="single" w:sz="4" w:space="0" w:color="auto"/>
              <w:left w:val="single" w:sz="4" w:space="0" w:color="auto"/>
              <w:bottom w:val="single" w:sz="4" w:space="0" w:color="auto"/>
              <w:right w:val="single" w:sz="4" w:space="0" w:color="auto"/>
            </w:tcBorders>
            <w:vAlign w:val="center"/>
          </w:tcPr>
          <w:p w:rsidR="008B1196" w:rsidRPr="00EB4D74" w:rsidRDefault="008B1196" w:rsidP="00EA30FC">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8B1196" w:rsidRPr="00EB4D74" w:rsidRDefault="008B1196" w:rsidP="00EA30FC">
            <w:pPr>
              <w:jc w:val="center"/>
              <w:rPr>
                <w:rFonts w:eastAsia="Times New Roman" w:cs="Tahoma"/>
                <w:szCs w:val="18"/>
              </w:rPr>
            </w:pPr>
            <w:r w:rsidRPr="00EB4D74">
              <w:rPr>
                <w:rFonts w:cs="Tahoma"/>
                <w:lang w:val="pt-BR"/>
              </w:rPr>
              <w:t>x</w:t>
            </w:r>
          </w:p>
        </w:tc>
      </w:tr>
    </w:tbl>
    <w:p w:rsidR="008B1196" w:rsidRPr="00EB4D74" w:rsidRDefault="008B1196" w:rsidP="008B1196">
      <w:pPr>
        <w:ind w:left="900"/>
        <w:rPr>
          <w:rFonts w:cs="Tahoma"/>
        </w:rPr>
      </w:pPr>
    </w:p>
    <w:p w:rsidR="008B1196" w:rsidRPr="00EB4D74" w:rsidRDefault="008B1196" w:rsidP="008B1196">
      <w:pPr>
        <w:ind w:left="720"/>
        <w:rPr>
          <w:rFonts w:cs="Tahoma"/>
          <w:lang w:val="pt-BR"/>
        </w:rPr>
      </w:pPr>
      <w:r w:rsidRPr="00EB4D74">
        <w:rPr>
          <w:rFonts w:cs="Tahoma"/>
          <w:szCs w:val="18"/>
          <w:lang w:val="pt-BR"/>
        </w:rPr>
        <w:t xml:space="preserve">O Windows Enterprise Sideloading é o processo de instalar novos Aplicativos do Windows 8 que estão sendo usados para o benefício do cliente, diretamente em um dispositivo, sem passar pela Windows Store. </w:t>
      </w:r>
      <w:r w:rsidRPr="00EB4D74">
        <w:rPr>
          <w:rFonts w:cs="Tahoma"/>
          <w:lang w:val="pt-BR"/>
        </w:rPr>
        <w:t>Os dispositivos que fazem parte do domínio que estão executando a edição Windows 8 Enterprise, em qualquer programa VL, possuem recursos habilitados para Windows Enterprise Sideloading. O Windows Enterprise Sideloading também pode ser habilitado em dispositivos que estão executando o Windows 8 Enterprise que não fazem parte do domínio e em dispositivos que estão executando o Windows 8 Pro ou Windows RT por meio do uso de uma chave de produto. Em todos os casos, o Windows Enterprise Sideloading só pode ser usado para implantar Aplicativos que são usados para o benefício do cliente de Licenciamento por Volume. O recurso Windows Enterprise Sideloading é complementar para o Sistema Operacional Windows Desktop e, como tal, os termos de licença aplicáveis ao Sistema Operacional Windows Desktop, conforme complementado aqui, se aplicam ao uso que o cliente faz dele.</w:t>
      </w:r>
    </w:p>
    <w:p w:rsidR="008B1196" w:rsidRPr="00EB4D74" w:rsidRDefault="008B1196" w:rsidP="008B1196">
      <w:pPr>
        <w:ind w:left="900"/>
        <w:rPr>
          <w:rFonts w:cs="Tahoma"/>
          <w:lang w:val="pt-BR"/>
        </w:rPr>
      </w:pPr>
    </w:p>
    <w:p w:rsidR="008B1196" w:rsidRPr="00EB4D74" w:rsidRDefault="008B1196" w:rsidP="008B1196">
      <w:pPr>
        <w:spacing w:after="60"/>
        <w:ind w:left="720"/>
        <w:rPr>
          <w:rFonts w:cs="Tahoma"/>
          <w:lang w:val="it-IT"/>
        </w:rPr>
      </w:pPr>
      <w:r w:rsidRPr="00EB4D74">
        <w:rPr>
          <w:rFonts w:cs="Tahoma"/>
          <w:b/>
          <w:lang w:val="pt-BR"/>
        </w:rPr>
        <w:t>Benefício do Software Assurance</w:t>
      </w:r>
    </w:p>
    <w:p w:rsidR="008B1196" w:rsidRPr="00EB4D74" w:rsidRDefault="008B1196" w:rsidP="008B1196">
      <w:pPr>
        <w:ind w:left="720"/>
        <w:rPr>
          <w:rFonts w:cs="Tahoma"/>
          <w:lang w:val="it-IT"/>
        </w:rPr>
      </w:pPr>
      <w:r w:rsidRPr="00EB4D74">
        <w:rPr>
          <w:rFonts w:cs="Tahoma"/>
          <w:lang w:val="pt-BR"/>
        </w:rPr>
        <w:t>Uma chave de produto pode ser usada para habilitar o Windows Enterprise Sideloading em qualquer um dos dispositivos a seguir:</w:t>
      </w:r>
    </w:p>
    <w:p w:rsidR="008B1196" w:rsidRPr="00EB4D74" w:rsidRDefault="008B1196" w:rsidP="008B1196">
      <w:pPr>
        <w:ind w:left="720"/>
        <w:rPr>
          <w:rFonts w:cs="Tahoma"/>
          <w:lang w:val="it-IT"/>
        </w:rPr>
      </w:pPr>
    </w:p>
    <w:p w:rsidR="008B1196" w:rsidRPr="00EB4D74" w:rsidRDefault="008B1196" w:rsidP="008B1196">
      <w:pPr>
        <w:pStyle w:val="ListParagraph"/>
        <w:numPr>
          <w:ilvl w:val="0"/>
          <w:numId w:val="101"/>
        </w:numPr>
        <w:spacing w:after="60"/>
        <w:ind w:left="1440"/>
        <w:contextualSpacing w:val="0"/>
        <w:rPr>
          <w:rFonts w:ascii="Tahoma" w:hAnsi="Tahoma" w:cs="Tahoma"/>
          <w:sz w:val="18"/>
          <w:szCs w:val="18"/>
        </w:rPr>
      </w:pPr>
      <w:r w:rsidRPr="00EB4D74">
        <w:rPr>
          <w:rFonts w:ascii="Tahoma" w:hAnsi="Tahoma" w:cs="Tahoma"/>
          <w:sz w:val="18"/>
          <w:szCs w:val="18"/>
        </w:rPr>
        <w:t>Dispositivos com cobertura ativa do Software Assurance do Windows</w:t>
      </w:r>
    </w:p>
    <w:p w:rsidR="008B1196" w:rsidRPr="00EB4D74" w:rsidRDefault="008B1196" w:rsidP="008B1196">
      <w:pPr>
        <w:pStyle w:val="ListParagraph"/>
        <w:numPr>
          <w:ilvl w:val="0"/>
          <w:numId w:val="101"/>
        </w:numPr>
        <w:spacing w:after="60"/>
        <w:ind w:left="1440"/>
        <w:contextualSpacing w:val="0"/>
        <w:rPr>
          <w:rFonts w:ascii="Tahoma" w:hAnsi="Tahoma" w:cs="Tahoma"/>
          <w:sz w:val="18"/>
          <w:szCs w:val="18"/>
          <w:lang w:val="it-IT"/>
        </w:rPr>
      </w:pPr>
      <w:r w:rsidRPr="00EB4D74">
        <w:rPr>
          <w:rFonts w:ascii="Tahoma" w:hAnsi="Tahoma" w:cs="Tahoma"/>
          <w:sz w:val="18"/>
          <w:szCs w:val="18"/>
          <w:lang w:val="it-IT"/>
        </w:rPr>
        <w:t>Dispositivos com uma assinatura ativa do Windows Intune (Por Dispositivo) ou VDA</w:t>
      </w:r>
    </w:p>
    <w:p w:rsidR="008B1196" w:rsidRPr="00EB4D74" w:rsidRDefault="008B1196" w:rsidP="008B1196">
      <w:pPr>
        <w:pStyle w:val="ListParagraph"/>
        <w:numPr>
          <w:ilvl w:val="0"/>
          <w:numId w:val="101"/>
        </w:numPr>
        <w:spacing w:after="60"/>
        <w:ind w:left="1440"/>
        <w:contextualSpacing w:val="0"/>
        <w:rPr>
          <w:rFonts w:ascii="Tahoma" w:hAnsi="Tahoma" w:cs="Tahoma"/>
          <w:sz w:val="18"/>
          <w:szCs w:val="18"/>
        </w:rPr>
      </w:pPr>
      <w:r w:rsidRPr="00EB4D74">
        <w:rPr>
          <w:rFonts w:ascii="Tahoma" w:hAnsi="Tahoma" w:cs="Tahoma"/>
          <w:sz w:val="18"/>
          <w:szCs w:val="18"/>
        </w:rPr>
        <w:t>Dispositivos do Windows RT</w:t>
      </w:r>
    </w:p>
    <w:p w:rsidR="008B1196" w:rsidRPr="00EB4D74" w:rsidRDefault="008B1196" w:rsidP="008B1196">
      <w:pPr>
        <w:pStyle w:val="ListParagraph"/>
        <w:numPr>
          <w:ilvl w:val="0"/>
          <w:numId w:val="101"/>
        </w:numPr>
        <w:spacing w:after="60"/>
        <w:ind w:left="1440"/>
        <w:contextualSpacing w:val="0"/>
        <w:rPr>
          <w:rFonts w:ascii="Tahoma" w:hAnsi="Tahoma" w:cs="Tahoma"/>
          <w:sz w:val="18"/>
          <w:szCs w:val="18"/>
        </w:rPr>
      </w:pPr>
      <w:r w:rsidRPr="00EB4D74">
        <w:rPr>
          <w:rFonts w:ascii="Tahoma" w:hAnsi="Tahoma" w:cs="Tahoma"/>
          <w:sz w:val="18"/>
          <w:szCs w:val="18"/>
        </w:rPr>
        <w:t>Dispositivos cobertos pela Licença de Assinatura do Windows Companion</w:t>
      </w:r>
    </w:p>
    <w:p w:rsidR="008B1196" w:rsidRPr="00EB4D74" w:rsidRDefault="008B1196" w:rsidP="008B1196">
      <w:pPr>
        <w:ind w:left="900"/>
        <w:rPr>
          <w:rFonts w:cs="Tahoma"/>
        </w:rPr>
      </w:pPr>
    </w:p>
    <w:p w:rsidR="008B1196" w:rsidRPr="00EB4D74" w:rsidRDefault="008B1196" w:rsidP="008B1196">
      <w:pPr>
        <w:ind w:left="720"/>
        <w:rPr>
          <w:rFonts w:cs="Tahoma"/>
        </w:rPr>
      </w:pPr>
      <w:r w:rsidRPr="00EB4D74">
        <w:rPr>
          <w:rFonts w:cs="Tahoma"/>
          <w:lang w:val="pt-BR"/>
        </w:rPr>
        <w:lastRenderedPageBreak/>
        <w:t>O Windows Enterprise Sideloading só pode ser habilitado em um dispositivo permitido antes do término da cobertura do Software Assurance correspondente ou da Licença de Assinatura. Nos programas Academic, o Windows Enterprise Sideloading só pode ser habilitado em dispositivos pertencentes à instituição.</w:t>
      </w:r>
    </w:p>
    <w:p w:rsidR="008B1196" w:rsidRPr="00EB4D74" w:rsidRDefault="008B1196" w:rsidP="008B1196">
      <w:pPr>
        <w:ind w:left="900"/>
        <w:rPr>
          <w:rFonts w:cs="Tahoma"/>
        </w:rPr>
      </w:pPr>
    </w:p>
    <w:p w:rsidR="008B1196" w:rsidRPr="00EB4D74" w:rsidRDefault="008B1196" w:rsidP="008B1196">
      <w:pPr>
        <w:spacing w:after="60"/>
        <w:ind w:left="720"/>
        <w:rPr>
          <w:rFonts w:cs="Tahoma"/>
        </w:rPr>
      </w:pPr>
      <w:r w:rsidRPr="00EB4D74">
        <w:rPr>
          <w:rFonts w:cs="Tahoma"/>
          <w:b/>
          <w:lang w:val="pt-BR"/>
        </w:rPr>
        <w:t>Licenças do Enterprise Sideloading Disponíveis para Aquisição</w:t>
      </w:r>
    </w:p>
    <w:p w:rsidR="008B1196" w:rsidRPr="00EB4D74" w:rsidRDefault="008B1196" w:rsidP="008B1196">
      <w:pPr>
        <w:ind w:left="720"/>
        <w:rPr>
          <w:rFonts w:cs="Tahoma"/>
        </w:rPr>
      </w:pPr>
      <w:r w:rsidRPr="00EB4D74">
        <w:rPr>
          <w:rFonts w:cs="Tahoma"/>
          <w:szCs w:val="18"/>
          <w:lang w:val="pt-BR"/>
        </w:rPr>
        <w:t xml:space="preserve">Os clientes podem adquirir licenças do Enterprise Sideloading. </w:t>
      </w:r>
      <w:r w:rsidRPr="00EB4D74">
        <w:rPr>
          <w:rFonts w:cs="Tahoma"/>
          <w:lang w:val="pt-BR"/>
        </w:rPr>
        <w:t>Cada licença do Enterprise Sideloading deve ser atribuída permanentemente a um único dispositivo. Nos programas Academic, o Windows Enterprise Sideloading só pode ser habilitado em dispositivos pertencentes à instituição.</w:t>
      </w:r>
    </w:p>
    <w:p w:rsidR="008B1196" w:rsidRPr="00EB4D74" w:rsidRDefault="008B1196" w:rsidP="008B1196">
      <w:pPr>
        <w:pStyle w:val="Heading3"/>
        <w:rPr>
          <w:rFonts w:ascii="Tahoma" w:hAnsi="Tahoma" w:cs="Tahoma"/>
          <w:sz w:val="18"/>
          <w:szCs w:val="18"/>
        </w:rPr>
      </w:pPr>
    </w:p>
    <w:p w:rsidR="008B1196" w:rsidRPr="00EB4D74" w:rsidRDefault="008B1196" w:rsidP="008B1196">
      <w:pPr>
        <w:rPr>
          <w:rFonts w:cs="Tahoma"/>
        </w:rPr>
      </w:pPr>
      <w:bookmarkStart w:id="1160" w:name="_Toc336338285"/>
    </w:p>
    <w:p w:rsidR="008B1196" w:rsidRPr="00EB4D74" w:rsidRDefault="008B1196" w:rsidP="008B1196">
      <w:pPr>
        <w:pStyle w:val="Heading3"/>
        <w:rPr>
          <w:rFonts w:ascii="Tahoma" w:hAnsi="Tahoma" w:cs="Tahoma"/>
        </w:rPr>
      </w:pPr>
      <w:bookmarkStart w:id="1161" w:name="Sys_25WindowsPartnersLearning"/>
      <w:bookmarkStart w:id="1162" w:name="_Toc342914919"/>
      <w:bookmarkEnd w:id="1160"/>
      <w:bookmarkEnd w:id="1161"/>
      <w:r w:rsidRPr="00EB4D74">
        <w:rPr>
          <w:rFonts w:ascii="Tahoma" w:hAnsi="Tahoma" w:cs="Tahoma"/>
          <w:caps/>
          <w:color w:val="F66400"/>
          <w:sz w:val="22"/>
          <w:vertAlign w:val="superscript"/>
          <w:lang w:val="pt-BR"/>
        </w:rPr>
        <w:t>25</w:t>
      </w:r>
      <w:r w:rsidRPr="00EB4D74">
        <w:rPr>
          <w:rFonts w:ascii="Tahoma" w:hAnsi="Tahoma" w:cs="Tahoma"/>
          <w:color w:val="F66400"/>
          <w:sz w:val="22"/>
          <w:lang w:val="pt-BR"/>
        </w:rPr>
        <w:t xml:space="preserve"> Parceiros na Aprendizagem do Windows</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7</w:t>
      </w:r>
      <w:bookmarkEnd w:id="1162"/>
    </w:p>
    <w:p w:rsidR="008B1196" w:rsidRPr="00EB4D74" w:rsidRDefault="008B1196" w:rsidP="008B1196">
      <w:pPr>
        <w:rPr>
          <w:rFonts w:cs="Tahoma"/>
        </w:rPr>
      </w:pPr>
    </w:p>
    <w:p w:rsidR="008B1196" w:rsidRPr="00EB4D74" w:rsidRDefault="008B1196" w:rsidP="008B1196">
      <w:pPr>
        <w:ind w:left="720" w:right="-810"/>
        <w:rPr>
          <w:rFonts w:cs="Tahoma"/>
          <w:lang w:val="it-IT"/>
        </w:rPr>
      </w:pPr>
      <w:r w:rsidRPr="00EB4D74">
        <w:rPr>
          <w:rFonts w:cs="Tahoma"/>
          <w:color w:val="000000"/>
          <w:lang w:val="pt-BR"/>
        </w:rPr>
        <w:t xml:space="preserve">Para obter informações sobre qualificação de licenças e registro de parceiros, consulte o site </w:t>
      </w:r>
      <w:hyperlink r:id="rId28" w:history="1">
        <w:r w:rsidRPr="00EB4D74">
          <w:rPr>
            <w:rStyle w:val="Hyperlink"/>
            <w:rFonts w:cs="Tahoma"/>
            <w:lang w:val="pt-BR"/>
          </w:rPr>
          <w:t>http://www.microsoft.com/education/pil/partnersinlearning.aspx</w:t>
        </w:r>
      </w:hyperlink>
    </w:p>
    <w:p w:rsidR="008B1196" w:rsidRPr="00EB4D74" w:rsidRDefault="008B1196" w:rsidP="008B1196">
      <w:pPr>
        <w:ind w:right="-810"/>
        <w:rPr>
          <w:rFonts w:cs="Tahoma"/>
          <w:lang w:val="it-IT"/>
        </w:rPr>
      </w:pPr>
    </w:p>
    <w:p w:rsidR="008B1196" w:rsidRPr="00EB4D74" w:rsidRDefault="008B1196" w:rsidP="008B1196">
      <w:pPr>
        <w:ind w:right="-810"/>
        <w:rPr>
          <w:rFonts w:cs="Tahoma"/>
          <w:lang w:val="it-IT"/>
        </w:rPr>
      </w:pPr>
    </w:p>
    <w:p w:rsidR="008B1196" w:rsidRPr="00EB4D74" w:rsidRDefault="008B1196" w:rsidP="008B1196">
      <w:pPr>
        <w:pStyle w:val="Heading3"/>
        <w:rPr>
          <w:rFonts w:ascii="Tahoma" w:hAnsi="Tahoma" w:cs="Tahoma"/>
          <w:lang w:val="it-IT"/>
        </w:rPr>
      </w:pPr>
      <w:bookmarkStart w:id="1163" w:name="_Toc336338286"/>
      <w:bookmarkStart w:id="1164" w:name="Sys_27Win7ProUpgradeWinIntune"/>
      <w:bookmarkStart w:id="1165" w:name="Sys_26WinVistaBizUpgrade"/>
      <w:bookmarkStart w:id="1166" w:name="Sys_23Windows7ProUpgrade"/>
      <w:bookmarkStart w:id="1167" w:name="Sys_27WindowsVistaProUpgrade"/>
      <w:bookmarkStart w:id="1168" w:name="_Toc342914920"/>
      <w:bookmarkEnd w:id="1163"/>
      <w:bookmarkEnd w:id="1164"/>
      <w:bookmarkEnd w:id="1165"/>
      <w:bookmarkEnd w:id="1166"/>
      <w:bookmarkEnd w:id="1167"/>
      <w:r w:rsidRPr="00EB4D74">
        <w:rPr>
          <w:rFonts w:ascii="Tahoma" w:hAnsi="Tahoma" w:cs="Tahoma"/>
          <w:caps/>
          <w:color w:val="F66400"/>
          <w:sz w:val="22"/>
          <w:vertAlign w:val="superscript"/>
          <w:lang w:val="pt-BR"/>
        </w:rPr>
        <w:t>26</w:t>
      </w:r>
      <w:r w:rsidRPr="00EB4D74">
        <w:rPr>
          <w:rFonts w:ascii="Tahoma" w:hAnsi="Tahoma" w:cs="Tahoma"/>
          <w:caps/>
          <w:color w:val="F66400"/>
          <w:sz w:val="22"/>
          <w:lang w:val="pt-BR"/>
        </w:rPr>
        <w:t xml:space="preserve"> </w:t>
      </w:r>
      <w:r w:rsidRPr="00EB4D74">
        <w:rPr>
          <w:rFonts w:ascii="Tahoma" w:hAnsi="Tahoma" w:cs="Tahoma"/>
          <w:color w:val="F66400"/>
          <w:sz w:val="22"/>
          <w:lang w:val="pt-BR"/>
        </w:rPr>
        <w:t>Atualização para Windows</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8 Pro e Windows Intune (Por Dispositivo)</w:t>
      </w:r>
      <w:bookmarkEnd w:id="1168"/>
    </w:p>
    <w:p w:rsidR="008B1196" w:rsidRPr="00EB4D74" w:rsidRDefault="008B1196" w:rsidP="008B1196">
      <w:pPr>
        <w:rPr>
          <w:rFonts w:cs="Tahoma"/>
          <w:lang w:val="it-IT"/>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lang w:val="it-IT"/>
        </w:rPr>
      </w:pPr>
      <w:r w:rsidRPr="00EB4D74">
        <w:rPr>
          <w:rFonts w:ascii="Tahoma" w:hAnsi="Tahoma" w:cs="Tahoma"/>
          <w:b/>
          <w:sz w:val="18"/>
          <w:lang w:val="pt-BR"/>
        </w:rPr>
        <w:t>Atualização do Windows 8 Pro</w:t>
      </w:r>
    </w:p>
    <w:p w:rsidR="008B1196" w:rsidRPr="00EB4D74" w:rsidRDefault="008B1196" w:rsidP="008B1196">
      <w:pPr>
        <w:ind w:left="720"/>
        <w:rPr>
          <w:rFonts w:cs="Tahoma"/>
          <w:lang w:val="it-IT"/>
        </w:rPr>
      </w:pPr>
      <w:r w:rsidRPr="00EB4D74">
        <w:rPr>
          <w:rFonts w:cs="Tahoma"/>
          <w:u w:val="single"/>
          <w:lang w:val="pt-BR"/>
        </w:rPr>
        <w:t>Licença de Atualização de Sistema Operacional (SO)</w:t>
      </w:r>
    </w:p>
    <w:p w:rsidR="008B1196" w:rsidRPr="00EB4D74" w:rsidRDefault="008B1196" w:rsidP="008B1196">
      <w:pPr>
        <w:pStyle w:val="FootnoteBulletLevel1"/>
        <w:tabs>
          <w:tab w:val="clear" w:pos="900"/>
        </w:tabs>
        <w:adjustRightInd/>
        <w:spacing w:before="0" w:after="0"/>
        <w:ind w:left="720" w:hanging="7"/>
        <w:textAlignment w:val="auto"/>
        <w:rPr>
          <w:rFonts w:ascii="Tahoma" w:hAnsi="Tahoma" w:cs="Tahoma"/>
          <w:lang w:val="pt-BR"/>
        </w:rPr>
      </w:pPr>
      <w:r w:rsidRPr="00EB4D74">
        <w:rPr>
          <w:rFonts w:ascii="Tahoma" w:hAnsi="Tahoma" w:cs="Tahoma"/>
          <w:sz w:val="18"/>
          <w:szCs w:val="18"/>
          <w:lang w:val="pt-BR"/>
        </w:rPr>
        <w:t xml:space="preserve">As licenças de sistema operacional de desktop concedidas nestes programas são apenas licenças de atualização. Não há licenças integrais de sistema operacional de desktop disponíveis nestes programas. </w:t>
      </w:r>
      <w:r w:rsidRPr="00EB4D74">
        <w:rPr>
          <w:rFonts w:ascii="Tahoma" w:hAnsi="Tahoma" w:cs="Tahoma"/>
          <w:sz w:val="18"/>
          <w:lang w:val="pt-BR"/>
        </w:rPr>
        <w:t>Portanto, cada desktop para o qual você adquirir e no qual executar a Atualização para Windows 8 Pro deverá estar licenciado para executar um dos sistemas operacionais qualificados identificados abaixo.</w:t>
      </w:r>
    </w:p>
    <w:p w:rsidR="008B1196" w:rsidRPr="00EB4D74" w:rsidRDefault="008B1196" w:rsidP="008B1196">
      <w:pPr>
        <w:ind w:left="720"/>
        <w:rPr>
          <w:rFonts w:cs="Tahoma"/>
          <w:lang w:val="pt-BR"/>
        </w:rPr>
      </w:pPr>
    </w:p>
    <w:p w:rsidR="008B1196" w:rsidRPr="00EB4D74" w:rsidRDefault="008B1196" w:rsidP="008B1196">
      <w:pPr>
        <w:ind w:left="720"/>
        <w:rPr>
          <w:rFonts w:cs="Tahoma"/>
        </w:rPr>
      </w:pPr>
      <w:r w:rsidRPr="00EB4D74">
        <w:rPr>
          <w:rFonts w:cs="Tahoma"/>
          <w:u w:val="single"/>
          <w:lang w:val="pt-BR"/>
        </w:rPr>
        <w:t>Regras de Sistemas Operacionais Qualificados</w:t>
      </w:r>
    </w:p>
    <w:p w:rsidR="008B1196" w:rsidRPr="00EB4D74" w:rsidRDefault="008B1196" w:rsidP="008B1196">
      <w:pPr>
        <w:ind w:left="720"/>
        <w:rPr>
          <w:rFonts w:cs="Tahoma"/>
        </w:rPr>
      </w:pPr>
    </w:p>
    <w:p w:rsidR="008B1196" w:rsidRPr="00EB4D74" w:rsidRDefault="008B1196" w:rsidP="008B1196">
      <w:pPr>
        <w:numPr>
          <w:ilvl w:val="1"/>
          <w:numId w:val="102"/>
        </w:numPr>
        <w:spacing w:after="60"/>
        <w:ind w:left="1440"/>
        <w:rPr>
          <w:rFonts w:cs="Tahoma"/>
          <w:lang w:val="it-IT"/>
        </w:rPr>
      </w:pPr>
      <w:r w:rsidRPr="00EB4D74">
        <w:rPr>
          <w:rFonts w:cs="Tahoma"/>
          <w:lang w:val="pt-BR"/>
        </w:rPr>
        <w:t>O SO qualificado deverá estar instalado no dispositivo ao qual a licença de Atualização de VL será cedida.</w:t>
      </w:r>
    </w:p>
    <w:p w:rsidR="008B1196" w:rsidRPr="00EB4D74" w:rsidRDefault="008B1196" w:rsidP="008B1196">
      <w:pPr>
        <w:numPr>
          <w:ilvl w:val="2"/>
          <w:numId w:val="103"/>
        </w:numPr>
        <w:spacing w:after="60"/>
        <w:ind w:left="1980"/>
        <w:rPr>
          <w:rFonts w:cs="Tahoma"/>
          <w:lang w:val="it-IT"/>
        </w:rPr>
      </w:pPr>
      <w:r w:rsidRPr="00EB4D74">
        <w:rPr>
          <w:rFonts w:cs="Tahoma"/>
          <w:color w:val="000000"/>
          <w:lang w:val="pt-BR"/>
        </w:rPr>
        <w:t>Apple Macintosh só será um sistema operacional qualificado se ele for pré-instalado pelo fabricante autorizado antes da venda inicial do computador.</w:t>
      </w:r>
    </w:p>
    <w:p w:rsidR="008B1196" w:rsidRPr="00EB4D74" w:rsidRDefault="008B1196" w:rsidP="008B1196">
      <w:pPr>
        <w:numPr>
          <w:ilvl w:val="1"/>
          <w:numId w:val="104"/>
        </w:numPr>
        <w:spacing w:after="60"/>
        <w:ind w:left="1440"/>
        <w:rPr>
          <w:rFonts w:cs="Tahoma"/>
          <w:lang w:val="it-IT"/>
        </w:rPr>
      </w:pPr>
      <w:r w:rsidRPr="00EB4D74">
        <w:rPr>
          <w:rFonts w:cs="Tahoma"/>
          <w:lang w:val="pt-BR"/>
        </w:rPr>
        <w:t>Salvo conforme estabelecido a seguir, os clientes devem remover o Sistema Operacional qualificado do dispositivo para implantar a licença de Atualização de VL.</w:t>
      </w:r>
    </w:p>
    <w:p w:rsidR="008B1196" w:rsidRPr="00EB4D74" w:rsidRDefault="008B1196" w:rsidP="008B1196">
      <w:pPr>
        <w:numPr>
          <w:ilvl w:val="1"/>
          <w:numId w:val="104"/>
        </w:numPr>
        <w:spacing w:after="60"/>
        <w:ind w:left="1440"/>
        <w:rPr>
          <w:rFonts w:cs="Tahoma"/>
          <w:lang w:val="it-IT"/>
        </w:rPr>
      </w:pPr>
      <w:r w:rsidRPr="00EB4D74">
        <w:rPr>
          <w:rFonts w:cs="Tahoma"/>
          <w:lang w:val="pt-BR"/>
        </w:rPr>
        <w:t>Os clientes que desejarem instalar ou executar mais de um sistema operacional licenciado de uma vez (incluindo o sistema operacional qualificado) poderão adquirir Software Assurance para sua licença de Atualização de VL.</w:t>
      </w:r>
    </w:p>
    <w:p w:rsidR="008B1196" w:rsidRPr="00EB4D74" w:rsidRDefault="008B1196" w:rsidP="008B1196">
      <w:pPr>
        <w:numPr>
          <w:ilvl w:val="1"/>
          <w:numId w:val="104"/>
        </w:numPr>
        <w:spacing w:after="60"/>
        <w:ind w:left="1440"/>
        <w:rPr>
          <w:rFonts w:cs="Tahoma"/>
          <w:lang w:val="it-IT"/>
        </w:rPr>
      </w:pPr>
      <w:r w:rsidRPr="00EB4D74">
        <w:rPr>
          <w:rFonts w:cs="Tahoma"/>
          <w:lang w:val="pt-BR"/>
        </w:rPr>
        <w:t>Os clientes que tiverem cobertura do Software Assurance ativa não precisarão desinstalar o SO qualificado e poderão instalar e executar o SO qualificado e o Windows 8 ao mesmo tempo.</w:t>
      </w:r>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pStyle w:val="EndnoteText"/>
        <w:rPr>
          <w:rFonts w:ascii="Tahoma" w:hAnsi="Tahoma" w:cs="Tahoma"/>
          <w:lang w:val="it-IT"/>
        </w:rPr>
      </w:pPr>
      <w:r w:rsidRPr="00EB4D74">
        <w:rPr>
          <w:rFonts w:ascii="Tahoma" w:hAnsi="Tahoma" w:cs="Tahoma"/>
          <w:sz w:val="18"/>
          <w:lang w:val="it-IT"/>
        </w:rPr>
        <w:t>Os sistemas operacionais qualificados por tipo de Programa são:</w:t>
      </w:r>
    </w:p>
    <w:p w:rsidR="008B1196" w:rsidRPr="00EB4D74" w:rsidRDefault="008B1196" w:rsidP="008B1196">
      <w:pPr>
        <w:pStyle w:val="EndnoteText"/>
        <w:rPr>
          <w:rFonts w:ascii="Tahoma" w:hAnsi="Tahoma" w:cs="Tahoma"/>
          <w:sz w:val="18"/>
          <w:szCs w:val="18"/>
          <w:lang w:val="it-IT"/>
        </w:rPr>
      </w:pPr>
    </w:p>
    <w:tbl>
      <w:tblPr>
        <w:tblW w:w="9004" w:type="dxa"/>
        <w:tblInd w:w="100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8B1196" w:rsidRPr="00EB4D74" w:rsidTr="00EA30FC">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jc w:val="center"/>
              <w:rPr>
                <w:rFonts w:eastAsia="Times New Roman" w:cs="Tahoma"/>
                <w:b/>
                <w:bCs/>
                <w:szCs w:val="18"/>
              </w:rPr>
            </w:pPr>
            <w:r w:rsidRPr="00EB4D74">
              <w:rPr>
                <w:rFonts w:cs="Tahoma"/>
                <w:b/>
                <w:lang w:val="pt-BR"/>
              </w:rPr>
              <w:t>Sistemas operacionais qualificados</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rPr>
                <w:rFonts w:eastAsia="Times New Roman" w:cs="Tahoma"/>
                <w:b/>
                <w:bCs/>
                <w:szCs w:val="18"/>
              </w:rPr>
            </w:pPr>
          </w:p>
        </w:tc>
      </w:tr>
      <w:tr w:rsidR="008B1196" w:rsidRPr="00EB4D74"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8B1196" w:rsidRPr="00EB4D74" w:rsidRDefault="008B1196" w:rsidP="00EA30FC">
            <w:pPr>
              <w:rPr>
                <w:rFonts w:eastAsia="Times New Roman" w:cs="Tahoma"/>
                <w:b/>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6"/>
                <w:szCs w:val="18"/>
              </w:rPr>
            </w:pPr>
            <w:r w:rsidRPr="00EB4D74">
              <w:rPr>
                <w:rFonts w:cs="Tahoma"/>
                <w:b/>
                <w:sz w:val="16"/>
                <w:lang w:val="pt-BR"/>
              </w:rPr>
              <w:t>Novo EA/</w:t>
            </w:r>
            <w:r w:rsidRPr="00EB4D74">
              <w:rPr>
                <w:rFonts w:cs="Tahoma"/>
                <w:b/>
                <w:sz w:val="16"/>
                <w:lang w:val="pt-BR"/>
              </w:rPr>
              <w:br/>
              <w:t>OV-TE</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6"/>
                <w:szCs w:val="18"/>
              </w:rPr>
            </w:pPr>
            <w:r w:rsidRPr="00EB4D74">
              <w:rPr>
                <w:rFonts w:cs="Tahoma"/>
                <w:b/>
                <w:sz w:val="16"/>
                <w:lang w:val="pt-BR"/>
              </w:rPr>
              <w:t>EA/OV-TE existente</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6"/>
                <w:szCs w:val="18"/>
              </w:rPr>
            </w:pPr>
            <w:r w:rsidRPr="00EB4D74">
              <w:rPr>
                <w:rFonts w:cs="Tahoma"/>
                <w:b/>
                <w:sz w:val="16"/>
                <w:lang w:val="pt-BR"/>
              </w:rPr>
              <w:t>Select (todos exceto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6"/>
                <w:szCs w:val="18"/>
              </w:rPr>
            </w:pPr>
            <w:r w:rsidRPr="00EB4D74">
              <w:rPr>
                <w:rFonts w:cs="Tahoma"/>
                <w:b/>
                <w:sz w:val="16"/>
                <w:lang w:val="pt-BR"/>
              </w:rPr>
              <w:t>Open (todos exceto Academic, Charity e OV-TE)</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6"/>
                <w:szCs w:val="18"/>
              </w:rPr>
            </w:pPr>
            <w:r w:rsidRPr="00EB4D74">
              <w:rPr>
                <w:rFonts w:cs="Tahoma"/>
                <w:b/>
                <w:sz w:val="16"/>
                <w:lang w:val="pt-BR"/>
              </w:rPr>
              <w:t>Academic e Charity</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cs="Tahoma"/>
                <w:b/>
                <w:bCs/>
                <w:szCs w:val="18"/>
              </w:rPr>
            </w:pPr>
            <w:r w:rsidRPr="00EB4D74">
              <w:rPr>
                <w:rFonts w:cs="Tahoma"/>
                <w:b/>
                <w:lang w:val="pt-BR"/>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cs="Tahoma"/>
                <w:b/>
                <w:bCs/>
                <w:szCs w:val="18"/>
              </w:rPr>
            </w:pPr>
            <w:r w:rsidRPr="00EB4D74">
              <w:rPr>
                <w:rFonts w:cs="Tahoma"/>
                <w:lang w:val="pt-BR"/>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cs="Tahoma"/>
                <w:b/>
                <w:bCs/>
                <w:szCs w:val="18"/>
              </w:rPr>
            </w:pPr>
            <w:r w:rsidRPr="00EB4D74">
              <w:rPr>
                <w:rFonts w:cs="Tahoma"/>
                <w:lang w:val="pt-BR"/>
              </w:rPr>
              <w:t>Pro (N, K, JN)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cs="Tahoma"/>
                <w:b/>
                <w:bCs/>
                <w:szCs w:val="18"/>
              </w:rPr>
            </w:pPr>
            <w:r w:rsidRPr="00EB4D74">
              <w:rPr>
                <w:rFonts w:cs="Tahoma"/>
                <w:lang w:val="pt-BR"/>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cs="Tahoma"/>
                <w:szCs w:val="18"/>
              </w:rPr>
            </w:pPr>
            <w:r w:rsidRPr="00EB4D74">
              <w:rPr>
                <w:rFonts w:cs="Tahoma"/>
                <w:szCs w:val="18"/>
                <w:lang w:val="pt-BR"/>
              </w:rPr>
              <w:t>Windows 8 – Um Idioma</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hAnsi="Trebuchet MS" w:cs="Tahoma"/>
                <w:b/>
                <w:sz w:val="24"/>
                <w:szCs w:val="24"/>
              </w:rPr>
            </w:pPr>
            <w:r w:rsidRPr="00EB4D74">
              <w:rPr>
                <w:rFonts w:ascii="Trebuchet MS" w:hAnsi="Trebuchet MS" w:cs="Tahoma"/>
                <w:b/>
                <w:sz w:val="24"/>
                <w:szCs w:val="24"/>
                <w:lang w:val="pt-BR"/>
              </w:rPr>
              <w:t>x</w:t>
            </w:r>
          </w:p>
        </w:tc>
      </w:tr>
      <w:tr w:rsidR="008B1196" w:rsidRPr="00EB4D74" w:rsidTr="00EA30FC">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keepNext/>
              <w:keepLines/>
              <w:rPr>
                <w:rFonts w:eastAsia="Times New Roman" w:cs="Tahoma"/>
                <w:b/>
                <w:bCs/>
                <w:szCs w:val="18"/>
              </w:rPr>
            </w:pPr>
            <w:r w:rsidRPr="00EB4D74">
              <w:rPr>
                <w:rFonts w:cs="Tahoma"/>
                <w:b/>
                <w:lang w:val="pt-BR"/>
              </w:rPr>
              <w:lastRenderedPageBreak/>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keepNext/>
              <w:keepLines/>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keepNext/>
              <w:keepLines/>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keepNext/>
              <w:keepLines/>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keepNext/>
              <w:keepLines/>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keepNext/>
              <w:keepLines/>
              <w:jc w:val="center"/>
              <w:rPr>
                <w:rFonts w:ascii="Trebuchet MS" w:eastAsia="Times New Roman" w:hAnsi="Trebuchet MS" w:cs="Tahoma"/>
                <w:b/>
                <w:sz w:val="24"/>
                <w:szCs w:val="24"/>
              </w:rPr>
            </w:pP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firstLine="18"/>
              <w:rPr>
                <w:rFonts w:eastAsia="Times New Roman" w:cs="Tahoma"/>
                <w:szCs w:val="18"/>
              </w:rPr>
            </w:pPr>
            <w:r w:rsidRPr="00EB4D74">
              <w:rPr>
                <w:rFonts w:cs="Tahoma"/>
                <w:lang w:val="pt-BR"/>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eastAsia="Times New Roman" w:cs="Tahoma"/>
                <w:szCs w:val="18"/>
              </w:rPr>
            </w:pPr>
            <w:r w:rsidRPr="00EB4D74">
              <w:rPr>
                <w:rFonts w:cs="Tahoma"/>
                <w:lang w:val="pt-BR"/>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cantSplit/>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b/>
                <w:bCs/>
                <w:szCs w:val="18"/>
              </w:rPr>
            </w:pPr>
            <w:r w:rsidRPr="00EB4D74">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eastAsia="Times New Roman" w:cs="Tahoma"/>
                <w:bCs/>
                <w:szCs w:val="18"/>
              </w:rPr>
            </w:pPr>
            <w:r w:rsidRPr="00EB4D74">
              <w:rPr>
                <w:rFonts w:cs="Tahoma"/>
                <w:lang w:val="pt-BR"/>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b/>
                <w:szCs w:val="18"/>
              </w:rPr>
            </w:pPr>
            <w:r w:rsidRPr="00EB4D74">
              <w:rPr>
                <w:rFonts w:cs="Tahoma"/>
                <w:b/>
                <w:lang w:val="pt-BR"/>
              </w:rPr>
              <w:t>Windows XP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64"/>
              <w:rPr>
                <w:rFonts w:eastAsia="Times New Roman" w:cs="Tahoma"/>
                <w:szCs w:val="18"/>
                <w:lang w:val="pt-BR"/>
              </w:rPr>
            </w:pPr>
            <w:r w:rsidRPr="00EB4D74">
              <w:rPr>
                <w:rFonts w:cs="Tahoma"/>
                <w:lang w:val="pt-BR"/>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64"/>
              <w:rPr>
                <w:rFonts w:eastAsia="Times New Roman" w:cs="Tahoma"/>
                <w:szCs w:val="18"/>
              </w:rPr>
            </w:pPr>
            <w:r w:rsidRPr="00EB4D74">
              <w:rPr>
                <w:rFonts w:cs="Tahoma"/>
                <w:lang w:val="pt-BR"/>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64"/>
              <w:rPr>
                <w:rFonts w:eastAsia="Times New Roman" w:cs="Tahoma"/>
                <w:szCs w:val="18"/>
              </w:rPr>
            </w:pPr>
            <w:r w:rsidRPr="00EB4D74">
              <w:rPr>
                <w:rFonts w:cs="Tahoma"/>
                <w:lang w:val="pt-BR"/>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64"/>
              <w:rPr>
                <w:rFonts w:eastAsia="Times New Roman" w:cs="Tahoma"/>
                <w:szCs w:val="18"/>
              </w:rPr>
            </w:pPr>
            <w:r w:rsidRPr="00EB4D74">
              <w:rPr>
                <w:rFonts w:cs="Tahoma"/>
                <w:lang w:val="pt-BR"/>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64"/>
              <w:rPr>
                <w:rFonts w:eastAsia="Times New Roman" w:cs="Tahoma"/>
                <w:szCs w:val="18"/>
              </w:rPr>
            </w:pPr>
            <w:r w:rsidRPr="00EB4D74">
              <w:rPr>
                <w:rFonts w:cs="Tahoma"/>
                <w:lang w:val="pt-BR"/>
              </w:rPr>
              <w:t>Home &amp;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B1196" w:rsidRPr="00EB4D74" w:rsidRDefault="008B1196" w:rsidP="00EA30FC">
            <w:pPr>
              <w:rPr>
                <w:rFonts w:eastAsia="Times New Roman" w:cs="Tahoma"/>
                <w:b/>
                <w:szCs w:val="18"/>
              </w:rPr>
            </w:pPr>
            <w:r w:rsidRPr="00EB4D74">
              <w:rPr>
                <w:rFonts w:cs="Tahoma"/>
                <w:b/>
                <w:lang w:val="pt-BR"/>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B1196" w:rsidRPr="00EB4D74" w:rsidRDefault="008B1196" w:rsidP="00EA30FC">
            <w:pPr>
              <w:rPr>
                <w:rFonts w:eastAsia="Times New Roman" w:cs="Tahoma"/>
                <w:b/>
                <w:bCs/>
                <w:szCs w:val="18"/>
              </w:rPr>
            </w:pPr>
            <w:r w:rsidRPr="00EB4D74">
              <w:rPr>
                <w:rFonts w:cs="Tahoma"/>
                <w:b/>
                <w:lang w:val="pt-BR"/>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B1196" w:rsidRPr="00EB4D74" w:rsidRDefault="008B1196" w:rsidP="00EA30FC">
            <w:pPr>
              <w:rPr>
                <w:rFonts w:eastAsia="Times New Roman" w:cs="Tahoma"/>
                <w:b/>
                <w:bCs/>
                <w:szCs w:val="18"/>
              </w:rPr>
            </w:pPr>
            <w:r w:rsidRPr="00EB4D74">
              <w:rPr>
                <w:rFonts w:cs="Tahoma"/>
                <w:b/>
                <w:lang w:val="pt-BR"/>
              </w:rPr>
              <w:t>Windows 98 (incluindo 2ª Edição)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r w:rsidR="008B1196" w:rsidRPr="00EB4D74" w:rsidTr="00EA30FC">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8B1196" w:rsidRPr="00EB4D74" w:rsidRDefault="008B1196" w:rsidP="00EA30FC">
            <w:pPr>
              <w:rPr>
                <w:rFonts w:eastAsia="Times New Roman" w:cs="Tahoma"/>
                <w:b/>
                <w:bCs/>
                <w:szCs w:val="18"/>
              </w:rPr>
            </w:pPr>
            <w:r w:rsidRPr="00EB4D74">
              <w:rPr>
                <w:rFonts w:cs="Tahoma"/>
                <w:b/>
                <w:lang w:val="pt-BR"/>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ascii="Trebuchet MS" w:eastAsia="Times New Roman" w:hAnsi="Trebuchet MS" w:cs="Tahoma"/>
                <w:b/>
                <w:sz w:val="24"/>
                <w:szCs w:val="24"/>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b/>
                <w:sz w:val="24"/>
                <w:szCs w:val="24"/>
              </w:rPr>
            </w:pPr>
            <w:r w:rsidRPr="00EB4D74">
              <w:rPr>
                <w:rFonts w:ascii="Trebuchet MS" w:hAnsi="Trebuchet MS" w:cs="Tahoma"/>
                <w:b/>
                <w:sz w:val="24"/>
                <w:szCs w:val="24"/>
                <w:lang w:val="pt-BR"/>
              </w:rPr>
              <w:t>x</w:t>
            </w:r>
          </w:p>
        </w:tc>
      </w:tr>
    </w:tbl>
    <w:p w:rsidR="008B1196" w:rsidRPr="00EB4D74" w:rsidRDefault="008B1196" w:rsidP="008B1196">
      <w:pPr>
        <w:ind w:left="990"/>
        <w:rPr>
          <w:rFonts w:cs="Tahoma"/>
        </w:rPr>
      </w:pPr>
      <w:r w:rsidRPr="00EB4D74">
        <w:rPr>
          <w:rFonts w:cs="Tahoma"/>
          <w:i/>
          <w:sz w:val="14"/>
          <w:u w:val="single"/>
          <w:lang w:val="pt-BR"/>
        </w:rPr>
        <w:t>Observação</w:t>
      </w:r>
      <w:r w:rsidRPr="00EB4D74">
        <w:rPr>
          <w:rFonts w:cs="Tahoma"/>
          <w:i/>
          <w:sz w:val="14"/>
          <w:lang w:val="pt-BR"/>
        </w:rPr>
        <w:t>:</w:t>
      </w:r>
      <w:r w:rsidRPr="00EB4D74">
        <w:rPr>
          <w:rFonts w:cs="Tahoma"/>
          <w:i/>
          <w:iCs/>
          <w:sz w:val="14"/>
          <w:szCs w:val="14"/>
        </w:rPr>
        <w:br/>
      </w:r>
      <w:r w:rsidRPr="00EB4D74">
        <w:rPr>
          <w:rFonts w:cs="Tahoma"/>
          <w:i/>
          <w:sz w:val="14"/>
          <w:lang w:val="pt-BR"/>
        </w:rPr>
        <w:t>Academic inclui os Contratos Campus e School, Open Value Subscription - Soluções Educacionais, Programas Select - Academic e Open - Academic</w:t>
      </w:r>
      <w:r w:rsidRPr="00EB4D74">
        <w:rPr>
          <w:rFonts w:cs="Tahoma"/>
          <w:b/>
          <w:i/>
          <w:sz w:val="14"/>
          <w:lang w:val="pt-BR"/>
        </w:rPr>
        <w:br/>
      </w:r>
      <w:r w:rsidRPr="00EB4D74">
        <w:rPr>
          <w:rFonts w:cs="Tahoma"/>
          <w:i/>
          <w:sz w:val="14"/>
          <w:lang w:val="pt-BR"/>
        </w:rPr>
        <w:t>EA = Contrato Enterprise</w:t>
      </w:r>
      <w:r w:rsidRPr="00EB4D74">
        <w:rPr>
          <w:rFonts w:cs="Tahoma"/>
          <w:b/>
          <w:i/>
          <w:sz w:val="14"/>
          <w:lang w:val="pt-BR"/>
        </w:rPr>
        <w:br/>
      </w:r>
      <w:r w:rsidRPr="00EB4D74">
        <w:rPr>
          <w:rFonts w:cs="Tahoma"/>
          <w:i/>
          <w:sz w:val="14"/>
          <w:lang w:val="pt-BR"/>
        </w:rPr>
        <w:t>OV-TE = Open Value – Opção para toda a empresa</w:t>
      </w:r>
    </w:p>
    <w:p w:rsidR="008B1196" w:rsidRPr="00EB4D74" w:rsidRDefault="008B1196" w:rsidP="008B1196">
      <w:pPr>
        <w:ind w:left="990"/>
        <w:rPr>
          <w:rFonts w:cs="Tahoma"/>
        </w:rPr>
      </w:pPr>
      <w:r w:rsidRPr="00EB4D74">
        <w:rPr>
          <w:rFonts w:cs="Tahoma"/>
          <w:i/>
          <w:sz w:val="14"/>
          <w:lang w:val="pt-BR"/>
        </w:rPr>
        <w:t>‘N’, ‘K’ e ‘KN’ são edições especializadas disponíveis em determinados mercados.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As seguintes condições se aplicam ao Windows XP Starter Edition (SE), ao Windows Vista Starter Edition (SE) e ao Windows 7 Starter Edition:</w:t>
      </w:r>
    </w:p>
    <w:p w:rsidR="008B1196" w:rsidRPr="00EB4D74" w:rsidRDefault="008B1196" w:rsidP="008B1196">
      <w:pPr>
        <w:ind w:left="720"/>
        <w:rPr>
          <w:rFonts w:cs="Tahoma"/>
        </w:rPr>
      </w:pPr>
    </w:p>
    <w:p w:rsidR="008B1196" w:rsidRPr="00EB4D74" w:rsidRDefault="008B1196" w:rsidP="008B1196">
      <w:pPr>
        <w:pStyle w:val="ColorfulList-Accent11"/>
        <w:numPr>
          <w:ilvl w:val="0"/>
          <w:numId w:val="81"/>
        </w:numPr>
        <w:ind w:left="1440"/>
        <w:rPr>
          <w:rFonts w:ascii="Tahoma" w:hAnsi="Tahoma" w:cs="Tahoma"/>
          <w:spacing w:val="-4"/>
        </w:rPr>
      </w:pPr>
      <w:r w:rsidRPr="00EB4D74">
        <w:rPr>
          <w:rFonts w:ascii="Tahoma" w:hAnsi="Tahoma" w:cs="Tahoma"/>
          <w:spacing w:val="-4"/>
          <w:sz w:val="18"/>
          <w:lang w:val="pt-BR"/>
        </w:rPr>
        <w:t>Os clientes Academic (Academic Select, Academic Open e CASA, Open Value Subscription – Soluções Educacionais) têm permissão de adquirir uma licença de Atualização do Windows usando o Windows XP Starter Edition, o Windows Vista Starter Edition ou o Windows 7 Starter Edition como SO qualificado.</w:t>
      </w:r>
    </w:p>
    <w:p w:rsidR="008B1196" w:rsidRPr="00EB4D74" w:rsidRDefault="008B1196" w:rsidP="008B1196">
      <w:pPr>
        <w:pStyle w:val="ColorfulList-Accent11"/>
        <w:rPr>
          <w:rFonts w:ascii="Tahoma" w:hAnsi="Tahoma" w:cs="Tahoma"/>
          <w:sz w:val="18"/>
          <w:szCs w:val="18"/>
        </w:rPr>
      </w:pPr>
    </w:p>
    <w:p w:rsidR="008B1196" w:rsidRPr="00EB4D74" w:rsidRDefault="008B1196" w:rsidP="008B1196">
      <w:pPr>
        <w:pStyle w:val="ColorfulList-Accent11"/>
        <w:rPr>
          <w:rFonts w:ascii="Tahoma" w:hAnsi="Tahoma" w:cs="Tahoma"/>
          <w:lang w:val="it-IT"/>
        </w:rPr>
      </w:pPr>
      <w:r w:rsidRPr="00EB4D74">
        <w:rPr>
          <w:rFonts w:ascii="Tahoma" w:hAnsi="Tahoma" w:cs="Tahoma"/>
          <w:sz w:val="18"/>
          <w:szCs w:val="18"/>
          <w:lang w:val="pt-BR"/>
        </w:rPr>
        <w:t>Os clientes que adquirirem a atualização dessa forma renunciam a qualquer direito de transferir essa licença fora do país onde a compra foi efetuada.</w:t>
      </w:r>
    </w:p>
    <w:p w:rsidR="008B1196" w:rsidRPr="00EB4D74" w:rsidRDefault="008B1196" w:rsidP="008B1196">
      <w:pPr>
        <w:pStyle w:val="EndnoteText"/>
        <w:ind w:left="360"/>
        <w:rPr>
          <w:rFonts w:ascii="Tahoma" w:hAnsi="Tahoma" w:cs="Tahoma"/>
          <w:sz w:val="18"/>
          <w:szCs w:val="18"/>
          <w:lang w:val="it-IT"/>
        </w:rPr>
      </w:pPr>
    </w:p>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sz w:val="18"/>
          <w:lang w:val="pt-BR"/>
        </w:rPr>
        <w:lastRenderedPageBreak/>
        <w:t>Qualquer sistema operacional não listado acima não é um SO qualificado; por exemplo:</w:t>
      </w: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it-IT"/>
        </w:rPr>
      </w:pPr>
    </w:p>
    <w:p w:rsidR="008B1196" w:rsidRPr="00EB4D74" w:rsidRDefault="008B1196" w:rsidP="008B1196">
      <w:pPr>
        <w:pStyle w:val="FootnoteBulletLevel2"/>
        <w:numPr>
          <w:ilvl w:val="0"/>
          <w:numId w:val="82"/>
        </w:numPr>
        <w:adjustRightInd/>
        <w:spacing w:before="0" w:after="60"/>
        <w:ind w:left="1440"/>
        <w:textAlignment w:val="auto"/>
        <w:rPr>
          <w:rFonts w:ascii="Tahoma" w:hAnsi="Tahoma" w:cs="Tahoma"/>
        </w:rPr>
      </w:pPr>
      <w:r w:rsidRPr="00EB4D74">
        <w:rPr>
          <w:rFonts w:ascii="Tahoma" w:hAnsi="Tahoma" w:cs="Tahoma"/>
          <w:sz w:val="18"/>
          <w:lang w:val="pt-BR"/>
        </w:rPr>
        <w:t>Sistemas Incorporados (por exemplo, Windows 9.x incorporado, Windows XP incorporado) não estão qualificados para as Atualizações para Windows 8 Pro.</w:t>
      </w:r>
    </w:p>
    <w:p w:rsidR="008B1196" w:rsidRPr="00EB4D74" w:rsidRDefault="008B1196" w:rsidP="008B1196">
      <w:pPr>
        <w:pStyle w:val="FootnoteBulletLevel2"/>
        <w:numPr>
          <w:ilvl w:val="0"/>
          <w:numId w:val="82"/>
        </w:numPr>
        <w:adjustRightInd/>
        <w:spacing w:before="0" w:after="60"/>
        <w:ind w:left="1440"/>
        <w:textAlignment w:val="auto"/>
        <w:rPr>
          <w:rFonts w:ascii="Tahoma" w:hAnsi="Tahoma" w:cs="Tahoma"/>
        </w:rPr>
      </w:pPr>
      <w:r w:rsidRPr="00EB4D74">
        <w:rPr>
          <w:rFonts w:ascii="Tahoma" w:hAnsi="Tahoma" w:cs="Tahoma"/>
          <w:sz w:val="18"/>
          <w:lang w:val="pt-BR"/>
        </w:rPr>
        <w:t>Linux ou OS/2 não estão qualificados para as Atualizações para Windows 8 Pro.</w:t>
      </w:r>
    </w:p>
    <w:p w:rsidR="008B1196" w:rsidRPr="00EB4D74" w:rsidRDefault="008B1196" w:rsidP="008B1196">
      <w:pPr>
        <w:pStyle w:val="FootnoteBulletLevel2"/>
        <w:numPr>
          <w:ilvl w:val="0"/>
          <w:numId w:val="82"/>
        </w:numPr>
        <w:adjustRightInd/>
        <w:spacing w:before="0" w:after="60"/>
        <w:ind w:left="1440"/>
        <w:textAlignment w:val="auto"/>
        <w:rPr>
          <w:rFonts w:ascii="Tahoma" w:hAnsi="Tahoma" w:cs="Tahoma"/>
        </w:rPr>
      </w:pPr>
      <w:r w:rsidRPr="00EB4D74">
        <w:rPr>
          <w:rFonts w:ascii="Tahoma" w:hAnsi="Tahoma" w:cs="Tahoma"/>
          <w:sz w:val="18"/>
          <w:lang w:val="pt-BR"/>
        </w:rPr>
        <w:t>A Licença de Acesso para Cliente do Windows Terminal Services não está qualificada para as Atualizações para Windows 8 Pro.</w:t>
      </w:r>
    </w:p>
    <w:p w:rsidR="008B1196" w:rsidRPr="00EB4D74" w:rsidRDefault="008B1196" w:rsidP="008B1196">
      <w:pPr>
        <w:pStyle w:val="FootnoteBulletLevel2"/>
        <w:tabs>
          <w:tab w:val="clear" w:pos="1260"/>
        </w:tabs>
        <w:adjustRightInd/>
        <w:spacing w:before="0"/>
        <w:ind w:left="1080" w:firstLine="0"/>
        <w:textAlignment w:val="auto"/>
        <w:rPr>
          <w:rFonts w:ascii="Tahoma" w:hAnsi="Tahoma" w:cs="Tahoma"/>
          <w:sz w:val="18"/>
          <w:szCs w:val="18"/>
        </w:rPr>
      </w:pPr>
    </w:p>
    <w:p w:rsidR="008B1196" w:rsidRPr="00EB4D74" w:rsidRDefault="008B1196" w:rsidP="008B1196">
      <w:pPr>
        <w:pStyle w:val="FootnoteBulletLevel2"/>
        <w:tabs>
          <w:tab w:val="clear" w:pos="1260"/>
        </w:tabs>
        <w:spacing w:before="0"/>
        <w:ind w:left="720" w:firstLine="0"/>
        <w:rPr>
          <w:rFonts w:ascii="Tahoma" w:hAnsi="Tahoma" w:cs="Tahoma"/>
        </w:rPr>
      </w:pPr>
      <w:r w:rsidRPr="00EB4D74">
        <w:rPr>
          <w:rFonts w:ascii="Tahoma" w:hAnsi="Tahoma" w:cs="Tahoma"/>
          <w:sz w:val="18"/>
          <w:lang w:val="pt-BR"/>
        </w:rPr>
        <w:t>Os requisitos a seguir se aplicam à restauração ao estado anterior do Windows:</w:t>
      </w:r>
    </w:p>
    <w:p w:rsidR="008B1196" w:rsidRPr="00EB4D74" w:rsidRDefault="008B1196" w:rsidP="008B1196">
      <w:pPr>
        <w:pStyle w:val="FootnoteBulletLevel2"/>
        <w:tabs>
          <w:tab w:val="clear" w:pos="1260"/>
        </w:tabs>
        <w:spacing w:before="0"/>
        <w:ind w:left="720" w:firstLine="0"/>
        <w:rPr>
          <w:rFonts w:ascii="Tahoma" w:hAnsi="Tahoma" w:cs="Tahoma"/>
          <w:sz w:val="18"/>
          <w:szCs w:val="18"/>
        </w:rPr>
      </w:pPr>
    </w:p>
    <w:p w:rsidR="008B1196" w:rsidRPr="00EB4D74" w:rsidRDefault="008B1196" w:rsidP="008B1196">
      <w:pPr>
        <w:pStyle w:val="FootnoteBulletLevel2"/>
        <w:tabs>
          <w:tab w:val="clear" w:pos="1260"/>
        </w:tabs>
        <w:spacing w:before="0"/>
        <w:ind w:left="720" w:firstLine="0"/>
        <w:rPr>
          <w:rFonts w:ascii="Tahoma" w:hAnsi="Tahoma" w:cs="Tahoma"/>
          <w:spacing w:val="-2"/>
          <w:sz w:val="18"/>
          <w:lang w:val="pt-BR"/>
        </w:rPr>
      </w:pPr>
      <w:r w:rsidRPr="00EB4D74">
        <w:rPr>
          <w:rFonts w:ascii="Tahoma" w:hAnsi="Tahoma" w:cs="Tahoma"/>
          <w:spacing w:val="-2"/>
          <w:sz w:val="18"/>
          <w:lang w:val="pt-BR"/>
        </w:rPr>
        <w:t xml:space="preserve">Se um terceiro for restaurar o Windows ao estado anterior nos PCs do cliente, o cliente deverá fornecer antes (a) o formulário preenchido de “Verificação da Licença de Cliente da Microsoft para Atualização dos Serviços de Instalação do Software do Sistema Operacional Microsoft Windows por Terceiros” ou (b) cópias do formulário de assinatura do Contrato de Licenciamento por Volume da Microsoft aplicável ao software de atualização do sistema operacional Microsoft em instalação. O formulário de “Verificação da Licença da Microsoft para Restauração ao Estado Anterior/Instalação de Software do Sistema Operacional Microsoft por Terceiros” está disponível no site </w:t>
      </w:r>
      <w:hyperlink r:id="rId29" w:history="1">
        <w:r w:rsidRPr="00EB4D74">
          <w:rPr>
            <w:rStyle w:val="Hyperlink"/>
            <w:rFonts w:ascii="Tahoma" w:hAnsi="Tahoma" w:cs="Tahoma"/>
            <w:color w:val="auto"/>
            <w:spacing w:val="-2"/>
            <w:sz w:val="18"/>
            <w:u w:val="none"/>
            <w:lang w:val="pt-BR"/>
          </w:rPr>
          <w:t>www.microsoft.com/licensing/contracts</w:t>
        </w:r>
      </w:hyperlink>
      <w:r w:rsidRPr="00EB4D74">
        <w:rPr>
          <w:rFonts w:ascii="Tahoma" w:hAnsi="Tahoma" w:cs="Tahoma"/>
          <w:spacing w:val="-2"/>
          <w:sz w:val="18"/>
          <w:lang w:val="pt-BR"/>
        </w:rPr>
        <w:t>.</w:t>
      </w:r>
    </w:p>
    <w:p w:rsidR="008B1196" w:rsidRPr="00EB4D74" w:rsidRDefault="008B1196" w:rsidP="008B1196">
      <w:pPr>
        <w:pStyle w:val="FootnoteBulletLevel2"/>
        <w:tabs>
          <w:tab w:val="clear" w:pos="1260"/>
        </w:tabs>
        <w:spacing w:before="0"/>
        <w:ind w:left="720" w:firstLine="0"/>
        <w:rPr>
          <w:rFonts w:ascii="Tahoma" w:hAnsi="Tahoma" w:cs="Tahoma"/>
          <w:spacing w:val="-2"/>
          <w:lang w:val="it-IT"/>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lang w:val="it-IT"/>
        </w:rPr>
      </w:pPr>
      <w:r w:rsidRPr="00EB4D74">
        <w:rPr>
          <w:rFonts w:ascii="Tahoma" w:hAnsi="Tahoma" w:cs="Tahoma"/>
          <w:b/>
          <w:sz w:val="18"/>
          <w:lang w:val="pt-BR"/>
        </w:rPr>
        <w:t>Windows Intune (Por Dispositivo)</w:t>
      </w:r>
    </w:p>
    <w:p w:rsidR="008B1196" w:rsidRPr="00EB4D74" w:rsidRDefault="008B1196" w:rsidP="008B1196">
      <w:pPr>
        <w:ind w:left="720"/>
        <w:rPr>
          <w:rFonts w:cs="Tahoma"/>
          <w:lang w:val="pt-BR"/>
        </w:rPr>
      </w:pPr>
      <w:r w:rsidRPr="00EB4D74">
        <w:rPr>
          <w:rFonts w:cs="Tahoma"/>
          <w:lang w:val="pt-BR"/>
        </w:rPr>
        <w:t>O Windows Intune (Por Dispositivo) está disponível mediante licença de assinatura. Ele inclui direitos de atualização e uso do sistema operacional Windows Desktop. Portanto, com a Atualização para Windows Pro, cada desktop para o qual você adquirir e no qual executar o Windows Intune (Por Dispositivo) deverá estar licenciado para executar um dos sistemas operacionais qualificados aplicáveis identificados abaixo.</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lang w:val="pt-BR"/>
        </w:rPr>
        <w:t>As condições aplicáveis para aquisição da Licença de Atualização do Windows Pro, conforme descrito acima nas “Regras de SOs Qualificados” se aplicam na aquisição das licenças do Windows Intune (Por Dispositivo).</w:t>
      </w:r>
    </w:p>
    <w:p w:rsidR="008B1196" w:rsidRPr="00EB4D74" w:rsidRDefault="008B1196" w:rsidP="008B1196">
      <w:pPr>
        <w:ind w:left="720"/>
        <w:rPr>
          <w:rFonts w:cs="Tahoma"/>
          <w:lang w:val="pt-BR"/>
        </w:rPr>
      </w:pPr>
    </w:p>
    <w:p w:rsidR="008B1196" w:rsidRPr="00EB4D74" w:rsidRDefault="008B1196" w:rsidP="008B1196">
      <w:pPr>
        <w:keepNext/>
        <w:ind w:left="720"/>
        <w:rPr>
          <w:rFonts w:cs="Tahoma"/>
          <w:lang w:val="pt-BR"/>
        </w:rPr>
      </w:pPr>
      <w:r w:rsidRPr="00EB4D74">
        <w:rPr>
          <w:rFonts w:cs="Tahoma"/>
          <w:lang w:val="pt-BR"/>
        </w:rPr>
        <w:t>Para Windows Intune (Por Dispositivo) adquirido como um Serviço Online Enterprise para atender aos requisitos do Produto Enterprise: Consulte a coluna “Novo EA/OV-TE” na tabela acima para licenças adquiridas na assinatura e a Coluna “EA/OV-TE existente” na tabela abaixo para licenças adquiridas em qualquer outro período ou realocadas conforme permitido na seção “Realocação de Licença” apresentada abaixo.</w:t>
      </w:r>
    </w:p>
    <w:p w:rsidR="008B1196" w:rsidRPr="00EB4D74" w:rsidRDefault="008B1196" w:rsidP="008B1196">
      <w:pPr>
        <w:keepNext/>
        <w:ind w:left="720"/>
        <w:rPr>
          <w:rFonts w:cs="Tahoma"/>
          <w:lang w:val="pt-BR"/>
        </w:rPr>
      </w:pPr>
    </w:p>
    <w:p w:rsidR="008B1196" w:rsidRPr="00EB4D74" w:rsidRDefault="008B1196" w:rsidP="008B1196">
      <w:pPr>
        <w:ind w:left="720"/>
        <w:rPr>
          <w:rFonts w:cs="Tahoma"/>
          <w:lang w:val="it-IT"/>
        </w:rPr>
      </w:pPr>
      <w:r w:rsidRPr="00EB4D74">
        <w:rPr>
          <w:rFonts w:cs="Tahoma"/>
          <w:lang w:val="pt-BR"/>
        </w:rPr>
        <w:t>Como exceção da regra acima, para o Windows Intune (Por Dispositivo) adquirido como um Serviço Online Enterprise, mas não para atender aos requisitos do Produto Enterprise: Consulte a coluna “Novo EA/OV-CW” na tabela acima para novas licenças.</w:t>
      </w:r>
    </w:p>
    <w:p w:rsidR="008B1196" w:rsidRPr="00EB4D74" w:rsidRDefault="008B1196" w:rsidP="008B1196">
      <w:pPr>
        <w:ind w:left="720"/>
        <w:rPr>
          <w:rFonts w:cs="Tahoma"/>
          <w:lang w:val="it-IT"/>
        </w:rPr>
      </w:pPr>
    </w:p>
    <w:p w:rsidR="008B1196" w:rsidRPr="00EB4D74" w:rsidRDefault="008B1196" w:rsidP="008B1196">
      <w:pPr>
        <w:pStyle w:val="FootnoteBulletLevel2"/>
        <w:spacing w:before="0"/>
        <w:ind w:left="720" w:firstLine="0"/>
        <w:rPr>
          <w:rFonts w:ascii="Tahoma" w:hAnsi="Tahoma" w:cs="Tahoma"/>
          <w:lang w:val="it-IT"/>
        </w:rPr>
      </w:pPr>
      <w:r w:rsidRPr="00EB4D74">
        <w:rPr>
          <w:rFonts w:ascii="Tahoma" w:hAnsi="Tahoma" w:cs="Tahoma"/>
          <w:sz w:val="18"/>
          <w:lang w:val="pt-BR"/>
        </w:rPr>
        <w:t>Os clientes que tiverem assinaturas do Windows Intune (Por Dispositivo) ativas não precisarão desinstalar o SO qualificado do dispositivo licenciado e poderão instalar e executar o SO qualificado e o sistema operacional Windows Desktop simultaneamente.</w:t>
      </w:r>
    </w:p>
    <w:p w:rsidR="008B1196" w:rsidRPr="00EB4D74" w:rsidRDefault="008B1196" w:rsidP="008B1196">
      <w:pPr>
        <w:pStyle w:val="FootnoteBulletLevel1"/>
        <w:spacing w:before="0" w:after="0"/>
        <w:ind w:left="720" w:firstLine="0"/>
        <w:rPr>
          <w:rFonts w:ascii="Tahoma" w:hAnsi="Tahoma" w:cs="Tahoma"/>
          <w:sz w:val="18"/>
          <w:szCs w:val="18"/>
          <w:lang w:val="it-IT"/>
        </w:rPr>
      </w:pPr>
    </w:p>
    <w:p w:rsidR="008B1196" w:rsidRPr="00EB4D74" w:rsidRDefault="008B1196" w:rsidP="008B1196">
      <w:pPr>
        <w:tabs>
          <w:tab w:val="left" w:pos="900"/>
        </w:tabs>
        <w:ind w:left="720"/>
        <w:rPr>
          <w:rFonts w:cs="Tahoma"/>
          <w:lang w:val="it-IT"/>
        </w:rPr>
      </w:pPr>
      <w:r w:rsidRPr="00EB4D74">
        <w:rPr>
          <w:rFonts w:cs="Tahoma"/>
          <w:u w:val="single"/>
          <w:lang w:val="pt-BR"/>
        </w:rPr>
        <w:t>Cessão da Licença</w:t>
      </w:r>
    </w:p>
    <w:p w:rsidR="008B1196" w:rsidRPr="00EB4D74" w:rsidRDefault="008B1196" w:rsidP="008B1196">
      <w:pPr>
        <w:tabs>
          <w:tab w:val="left" w:pos="900"/>
        </w:tabs>
        <w:ind w:left="720"/>
        <w:rPr>
          <w:rFonts w:cs="Tahoma"/>
          <w:lang w:val="pt-BR"/>
        </w:rPr>
      </w:pPr>
      <w:r w:rsidRPr="00EB4D74">
        <w:rPr>
          <w:rFonts w:cs="Tahoma"/>
          <w:lang w:val="pt-BR"/>
        </w:rPr>
        <w:t>Os clientes devem ceder a licença de assinatura do Windows Intune (Por Dispositivo) ao dispositivo no qual está instalado o sistema operacional qualificado.</w:t>
      </w:r>
    </w:p>
    <w:p w:rsidR="008B1196" w:rsidRPr="00EB4D74" w:rsidRDefault="008B1196" w:rsidP="008B1196">
      <w:pPr>
        <w:tabs>
          <w:tab w:val="left" w:pos="900"/>
        </w:tabs>
        <w:ind w:left="720"/>
        <w:rPr>
          <w:rFonts w:cs="Tahoma"/>
          <w:lang w:val="it-IT"/>
        </w:rPr>
      </w:pPr>
    </w:p>
    <w:p w:rsidR="008B1196" w:rsidRPr="00EB4D74" w:rsidRDefault="008B1196" w:rsidP="008B1196">
      <w:pPr>
        <w:pStyle w:val="FootnoteBulletLevel1"/>
        <w:tabs>
          <w:tab w:val="clear" w:pos="900"/>
        </w:tabs>
        <w:spacing w:before="0" w:after="60"/>
        <w:ind w:left="720" w:firstLine="0"/>
        <w:rPr>
          <w:rFonts w:ascii="Tahoma" w:hAnsi="Tahoma" w:cs="Tahoma"/>
          <w:lang w:val="it-IT"/>
        </w:rPr>
      </w:pPr>
      <w:r w:rsidRPr="00EB4D74">
        <w:rPr>
          <w:rFonts w:ascii="Tahoma" w:hAnsi="Tahoma" w:cs="Tahoma"/>
          <w:b/>
          <w:sz w:val="18"/>
          <w:lang w:val="pt-BR"/>
        </w:rPr>
        <w:t>Realocação da Licença para Windows Intune (Por Dispositivo)</w:t>
      </w:r>
    </w:p>
    <w:p w:rsidR="008B1196" w:rsidRPr="00EB4D74" w:rsidRDefault="008B1196" w:rsidP="008B1196">
      <w:pPr>
        <w:pStyle w:val="BodyText"/>
        <w:spacing w:before="0" w:after="0" w:line="240" w:lineRule="auto"/>
        <w:ind w:left="720"/>
        <w:rPr>
          <w:rFonts w:ascii="Tahoma" w:hAnsi="Tahoma" w:cs="Tahoma"/>
          <w:lang w:val="it-IT"/>
        </w:rPr>
      </w:pPr>
      <w:r w:rsidRPr="00EB4D74">
        <w:rPr>
          <w:rFonts w:ascii="Tahoma" w:hAnsi="Tahoma" w:cs="Tahoma"/>
          <w:color w:val="auto"/>
          <w:sz w:val="18"/>
          <w:lang w:val="it-IT"/>
        </w:rPr>
        <w:t>Os clientes poderão ceder licenças do Complemento do Windows Intune (Por Dispositivo), mas não a curto prazo (ou seja, não antes de 90 dias depois da última cessão). Eles poderão realocar uma licença do Windows Intune (Por Dispositivo) mais cedo se desativarem o dispositivo licenciado existente em decorrência de uma falha de hardware permanente. A licença para a qual o Windows Intune (Por Dispositivo) for transferido deverá atender aos requisitos de sistema operacional qualificado descritos acima. O software deverá ser removido e o uso ou acesso ao serviço Windows Intune (Por Dispositivo) descontinuado a partir do dispositivo do qual a licença foi transferida.</w:t>
      </w:r>
    </w:p>
    <w:p w:rsidR="008B1196" w:rsidRPr="00EB4D74" w:rsidRDefault="008B1196" w:rsidP="008B1196">
      <w:pPr>
        <w:pStyle w:val="BodyText"/>
        <w:spacing w:before="0" w:after="0" w:line="240" w:lineRule="auto"/>
        <w:ind w:left="720"/>
        <w:rPr>
          <w:rFonts w:ascii="Tahoma" w:hAnsi="Tahoma" w:cs="Tahoma"/>
          <w:sz w:val="18"/>
          <w:szCs w:val="18"/>
          <w:lang w:val="it-IT"/>
        </w:rPr>
      </w:pPr>
    </w:p>
    <w:p w:rsidR="008B1196" w:rsidRPr="00EB4D74" w:rsidRDefault="008B1196" w:rsidP="008B1196">
      <w:pPr>
        <w:pStyle w:val="BodyText"/>
        <w:spacing w:before="0" w:after="0" w:line="240" w:lineRule="auto"/>
        <w:ind w:left="720"/>
        <w:rPr>
          <w:rFonts w:ascii="Tahoma" w:hAnsi="Tahoma" w:cs="Tahoma"/>
          <w:sz w:val="18"/>
          <w:szCs w:val="18"/>
          <w:lang w:val="it-IT"/>
        </w:rPr>
      </w:pPr>
    </w:p>
    <w:p w:rsidR="008B1196" w:rsidRPr="00EB4D74" w:rsidRDefault="008B1196" w:rsidP="008B1196">
      <w:pPr>
        <w:pStyle w:val="BodyText"/>
        <w:spacing w:before="0" w:after="0" w:line="240" w:lineRule="auto"/>
        <w:ind w:left="720"/>
        <w:rPr>
          <w:rFonts w:ascii="Tahoma" w:hAnsi="Tahoma" w:cs="Tahoma"/>
          <w:sz w:val="18"/>
          <w:szCs w:val="18"/>
          <w:lang w:val="it-IT"/>
        </w:rPr>
      </w:pPr>
    </w:p>
    <w:p w:rsidR="008B1196" w:rsidRPr="00EB4D74" w:rsidRDefault="008B1196" w:rsidP="008B1196">
      <w:pPr>
        <w:autoSpaceDN w:val="0"/>
        <w:ind w:left="720"/>
        <w:rPr>
          <w:rFonts w:cs="Tahoma"/>
          <w:lang w:val="it-IT"/>
        </w:rPr>
      </w:pPr>
      <w:r w:rsidRPr="00EB4D74">
        <w:rPr>
          <w:rFonts w:cs="Tahoma"/>
          <w:lang w:val="pt-BR"/>
        </w:rPr>
        <w:lastRenderedPageBreak/>
        <w:t>Como exceção aos requisitos do SO qualificado para Windows Intune (Por Dispositivo) licenciado como Serviços Online Enterprise para atender aos requisitos do Produto Enterprise, os clientes poderão realocar as licenças do Windows Intune (Por Dispositivo) para os dispositivos a seguir, contanto que eles estejam licenciados para um dos sistemas operacionais qualificados identificados na coluna “Novo EA/OV-TE” na tabela acima e que os sistemas operacionais qualificados estejam instalados neles:</w:t>
      </w:r>
    </w:p>
    <w:p w:rsidR="008B1196" w:rsidRPr="00EB4D74" w:rsidRDefault="008B1196" w:rsidP="008B1196">
      <w:pPr>
        <w:autoSpaceDN w:val="0"/>
        <w:ind w:left="720"/>
        <w:rPr>
          <w:rFonts w:cs="Tahoma"/>
          <w:lang w:val="it-IT"/>
        </w:rPr>
      </w:pPr>
    </w:p>
    <w:p w:rsidR="008B1196" w:rsidRPr="00EB4D74" w:rsidRDefault="008B1196" w:rsidP="008B1196">
      <w:pPr>
        <w:numPr>
          <w:ilvl w:val="3"/>
          <w:numId w:val="77"/>
        </w:numPr>
        <w:autoSpaceDN w:val="0"/>
        <w:spacing w:after="60"/>
        <w:ind w:left="1440"/>
        <w:rPr>
          <w:rFonts w:cs="Tahoma"/>
          <w:lang w:val="it-IT"/>
        </w:rPr>
      </w:pPr>
      <w:r w:rsidRPr="00EB4D74">
        <w:rPr>
          <w:rFonts w:cs="Tahoma"/>
          <w:lang w:val="pt-BR"/>
        </w:rPr>
        <w:t>dispositivos adquiridos em uma fusão ou aquisição e</w:t>
      </w:r>
    </w:p>
    <w:p w:rsidR="008B1196" w:rsidRPr="00EB4D74" w:rsidRDefault="008B1196" w:rsidP="008B1196">
      <w:pPr>
        <w:numPr>
          <w:ilvl w:val="3"/>
          <w:numId w:val="77"/>
        </w:numPr>
        <w:autoSpaceDN w:val="0"/>
        <w:spacing w:after="60"/>
        <w:ind w:left="1440"/>
        <w:rPr>
          <w:rFonts w:cs="Tahoma"/>
          <w:lang w:val="it-IT"/>
        </w:rPr>
      </w:pPr>
      <w:r w:rsidRPr="00EB4D74">
        <w:rPr>
          <w:rFonts w:cs="Tahoma"/>
          <w:lang w:val="pt-BR"/>
        </w:rPr>
        <w:t>dispositivos pertencentes a terceiros e funcionários.</w:t>
      </w:r>
    </w:p>
    <w:p w:rsidR="008B1196" w:rsidRPr="00EB4D74" w:rsidRDefault="008B1196" w:rsidP="008B1196">
      <w:pPr>
        <w:autoSpaceDN w:val="0"/>
        <w:spacing w:after="60"/>
        <w:rPr>
          <w:rFonts w:cs="Tahoma"/>
          <w:lang w:val="it-IT"/>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Software Assurance do Windows 8 Pro</w:t>
      </w:r>
    </w:p>
    <w:p w:rsidR="008B1196" w:rsidRPr="00EB4D74" w:rsidRDefault="008B1196" w:rsidP="008B1196">
      <w:pPr>
        <w:pStyle w:val="FootnoteBulletLevel1"/>
        <w:spacing w:before="0" w:after="0"/>
        <w:ind w:left="720" w:firstLine="0"/>
        <w:rPr>
          <w:rFonts w:ascii="Tahoma" w:hAnsi="Tahoma" w:cs="Tahoma"/>
        </w:rPr>
      </w:pPr>
      <w:r w:rsidRPr="00EB4D74">
        <w:rPr>
          <w:rFonts w:ascii="Tahoma" w:hAnsi="Tahoma" w:cs="Tahoma"/>
          <w:sz w:val="18"/>
          <w:lang w:val="pt-BR"/>
        </w:rPr>
        <w:t>Os clientes que desejarem se registrar no Software Assurance do Windows 8 Pro têm as seguintes opções:</w:t>
      </w:r>
    </w:p>
    <w:p w:rsidR="008B1196" w:rsidRPr="00EB4D74" w:rsidRDefault="008B1196" w:rsidP="008B1196">
      <w:pPr>
        <w:pStyle w:val="FootnoteBulletLevel1"/>
        <w:spacing w:before="0" w:after="0"/>
        <w:ind w:left="720" w:firstLine="0"/>
        <w:rPr>
          <w:rFonts w:ascii="Tahoma" w:hAnsi="Tahoma" w:cs="Tahoma"/>
          <w:sz w:val="18"/>
          <w:szCs w:val="18"/>
        </w:rPr>
      </w:pPr>
    </w:p>
    <w:p w:rsidR="008B1196" w:rsidRPr="00EB4D74" w:rsidRDefault="008B1196" w:rsidP="008B1196">
      <w:pPr>
        <w:pStyle w:val="FootnoteBulletLevel1"/>
        <w:numPr>
          <w:ilvl w:val="0"/>
          <w:numId w:val="26"/>
        </w:numPr>
        <w:adjustRightInd/>
        <w:spacing w:before="0" w:after="60"/>
        <w:textAlignment w:val="auto"/>
        <w:rPr>
          <w:rFonts w:ascii="Tahoma" w:hAnsi="Tahoma" w:cs="Tahoma"/>
        </w:rPr>
      </w:pPr>
      <w:r w:rsidRPr="00EB4D74">
        <w:rPr>
          <w:rFonts w:ascii="Tahoma" w:hAnsi="Tahoma" w:cs="Tahoma"/>
          <w:sz w:val="18"/>
          <w:lang w:val="pt-BR"/>
        </w:rPr>
        <w:t>Select. Programas Open Value (Não extensivo a toda a empresa) e Licença Open</w:t>
      </w:r>
    </w:p>
    <w:p w:rsidR="008B1196" w:rsidRPr="00EB4D74" w:rsidRDefault="008B1196" w:rsidP="008B1196">
      <w:pPr>
        <w:numPr>
          <w:ilvl w:val="0"/>
          <w:numId w:val="78"/>
        </w:numPr>
        <w:spacing w:after="60"/>
        <w:ind w:left="1980"/>
        <w:rPr>
          <w:rFonts w:cs="Tahoma"/>
        </w:rPr>
      </w:pPr>
      <w:r w:rsidRPr="00EB4D74">
        <w:rPr>
          <w:rFonts w:cs="Tahoma"/>
          <w:bdr w:val="none" w:sz="0" w:space="0" w:color="auto" w:frame="1"/>
          <w:lang w:val="pt-BR"/>
        </w:rPr>
        <w:t>Adquirir a cobertura do Software Assurance para Windows 8 Pro ou Windows 7 Professional (32 bits ou 64 bits ou edições N, K ou KN) licenciada por meio de OEM, Varejo ou Contrato Get Genuine Windows (GGWA) (também chamado, em certos países, de “Get Genuine Solution”) dentro de 90 dias a partir da data de compra da licença de OEM, Varejo ou GGWA. (Início de vigência: 1º de setembro de 2009)</w:t>
      </w:r>
    </w:p>
    <w:p w:rsidR="008B1196" w:rsidRPr="00EB4D74" w:rsidRDefault="008B1196" w:rsidP="008B1196">
      <w:pPr>
        <w:pStyle w:val="Footnotedash"/>
        <w:numPr>
          <w:ilvl w:val="0"/>
          <w:numId w:val="78"/>
        </w:numPr>
        <w:adjustRightInd/>
        <w:spacing w:before="0"/>
        <w:ind w:left="1980"/>
        <w:textAlignment w:val="auto"/>
        <w:rPr>
          <w:rFonts w:ascii="Tahoma" w:hAnsi="Tahoma" w:cs="Tahoma"/>
        </w:rPr>
      </w:pPr>
      <w:r w:rsidRPr="00EB4D74">
        <w:rPr>
          <w:rFonts w:ascii="Tahoma" w:hAnsi="Tahoma" w:cs="Tahoma"/>
          <w:sz w:val="18"/>
          <w:lang w:val="pt-BR"/>
        </w:rPr>
        <w:t>Renovar o Software Assurance para o sistema operacional de desktop ao término da cobertura do Software Assurance do Windows 8 Pro ou Windows 7 Professional.</w:t>
      </w:r>
    </w:p>
    <w:p w:rsidR="008B1196" w:rsidRPr="00EB4D74" w:rsidRDefault="008B1196" w:rsidP="008B1196">
      <w:pPr>
        <w:pStyle w:val="Footnotedash"/>
        <w:tabs>
          <w:tab w:val="clear" w:pos="1620"/>
        </w:tabs>
        <w:spacing w:before="0" w:after="0"/>
        <w:ind w:left="720" w:firstLine="0"/>
        <w:rPr>
          <w:rFonts w:ascii="Tahoma" w:hAnsi="Tahoma" w:cs="Tahoma"/>
        </w:rPr>
      </w:pPr>
      <w:r w:rsidRPr="00EB4D74">
        <w:rPr>
          <w:rFonts w:ascii="Tahoma" w:hAnsi="Tahoma" w:cs="Tahoma"/>
          <w:sz w:val="18"/>
          <w:szCs w:val="18"/>
          <w:lang w:val="pt-BR"/>
        </w:rPr>
        <w:t xml:space="preserve">O período de tempo estabelecido acima poderá ser expandido para fins promocionais por tempo limitado. </w:t>
      </w:r>
      <w:r w:rsidRPr="00EB4D74">
        <w:rPr>
          <w:rFonts w:ascii="Tahoma" w:hAnsi="Tahoma" w:cs="Tahoma"/>
          <w:sz w:val="18"/>
          <w:lang w:val="pt-BR"/>
        </w:rPr>
        <w:t xml:space="preserve">Consulte a </w:t>
      </w:r>
      <w:hyperlink w:anchor="_SECTION_3_–" w:history="1">
        <w:r w:rsidRPr="00EB4D74">
          <w:rPr>
            <w:rStyle w:val="Hyperlink"/>
            <w:rFonts w:ascii="Tahoma" w:hAnsi="Tahoma" w:cs="Tahoma"/>
            <w:color w:val="auto"/>
            <w:sz w:val="18"/>
            <w:u w:val="none"/>
            <w:lang w:val="pt-BR"/>
          </w:rPr>
          <w:t>Section 3</w:t>
        </w:r>
      </w:hyperlink>
      <w:r w:rsidRPr="00EB4D74">
        <w:rPr>
          <w:rFonts w:ascii="Tahoma" w:hAnsi="Tahoma" w:cs="Tahoma"/>
          <w:sz w:val="18"/>
          <w:lang w:val="pt-BR"/>
        </w:rPr>
        <w:t xml:space="preserve"> para obter detalhes.</w:t>
      </w:r>
    </w:p>
    <w:p w:rsidR="008B1196" w:rsidRPr="00EB4D74" w:rsidRDefault="008B1196" w:rsidP="008B1196">
      <w:pPr>
        <w:pStyle w:val="Footnotedash"/>
        <w:spacing w:before="0" w:after="0"/>
        <w:ind w:left="720" w:firstLine="0"/>
        <w:rPr>
          <w:rFonts w:ascii="Tahoma" w:hAnsi="Tahoma" w:cs="Tahoma"/>
          <w:sz w:val="18"/>
          <w:szCs w:val="18"/>
        </w:rPr>
      </w:pPr>
    </w:p>
    <w:p w:rsidR="008B1196" w:rsidRPr="00EB4D74" w:rsidRDefault="008B1196" w:rsidP="008B1196">
      <w:pPr>
        <w:pStyle w:val="FootnoteBulletLevel2"/>
        <w:numPr>
          <w:ilvl w:val="0"/>
          <w:numId w:val="75"/>
        </w:numPr>
        <w:adjustRightInd/>
        <w:spacing w:before="0"/>
        <w:ind w:left="1440"/>
        <w:textAlignment w:val="auto"/>
        <w:rPr>
          <w:rFonts w:ascii="Tahoma" w:hAnsi="Tahoma" w:cs="Tahoma"/>
          <w:lang w:val="it-IT"/>
        </w:rPr>
      </w:pPr>
      <w:r w:rsidRPr="00EB4D74">
        <w:rPr>
          <w:rFonts w:ascii="Tahoma" w:hAnsi="Tahoma" w:cs="Tahoma"/>
          <w:sz w:val="18"/>
          <w:szCs w:val="18"/>
          <w:lang w:val="pt-BR"/>
        </w:rPr>
        <w:t xml:space="preserve">Registros Enterprise: </w:t>
      </w:r>
      <w:r w:rsidRPr="00EB4D74">
        <w:rPr>
          <w:rFonts w:ascii="Tahoma" w:hAnsi="Tahoma" w:cs="Tahoma"/>
          <w:sz w:val="18"/>
          <w:lang w:val="pt-BR"/>
        </w:rPr>
        <w:t>ao término de um Registro Enterprise existente que cubra o Sistema Operacional Windows Desktop, renovar a respectiva cobertura sob um novo Registro Enterprise para o Sistema Operacional Windows Desktop.</w:t>
      </w:r>
    </w:p>
    <w:p w:rsidR="008B1196" w:rsidRPr="00EB4D74" w:rsidRDefault="008B1196" w:rsidP="008B1196">
      <w:pPr>
        <w:pStyle w:val="FootnoteBulletLevel2"/>
        <w:tabs>
          <w:tab w:val="clear" w:pos="1260"/>
        </w:tabs>
        <w:adjustRightInd/>
        <w:spacing w:before="0"/>
        <w:ind w:left="0" w:firstLine="0"/>
        <w:textAlignment w:val="auto"/>
        <w:rPr>
          <w:rFonts w:ascii="Tahoma" w:hAnsi="Tahoma" w:cs="Tahoma"/>
          <w:sz w:val="18"/>
          <w:szCs w:val="18"/>
          <w:lang w:val="it-IT"/>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Software Assurance e Atualização do Windows 8 Pro</w:t>
      </w:r>
    </w:p>
    <w:p w:rsidR="008B1196" w:rsidRPr="00EB4D74" w:rsidRDefault="008B1196" w:rsidP="008B1196">
      <w:pPr>
        <w:pStyle w:val="FootnoteBulletLevel1"/>
        <w:spacing w:before="0" w:after="0"/>
        <w:ind w:left="720" w:firstLine="0"/>
        <w:rPr>
          <w:rFonts w:ascii="Tahoma" w:hAnsi="Tahoma" w:cs="Tahoma"/>
          <w:lang w:val="it-IT"/>
        </w:rPr>
      </w:pPr>
      <w:r w:rsidRPr="00EB4D74">
        <w:rPr>
          <w:rFonts w:ascii="Tahoma" w:hAnsi="Tahoma" w:cs="Tahoma"/>
          <w:sz w:val="18"/>
          <w:u w:val="single"/>
          <w:lang w:val="pt-BR"/>
        </w:rPr>
        <w:t>Licença de Atualização de Sistema Operacional (SO)</w:t>
      </w:r>
    </w:p>
    <w:p w:rsidR="008B1196" w:rsidRPr="00EB4D74" w:rsidRDefault="008B1196" w:rsidP="008B1196">
      <w:pPr>
        <w:pStyle w:val="FootnoteBulletLevel2"/>
        <w:tabs>
          <w:tab w:val="clear" w:pos="1260"/>
        </w:tabs>
        <w:adjustRightInd/>
        <w:spacing w:before="0"/>
        <w:ind w:left="720" w:firstLine="0"/>
        <w:textAlignment w:val="auto"/>
        <w:rPr>
          <w:rFonts w:ascii="Tahoma" w:hAnsi="Tahoma" w:cs="Tahoma"/>
          <w:spacing w:val="-3"/>
          <w:lang w:val="pt-BR"/>
        </w:rPr>
      </w:pPr>
      <w:r w:rsidRPr="00EB4D74">
        <w:rPr>
          <w:rFonts w:ascii="Tahoma" w:hAnsi="Tahoma" w:cs="Tahoma"/>
          <w:spacing w:val="-3"/>
          <w:sz w:val="18"/>
          <w:szCs w:val="18"/>
          <w:lang w:val="pt-BR"/>
        </w:rPr>
        <w:t xml:space="preserve">As licenças de sistema operacional de desktop concedidas nestes programas são apenas licenças de atualização. Não há licenças integrais de sistema operacional de desktop disponíveis nestes programas. </w:t>
      </w:r>
      <w:r w:rsidRPr="00EB4D74">
        <w:rPr>
          <w:rFonts w:ascii="Tahoma" w:hAnsi="Tahoma" w:cs="Tahoma"/>
          <w:spacing w:val="-3"/>
          <w:sz w:val="18"/>
          <w:lang w:val="pt-BR"/>
        </w:rPr>
        <w:t>Portanto, o cliente deve ter licenciado e instalado em cada desktop para o qual ele adquirir e no qual executar a Atualização para Windows 8 Pro um dos sistemas operacionais qualificados aplicáveis identificados na tabela abaixo.</w:t>
      </w:r>
    </w:p>
    <w:p w:rsidR="008B1196" w:rsidRPr="00EB4D74" w:rsidRDefault="008B1196" w:rsidP="008B1196">
      <w:pPr>
        <w:pStyle w:val="FootnoteBulletLevel2"/>
        <w:tabs>
          <w:tab w:val="clear" w:pos="1260"/>
        </w:tabs>
        <w:adjustRightInd/>
        <w:spacing w:before="0"/>
        <w:ind w:left="720" w:firstLine="0"/>
        <w:textAlignment w:val="auto"/>
        <w:rPr>
          <w:rFonts w:ascii="Tahoma" w:hAnsi="Tahoma" w:cs="Tahoma"/>
          <w:sz w:val="18"/>
          <w:szCs w:val="18"/>
          <w:lang w:val="pt-BR"/>
        </w:rPr>
      </w:pPr>
    </w:p>
    <w:p w:rsidR="008B1196" w:rsidRPr="00EB4D74" w:rsidRDefault="008B1196" w:rsidP="008B1196">
      <w:pPr>
        <w:pStyle w:val="FootnoteBulletLevel2"/>
        <w:tabs>
          <w:tab w:val="clear" w:pos="1260"/>
        </w:tabs>
        <w:adjustRightInd/>
        <w:spacing w:before="0"/>
        <w:ind w:left="720" w:firstLine="0"/>
        <w:textAlignment w:val="auto"/>
        <w:rPr>
          <w:rFonts w:ascii="Tahoma" w:hAnsi="Tahoma" w:cs="Tahoma"/>
        </w:rPr>
      </w:pPr>
      <w:r w:rsidRPr="00EB4D74">
        <w:rPr>
          <w:rFonts w:ascii="Tahoma" w:hAnsi="Tahoma" w:cs="Tahoma"/>
          <w:sz w:val="18"/>
          <w:lang w:val="pt-BR"/>
        </w:rPr>
        <w:t>Os clientes que desejarem adquirir a Atualização e o Software Assurance do Windows 8 Pro em conjunto têm as seguintes opções:</w:t>
      </w:r>
    </w:p>
    <w:p w:rsidR="008B1196" w:rsidRPr="00EB4D74" w:rsidRDefault="008B1196" w:rsidP="008B1196">
      <w:pPr>
        <w:pStyle w:val="FootnoteBulletLevel2"/>
        <w:tabs>
          <w:tab w:val="clear" w:pos="1260"/>
        </w:tabs>
        <w:adjustRightInd/>
        <w:spacing w:before="0"/>
        <w:ind w:left="720" w:firstLine="0"/>
        <w:textAlignment w:val="auto"/>
        <w:rPr>
          <w:rFonts w:ascii="Tahoma" w:hAnsi="Tahoma" w:cs="Tahoma"/>
          <w:sz w:val="18"/>
          <w:szCs w:val="18"/>
        </w:rPr>
      </w:pPr>
    </w:p>
    <w:p w:rsidR="008B1196" w:rsidRPr="00EB4D74" w:rsidRDefault="008B1196" w:rsidP="008B1196">
      <w:pPr>
        <w:pStyle w:val="FootnoteBulletLevel2"/>
        <w:numPr>
          <w:ilvl w:val="0"/>
          <w:numId w:val="75"/>
        </w:numPr>
        <w:adjustRightInd/>
        <w:spacing w:before="0" w:after="60"/>
        <w:ind w:left="1440"/>
        <w:textAlignment w:val="auto"/>
        <w:rPr>
          <w:rFonts w:ascii="Tahoma" w:hAnsi="Tahoma" w:cs="Tahoma"/>
        </w:rPr>
      </w:pPr>
      <w:r w:rsidRPr="00EB4D74">
        <w:rPr>
          <w:rFonts w:ascii="Tahoma" w:hAnsi="Tahoma" w:cs="Tahoma"/>
          <w:sz w:val="18"/>
          <w:lang w:val="pt-BR"/>
        </w:rPr>
        <w:t>Programas Select, Open Value (Não extensivo a toda a empresa) e Licença Open:</w:t>
      </w:r>
    </w:p>
    <w:p w:rsidR="008B1196" w:rsidRPr="00EB4D74" w:rsidRDefault="008B1196" w:rsidP="008B1196">
      <w:pPr>
        <w:pStyle w:val="Footnotedash"/>
        <w:numPr>
          <w:ilvl w:val="1"/>
          <w:numId w:val="79"/>
        </w:numPr>
        <w:spacing w:before="0"/>
        <w:ind w:left="1800"/>
        <w:rPr>
          <w:rFonts w:ascii="Tahoma" w:hAnsi="Tahoma" w:cs="Tahoma"/>
        </w:rPr>
      </w:pPr>
      <w:r w:rsidRPr="00EB4D74">
        <w:rPr>
          <w:rFonts w:ascii="Tahoma" w:hAnsi="Tahoma" w:cs="Tahoma"/>
          <w:color w:val="000000"/>
          <w:sz w:val="18"/>
          <w:lang w:val="pt-BR"/>
        </w:rPr>
        <w:t>Adquirir Atualizações e Software Assurance do Windows 8 Pro para desktops nos quais o cliente licenciou e instalou um dos sistemas operacionais qualificados listados na tabela de Atualização do Windows acima.</w:t>
      </w:r>
    </w:p>
    <w:p w:rsidR="008B1196" w:rsidRPr="00EB4D74" w:rsidRDefault="008B1196" w:rsidP="008B1196">
      <w:pPr>
        <w:pStyle w:val="Footnotedash"/>
        <w:numPr>
          <w:ilvl w:val="2"/>
          <w:numId w:val="103"/>
        </w:numPr>
        <w:spacing w:before="0"/>
        <w:ind w:left="1800"/>
        <w:rPr>
          <w:rFonts w:ascii="Tahoma" w:hAnsi="Tahoma" w:cs="Tahoma"/>
        </w:rPr>
      </w:pPr>
      <w:r w:rsidRPr="00EB4D74">
        <w:rPr>
          <w:rFonts w:ascii="Tahoma" w:hAnsi="Tahoma" w:cs="Tahoma"/>
          <w:color w:val="000000"/>
          <w:sz w:val="18"/>
          <w:lang w:val="pt-BR"/>
        </w:rPr>
        <w:t>O Cliente pode realocar a cobertura do Software Assurance em atualizações de sistemas operacionais de desktop do desktop original para um desktop substituto, mas não a curto prazo (ou seja, em 90 dias da última alocação), desde que (1) o cliente licenciou e instalou no desktop substituto a versão mais recente daquele sistema operacional e (2) o cliente remova quaisquer atualizações de sistema operacional de desktop do desktop original.</w:t>
      </w:r>
    </w:p>
    <w:p w:rsidR="008B1196" w:rsidRPr="00EB4D74" w:rsidRDefault="008B1196" w:rsidP="008B1196">
      <w:pPr>
        <w:pStyle w:val="FootnoteBulletLevel2"/>
        <w:numPr>
          <w:ilvl w:val="0"/>
          <w:numId w:val="75"/>
        </w:numPr>
        <w:adjustRightInd/>
        <w:spacing w:before="0" w:after="60"/>
        <w:ind w:left="1440"/>
        <w:textAlignment w:val="auto"/>
        <w:rPr>
          <w:rFonts w:ascii="Tahoma" w:hAnsi="Tahoma" w:cs="Tahoma"/>
          <w:lang w:val="it-IT"/>
        </w:rPr>
      </w:pPr>
      <w:r w:rsidRPr="00EB4D74">
        <w:rPr>
          <w:rFonts w:ascii="Tahoma" w:hAnsi="Tahoma" w:cs="Tahoma"/>
          <w:sz w:val="18"/>
          <w:lang w:val="pt-BR"/>
        </w:rPr>
        <w:t>Registros Enterprise e Contratos Open Value para toda a empresa (licença perpétua e assinatura):</w:t>
      </w:r>
    </w:p>
    <w:p w:rsidR="008B1196" w:rsidRPr="00EB4D74" w:rsidRDefault="008B1196" w:rsidP="008B1196">
      <w:pPr>
        <w:pStyle w:val="Footnotedash"/>
        <w:numPr>
          <w:ilvl w:val="1"/>
          <w:numId w:val="79"/>
        </w:numPr>
        <w:spacing w:before="0"/>
        <w:ind w:left="1800"/>
        <w:rPr>
          <w:rFonts w:ascii="Tahoma" w:hAnsi="Tahoma" w:cs="Tahoma"/>
        </w:rPr>
      </w:pPr>
      <w:r w:rsidRPr="00EB4D74">
        <w:rPr>
          <w:rFonts w:ascii="Tahoma" w:hAnsi="Tahoma" w:cs="Tahoma"/>
          <w:color w:val="000000"/>
          <w:sz w:val="18"/>
          <w:szCs w:val="18"/>
          <w:lang w:val="pt-BR"/>
        </w:rPr>
        <w:t>Registros Enterprise ou Contratos Open Value iniciais (base instalada):</w:t>
      </w:r>
    </w:p>
    <w:p w:rsidR="008B1196" w:rsidRPr="00EB4D74" w:rsidRDefault="008B1196" w:rsidP="008B1196">
      <w:pPr>
        <w:pStyle w:val="Footnotedash"/>
        <w:numPr>
          <w:ilvl w:val="1"/>
          <w:numId w:val="79"/>
        </w:numPr>
        <w:spacing w:before="0"/>
        <w:ind w:left="1800"/>
        <w:rPr>
          <w:rFonts w:ascii="Tahoma" w:hAnsi="Tahoma" w:cs="Tahoma"/>
          <w:spacing w:val="-2"/>
          <w:lang w:val="pt-BR"/>
        </w:rPr>
      </w:pPr>
      <w:r w:rsidRPr="00EB4D74">
        <w:rPr>
          <w:rFonts w:ascii="Tahoma" w:hAnsi="Tahoma" w:cs="Tahoma"/>
          <w:color w:val="000000"/>
          <w:spacing w:val="-2"/>
          <w:sz w:val="18"/>
          <w:lang w:val="pt-BR"/>
        </w:rPr>
        <w:t>Adquirir a Atualização e o Software Assurance do Windows 8 Pro para todos os desktops qualificados na base instalada. A “base instalada” é formada por todos os desktops qualificados do cliente e das afiliadas cobertas do cliente a partir da data de início de vigência do registro ou contrato. O cliente deverá ter licenciado e instalado um dos sistemas operacionais qualificados listados na tabela de Atualização do Windows acima na coluna “Novo EA/OV-TE” em todos os desktops qualificados da base instalada nos quais o sistema operacional Windows será executado.</w:t>
      </w:r>
    </w:p>
    <w:p w:rsidR="008B1196" w:rsidRPr="00EB4D74" w:rsidRDefault="008B1196" w:rsidP="008B1196">
      <w:pPr>
        <w:pStyle w:val="Footnotedash"/>
        <w:numPr>
          <w:ilvl w:val="1"/>
          <w:numId w:val="79"/>
        </w:numPr>
        <w:spacing w:before="0"/>
        <w:ind w:left="1800"/>
        <w:rPr>
          <w:rFonts w:ascii="Tahoma" w:hAnsi="Tahoma" w:cs="Tahoma"/>
        </w:rPr>
      </w:pPr>
      <w:r w:rsidRPr="00EB4D74">
        <w:rPr>
          <w:rFonts w:ascii="Tahoma" w:hAnsi="Tahoma" w:cs="Tahoma"/>
          <w:color w:val="000000"/>
          <w:sz w:val="18"/>
          <w:lang w:val="pt-BR"/>
        </w:rPr>
        <w:lastRenderedPageBreak/>
        <w:t>Registros Enterprise ou Contratos Open Value existentes [adequação (“true-up”) e substituições]:</w:t>
      </w:r>
    </w:p>
    <w:p w:rsidR="008B1196" w:rsidRPr="00EB4D74" w:rsidRDefault="008B1196" w:rsidP="008B1196">
      <w:pPr>
        <w:pStyle w:val="Footnotedash"/>
        <w:numPr>
          <w:ilvl w:val="1"/>
          <w:numId w:val="66"/>
        </w:numPr>
        <w:spacing w:before="0"/>
        <w:ind w:left="1800"/>
        <w:rPr>
          <w:rFonts w:ascii="Tahoma" w:hAnsi="Tahoma" w:cs="Tahoma"/>
          <w:lang w:val="pt-BR"/>
        </w:rPr>
      </w:pPr>
      <w:r w:rsidRPr="00EB4D74">
        <w:rPr>
          <w:rFonts w:ascii="Tahoma" w:hAnsi="Tahoma" w:cs="Tahoma"/>
          <w:color w:val="000000"/>
          <w:sz w:val="18"/>
          <w:lang w:val="pt-BR"/>
        </w:rPr>
        <w:t>Adquirir Atualização e Software Assurance do Windows 8 Pro para dos os novos desktops qualificados ou dispositivos nos quais o sistema operacional Windows será executado. O cliente deve ter licenciado e instalado em todos os desktops qualificados novos e de substituição ou dispositivos adquiridos de qualquer fonte que não seja por meio de uma fusão ou aquisição um dos sistemas operacionais qualificados listados na tabela de Atualização do Windows acima, na coluna “EA/OV-CW Existente”. O cliente deve ter licenciado e instalado em todos os desktops qualificados novos ou de substituição adquiridos por meio de uma fusão ou aquisição um dos sistemas operacionais qualificados listados na tabela de Atualização do Windows acima, na coluna “Novo EA/OV-CW”.</w:t>
      </w:r>
    </w:p>
    <w:p w:rsidR="008B1196" w:rsidRPr="00EB4D74" w:rsidRDefault="008B1196" w:rsidP="008B1196">
      <w:pPr>
        <w:pStyle w:val="FootnoteBulletLevel2"/>
        <w:numPr>
          <w:ilvl w:val="0"/>
          <w:numId w:val="75"/>
        </w:numPr>
        <w:adjustRightInd/>
        <w:spacing w:before="0" w:after="60"/>
        <w:ind w:left="1440"/>
        <w:textAlignment w:val="auto"/>
        <w:rPr>
          <w:rFonts w:ascii="Tahoma" w:hAnsi="Tahoma" w:cs="Tahoma"/>
        </w:rPr>
      </w:pPr>
      <w:r w:rsidRPr="00EB4D74">
        <w:rPr>
          <w:rFonts w:ascii="Tahoma" w:hAnsi="Tahoma" w:cs="Tahoma"/>
          <w:sz w:val="18"/>
          <w:szCs w:val="18"/>
          <w:lang w:val="pt-BR"/>
        </w:rPr>
        <w:t>Clientes do Contrato para Campus e Contrato School e Open Value Subscription - Soluções Educacionais:</w:t>
      </w:r>
    </w:p>
    <w:p w:rsidR="008B1196" w:rsidRPr="00EB4D74" w:rsidRDefault="008B1196" w:rsidP="008B1196">
      <w:pPr>
        <w:pStyle w:val="Footnotedash"/>
        <w:numPr>
          <w:ilvl w:val="1"/>
          <w:numId w:val="79"/>
        </w:numPr>
        <w:spacing w:before="0"/>
        <w:ind w:left="1800"/>
        <w:rPr>
          <w:rFonts w:ascii="Tahoma" w:hAnsi="Tahoma" w:cs="Tahoma"/>
          <w:lang w:val="pt-BR"/>
        </w:rPr>
      </w:pPr>
      <w:r w:rsidRPr="00EB4D74">
        <w:rPr>
          <w:rFonts w:ascii="Tahoma" w:hAnsi="Tahoma" w:cs="Tahoma"/>
          <w:color w:val="000000"/>
          <w:sz w:val="18"/>
          <w:lang w:val="pt-BR"/>
        </w:rPr>
        <w:t>O sistema operacional Windows está licenciado apenas como uma atualização. Dessa forma, os clientes que desejarem executar o sistema operacional Windows deverão primeiro ter licenciado e instalado um sistema operacional qualificado no desktop. Um sistema operacional qualificado é um dos sistemas operacionais qualificados listados na tabela de Atualização do Windows acima, na coluna “Academic”.</w:t>
      </w:r>
    </w:p>
    <w:p w:rsidR="008B1196" w:rsidRPr="00EB4D74" w:rsidRDefault="008B1196" w:rsidP="008B1196">
      <w:pPr>
        <w:pStyle w:val="Footnotedash"/>
        <w:numPr>
          <w:ilvl w:val="1"/>
          <w:numId w:val="79"/>
        </w:numPr>
        <w:spacing w:before="0"/>
        <w:ind w:left="1800"/>
        <w:rPr>
          <w:rFonts w:ascii="Tahoma" w:hAnsi="Tahoma" w:cs="Tahoma"/>
          <w:lang w:val="pt-BR"/>
        </w:rPr>
      </w:pPr>
      <w:r w:rsidRPr="00EB4D74">
        <w:rPr>
          <w:rFonts w:ascii="Tahoma" w:hAnsi="Tahoma" w:cs="Tahoma"/>
          <w:color w:val="000000"/>
          <w:sz w:val="18"/>
          <w:szCs w:val="18"/>
          <w:lang w:val="pt-BR"/>
        </w:rPr>
        <w:t>Não obstante qualquer disposição contrária nos seus Direitos de Uso de Produto (PUR), as instituições que escolherem a Opção de Estudante poderão ter, no máximo, uma instância do Windows To Go por dispositivo de estudante licenciado.</w:t>
      </w:r>
      <w:r w:rsidRPr="00EB4D74">
        <w:rPr>
          <w:rFonts w:ascii="Tahoma" w:hAnsi="Tahoma" w:cs="Tahoma"/>
          <w:color w:val="000000"/>
          <w:sz w:val="18"/>
          <w:lang w:val="pt-BR"/>
        </w:rPr>
        <w:t xml:space="preserve">As Instituições devem garantir que os estudantes que não estejam mais inscritos na instituição parem de usar o Windows To Go e devolvam os dispositivos USB com uma instância deste para a Instituição. </w:t>
      </w:r>
      <w:r w:rsidRPr="00EB4D74">
        <w:rPr>
          <w:rFonts w:ascii="Tahoma" w:hAnsi="Tahoma" w:cs="Tahoma"/>
          <w:sz w:val="18"/>
          <w:lang w:val="pt-BR"/>
        </w:rPr>
        <w:t>As Instituições que escolherem a Opção de Estudante não poderão instalar o Windows Enterprise em nenhum dispositivo pertencente a estudantes.</w:t>
      </w:r>
    </w:p>
    <w:p w:rsidR="008B1196" w:rsidRPr="00EB4D74" w:rsidRDefault="008B1196" w:rsidP="008B1196">
      <w:pPr>
        <w:pStyle w:val="Footnotedash"/>
        <w:tabs>
          <w:tab w:val="clear" w:pos="1620"/>
        </w:tabs>
        <w:spacing w:before="0"/>
        <w:ind w:left="0" w:firstLine="0"/>
        <w:rPr>
          <w:rFonts w:ascii="Tahoma" w:hAnsi="Tahoma" w:cs="Tahoma"/>
          <w:sz w:val="16"/>
          <w:szCs w:val="16"/>
          <w:lang w:val="pt-BR"/>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Microsoft Windows XP Professional N (sem o Windows Media Player)</w:t>
      </w:r>
    </w:p>
    <w:p w:rsidR="008B1196" w:rsidRPr="00EB4D74" w:rsidRDefault="008B1196" w:rsidP="008B1196">
      <w:pPr>
        <w:pStyle w:val="FootnoteBulletLevel2"/>
        <w:tabs>
          <w:tab w:val="clear" w:pos="1260"/>
          <w:tab w:val="num" w:pos="900"/>
        </w:tabs>
        <w:spacing w:before="0"/>
        <w:ind w:left="720" w:firstLine="0"/>
        <w:rPr>
          <w:rFonts w:ascii="Tahoma" w:hAnsi="Tahoma" w:cs="Tahoma"/>
          <w:lang w:val="it-IT"/>
        </w:rPr>
      </w:pPr>
      <w:r w:rsidRPr="00EB4D74">
        <w:rPr>
          <w:rFonts w:ascii="Tahoma" w:hAnsi="Tahoma" w:cs="Tahoma"/>
          <w:sz w:val="18"/>
          <w:u w:val="single"/>
          <w:lang w:val="pt-BR"/>
        </w:rPr>
        <w:t>Qualificação</w:t>
      </w:r>
      <w:r w:rsidRPr="00EB4D74">
        <w:rPr>
          <w:rFonts w:ascii="Tahoma" w:hAnsi="Tahoma" w:cs="Tahoma"/>
          <w:b/>
          <w:sz w:val="18"/>
          <w:lang w:val="pt-BR"/>
        </w:rPr>
        <w:br/>
      </w:r>
      <w:r w:rsidRPr="00EB4D74">
        <w:rPr>
          <w:rFonts w:ascii="Tahoma" w:hAnsi="Tahoma" w:cs="Tahoma"/>
          <w:sz w:val="18"/>
          <w:lang w:val="pt-BR"/>
        </w:rPr>
        <w:t>Os clientes de licenças por volume que atenderem a todos os critérios a seguir estarão qualificados para comprar a mídia do Microsoft Windows XP Professional N.</w:t>
      </w:r>
    </w:p>
    <w:p w:rsidR="008B1196" w:rsidRPr="00EB4D74" w:rsidRDefault="008B1196" w:rsidP="008B1196">
      <w:pPr>
        <w:pStyle w:val="FootnoteBulletLevel2"/>
        <w:tabs>
          <w:tab w:val="clear" w:pos="1260"/>
          <w:tab w:val="num" w:pos="900"/>
        </w:tabs>
        <w:spacing w:before="0"/>
        <w:ind w:left="720" w:firstLine="0"/>
        <w:rPr>
          <w:rFonts w:ascii="Tahoma" w:hAnsi="Tahoma" w:cs="Tahoma"/>
          <w:sz w:val="16"/>
          <w:szCs w:val="16"/>
          <w:lang w:val="it-IT"/>
        </w:rPr>
      </w:pPr>
    </w:p>
    <w:p w:rsidR="008B1196" w:rsidRPr="00EB4D74" w:rsidRDefault="008B1196" w:rsidP="008B1196">
      <w:pPr>
        <w:pStyle w:val="Footnotedash"/>
        <w:tabs>
          <w:tab w:val="clear" w:pos="1620"/>
          <w:tab w:val="num" w:pos="2160"/>
        </w:tabs>
        <w:spacing w:before="0" w:after="0"/>
        <w:ind w:left="720" w:firstLine="7"/>
        <w:rPr>
          <w:rFonts w:ascii="Tahoma" w:hAnsi="Tahoma" w:cs="Tahoma"/>
        </w:rPr>
      </w:pPr>
      <w:r w:rsidRPr="00EB4D74">
        <w:rPr>
          <w:rFonts w:ascii="Tahoma" w:hAnsi="Tahoma" w:cs="Tahoma"/>
          <w:sz w:val="18"/>
          <w:szCs w:val="18"/>
          <w:lang w:val="pt-BR"/>
        </w:rPr>
        <w:t>Eles deverão ter pelo menos um dos seguintes contratos ou registros ativos com a Microsoft Ireland Operations Ltd:</w:t>
      </w:r>
    </w:p>
    <w:p w:rsidR="008B1196" w:rsidRPr="00EB4D74" w:rsidRDefault="008B1196" w:rsidP="008B1196">
      <w:pPr>
        <w:pStyle w:val="Footnotedash"/>
        <w:tabs>
          <w:tab w:val="clear" w:pos="1620"/>
          <w:tab w:val="num" w:pos="2160"/>
        </w:tabs>
        <w:spacing w:before="0" w:after="0"/>
        <w:ind w:left="720" w:firstLine="7"/>
        <w:rPr>
          <w:rFonts w:ascii="Tahoma" w:hAnsi="Tahoma" w:cs="Tahoma"/>
          <w:sz w:val="16"/>
          <w:szCs w:val="16"/>
        </w:rPr>
      </w:pP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Select, Enterprise ou Enterprise Subscription Enrollment</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Licença Open*, Open Value, Campus e School Agreement, Open Value Subscription – Education Solutions</w:t>
      </w:r>
    </w:p>
    <w:p w:rsidR="008B1196" w:rsidRPr="00EB4D74" w:rsidRDefault="008B1196" w:rsidP="008B1196">
      <w:pPr>
        <w:pStyle w:val="Footnotedash"/>
        <w:spacing w:before="0"/>
        <w:ind w:left="1440" w:firstLine="0"/>
        <w:rPr>
          <w:rFonts w:ascii="Tahoma" w:hAnsi="Tahoma" w:cs="Tahoma"/>
          <w:lang w:val="it-IT"/>
        </w:rPr>
      </w:pPr>
      <w:r w:rsidRPr="00EB4D74">
        <w:rPr>
          <w:rFonts w:ascii="Tahoma" w:hAnsi="Tahoma" w:cs="Tahoma"/>
          <w:sz w:val="18"/>
          <w:lang w:val="pt-BR"/>
        </w:rPr>
        <w:t>(*Para os fins da Licença Open, um “contrato ativo” é aquele associado a um Número de Autorização de Licença Open ativo.)</w:t>
      </w:r>
    </w:p>
    <w:p w:rsidR="008B1196" w:rsidRPr="00EB4D74" w:rsidRDefault="008B1196" w:rsidP="008B1196">
      <w:pPr>
        <w:pStyle w:val="Footnotedash"/>
        <w:spacing w:before="0" w:after="0"/>
        <w:ind w:left="1440" w:firstLine="0"/>
        <w:rPr>
          <w:rFonts w:ascii="Tahoma" w:hAnsi="Tahoma" w:cs="Tahoma"/>
          <w:sz w:val="18"/>
          <w:szCs w:val="18"/>
          <w:lang w:val="it-IT"/>
        </w:rPr>
      </w:pPr>
    </w:p>
    <w:p w:rsidR="008B1196" w:rsidRPr="00EB4D74" w:rsidRDefault="008B1196" w:rsidP="008B1196">
      <w:pPr>
        <w:pStyle w:val="Footnotedash"/>
        <w:tabs>
          <w:tab w:val="left" w:pos="1620"/>
        </w:tabs>
        <w:spacing w:before="0" w:after="0"/>
        <w:ind w:left="720" w:firstLine="7"/>
        <w:rPr>
          <w:rFonts w:ascii="Tahoma" w:hAnsi="Tahoma" w:cs="Tahoma"/>
        </w:rPr>
      </w:pPr>
      <w:r w:rsidRPr="00EB4D74">
        <w:rPr>
          <w:rFonts w:ascii="Tahoma" w:hAnsi="Tahoma" w:cs="Tahoma"/>
          <w:sz w:val="18"/>
          <w:lang w:val="pt-BR"/>
        </w:rPr>
        <w:t>Eles deverão ter o Software Assurance ativo para as licenças de atualização do Sistema Operacional Windows Desktop ou Windows XP Professional adquiridas em ou depois de 2 de fevereiro de 2005.</w:t>
      </w:r>
    </w:p>
    <w:p w:rsidR="008B1196" w:rsidRPr="00EB4D74" w:rsidRDefault="008B1196" w:rsidP="008B1196">
      <w:pPr>
        <w:pStyle w:val="Footnotedash"/>
        <w:tabs>
          <w:tab w:val="left" w:pos="1620"/>
        </w:tabs>
        <w:spacing w:before="0" w:after="0"/>
        <w:ind w:left="720" w:firstLine="7"/>
        <w:rPr>
          <w:rFonts w:ascii="Tahoma" w:hAnsi="Tahoma" w:cs="Tahoma"/>
          <w:sz w:val="18"/>
          <w:szCs w:val="18"/>
        </w:rPr>
      </w:pPr>
    </w:p>
    <w:p w:rsidR="008B1196" w:rsidRPr="00EB4D74" w:rsidRDefault="008B1196" w:rsidP="008B1196">
      <w:pPr>
        <w:pStyle w:val="Footnotedash"/>
        <w:tabs>
          <w:tab w:val="left" w:pos="1620"/>
        </w:tabs>
        <w:spacing w:before="0" w:after="0"/>
        <w:ind w:left="720" w:firstLine="7"/>
        <w:rPr>
          <w:rFonts w:ascii="Tahoma" w:hAnsi="Tahoma" w:cs="Tahoma"/>
        </w:rPr>
      </w:pPr>
      <w:r w:rsidRPr="00EB4D74">
        <w:rPr>
          <w:rFonts w:ascii="Tahoma" w:hAnsi="Tahoma" w:cs="Tahoma"/>
          <w:sz w:val="18"/>
          <w:szCs w:val="18"/>
          <w:lang w:val="pt-BR"/>
        </w:rPr>
        <w:t>Eles deverão estar situados a) em um dos países estabelecidos na União Europeia (UE), b) na Associação Europeia de Livre Comércio (EFTA), c) na Bulgária, Croácia, Romênia ou Suíça.</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Windows XP Professional</w:t>
      </w:r>
    </w:p>
    <w:p w:rsidR="008B1196" w:rsidRPr="00EB4D74" w:rsidRDefault="008B1196" w:rsidP="008B1196">
      <w:pPr>
        <w:pStyle w:val="FootnoteBulletLevel2"/>
        <w:spacing w:before="0"/>
        <w:ind w:left="720" w:firstLine="0"/>
        <w:rPr>
          <w:rFonts w:ascii="Tahoma" w:hAnsi="Tahoma" w:cs="Tahoma"/>
        </w:rPr>
      </w:pPr>
      <w:r w:rsidRPr="00EB4D74">
        <w:rPr>
          <w:rFonts w:ascii="Tahoma" w:hAnsi="Tahoma" w:cs="Tahoma"/>
          <w:sz w:val="18"/>
          <w:lang w:val="pt-BR"/>
        </w:rPr>
        <w:t>Restrições de uso do Windows XP Professional na Coreia:</w:t>
      </w:r>
    </w:p>
    <w:p w:rsidR="008B1196" w:rsidRPr="00EB4D74" w:rsidRDefault="008B1196" w:rsidP="008B1196">
      <w:pPr>
        <w:pStyle w:val="FootnoteBulletLevel2"/>
        <w:spacing w:before="0"/>
        <w:ind w:left="720" w:firstLine="0"/>
        <w:rPr>
          <w:rFonts w:ascii="Tahoma" w:hAnsi="Tahoma" w:cs="Tahoma"/>
        </w:rPr>
      </w:pPr>
      <w:r w:rsidRPr="00EB4D74">
        <w:rPr>
          <w:rFonts w:ascii="Tahoma" w:hAnsi="Tahoma" w:cs="Tahoma"/>
          <w:sz w:val="18"/>
          <w:lang w:val="pt-BR"/>
        </w:rPr>
        <w:t>Essas restrições também se aplicarão a qualquer uso do Windows XP Professional de acordo com os direitos de downgrade.</w:t>
      </w:r>
    </w:p>
    <w:p w:rsidR="008B1196" w:rsidRPr="00EB4D74" w:rsidRDefault="008B1196" w:rsidP="008B1196">
      <w:pPr>
        <w:pStyle w:val="FootnoteBulletLevel2"/>
        <w:spacing w:before="0"/>
        <w:ind w:left="720" w:firstLine="0"/>
        <w:rPr>
          <w:rFonts w:ascii="Tahoma" w:hAnsi="Tahoma" w:cs="Tahoma"/>
          <w:sz w:val="16"/>
          <w:szCs w:val="16"/>
        </w:rPr>
      </w:pP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szCs w:val="18"/>
          <w:lang w:val="pt-BR"/>
        </w:rPr>
        <w:t>A KFTC (Korean Fair Trade Commission) requer determinadas restrições a quando os clientes de licenças por volume e suas afiliadas poderão implantar a versão no idioma coreano do Windows XP Professional para uso na Coreia.</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Essas restrições não se aplicarão às licenças que os clientes tiverem adquirido para a versão no idioma coreano do Windows XP Professional antes de 24 de agosto de 2006.</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lastRenderedPageBreak/>
        <w:t>Essas restrições também não se aplicarão aos clientes multinacionais com sede fora da Coreia que utilizarem uma única imagem do software.</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Essas restrições não se aplicarão aos clientes sob contratos vigentes em 23 de agosto de 2006 ou antes disso que, em circunstâncias excepcionais, utilizarem uma única imagem do software continuamente.</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szCs w:val="18"/>
          <w:lang w:val="pt-BR"/>
        </w:rPr>
        <w:t>A KFTC não impôs restrições ao uso de versões de idiomas que não sejam o coreano.</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A KFTC não impôs restrições a edições Tablet PC ou de 64 bits em qualquer versão de idioma.</w:t>
      </w:r>
    </w:p>
    <w:p w:rsidR="008B1196" w:rsidRPr="00EB4D74" w:rsidRDefault="008B1196" w:rsidP="008B1196">
      <w:pPr>
        <w:pStyle w:val="Footnotedash"/>
        <w:tabs>
          <w:tab w:val="clear" w:pos="1620"/>
        </w:tabs>
        <w:adjustRightInd/>
        <w:spacing w:before="0"/>
        <w:ind w:left="1440" w:firstLine="0"/>
        <w:textAlignment w:val="auto"/>
        <w:rPr>
          <w:rFonts w:ascii="Tahoma" w:hAnsi="Tahoma" w:cs="Tahoma"/>
          <w:sz w:val="18"/>
          <w:szCs w:val="18"/>
        </w:rPr>
      </w:pPr>
    </w:p>
    <w:p w:rsidR="008B1196" w:rsidRPr="00EB4D74" w:rsidRDefault="008B1196" w:rsidP="008B1196">
      <w:pPr>
        <w:pStyle w:val="FootnoteBulletLevel2"/>
        <w:spacing w:before="0"/>
        <w:ind w:left="720" w:hanging="7"/>
        <w:rPr>
          <w:rFonts w:ascii="Tahoma" w:hAnsi="Tahoma" w:cs="Tahoma"/>
        </w:rPr>
      </w:pPr>
      <w:r w:rsidRPr="00EB4D74">
        <w:rPr>
          <w:rFonts w:ascii="Tahoma" w:hAnsi="Tahoma" w:cs="Tahoma"/>
          <w:sz w:val="18"/>
          <w:u w:val="single"/>
          <w:lang w:val="pt-BR"/>
        </w:rPr>
        <w:t>Restrições</w:t>
      </w:r>
      <w:r w:rsidRPr="00EB4D74">
        <w:rPr>
          <w:rFonts w:ascii="Tahoma" w:hAnsi="Tahoma" w:cs="Tahoma"/>
          <w:sz w:val="18"/>
          <w:lang w:val="pt-BR"/>
        </w:rPr>
        <w:t>:</w:t>
      </w:r>
    </w:p>
    <w:p w:rsidR="008B1196" w:rsidRPr="00EB4D74" w:rsidRDefault="008B1196" w:rsidP="008B1196">
      <w:pPr>
        <w:pStyle w:val="FootnoteBulletLevel2"/>
        <w:spacing w:before="0"/>
        <w:ind w:left="720" w:hanging="7"/>
        <w:rPr>
          <w:rFonts w:ascii="Tahoma" w:hAnsi="Tahoma" w:cs="Tahoma"/>
        </w:rPr>
      </w:pPr>
      <w:r w:rsidRPr="00EB4D74">
        <w:rPr>
          <w:rFonts w:ascii="Tahoma" w:hAnsi="Tahoma" w:cs="Tahoma"/>
          <w:sz w:val="18"/>
          <w:lang w:val="pt-BR"/>
        </w:rPr>
        <w:t>A partir de 24 de agosto de 2006, os clientes de licenças por volume na Coreia que não se encaixarem nos critérios de exceção e desejarem usar versões no idioma coreano precisarão implantar o Windows XP Professional K ou o Windows XP Professional KN.</w:t>
      </w:r>
    </w:p>
    <w:p w:rsidR="008B1196" w:rsidRPr="00EB4D74" w:rsidRDefault="008B1196" w:rsidP="008B1196">
      <w:pPr>
        <w:pStyle w:val="FootnoteBulletLevel2"/>
        <w:spacing w:before="0"/>
        <w:ind w:left="720" w:hanging="7"/>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Windows XP Professional K e KN</w:t>
      </w:r>
    </w:p>
    <w:p w:rsidR="008B1196" w:rsidRPr="00EB4D74" w:rsidRDefault="008B1196" w:rsidP="008B1196">
      <w:pPr>
        <w:pStyle w:val="FootnoteBulletLevel2"/>
        <w:spacing w:before="0"/>
        <w:ind w:left="720" w:hanging="7"/>
        <w:rPr>
          <w:rFonts w:ascii="Tahoma" w:hAnsi="Tahoma" w:cs="Tahoma"/>
        </w:rPr>
      </w:pPr>
      <w:r w:rsidRPr="00EB4D74">
        <w:rPr>
          <w:rFonts w:ascii="Tahoma" w:hAnsi="Tahoma" w:cs="Tahoma"/>
          <w:sz w:val="18"/>
          <w:szCs w:val="18"/>
          <w:lang w:val="pt-BR"/>
        </w:rPr>
        <w:t>Os clientes de licenças por volume e suas afiliadas poderão implantar o Windows XP Professional K ou KN para uso somente na Coreia.</w:t>
      </w:r>
    </w:p>
    <w:p w:rsidR="008B1196" w:rsidRPr="00EB4D74" w:rsidRDefault="008B1196" w:rsidP="008B1196">
      <w:pPr>
        <w:pStyle w:val="FootnoteBulletLevel2"/>
        <w:spacing w:before="0"/>
        <w:ind w:left="720" w:hanging="7"/>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Windows Vista Business KN</w:t>
      </w:r>
    </w:p>
    <w:p w:rsidR="008B1196" w:rsidRPr="00EB4D74" w:rsidRDefault="008B1196" w:rsidP="008B1196">
      <w:pPr>
        <w:pStyle w:val="FootnoteBulletLevel2"/>
        <w:spacing w:before="0"/>
        <w:ind w:left="720" w:hanging="7"/>
        <w:rPr>
          <w:rFonts w:ascii="Tahoma" w:hAnsi="Tahoma" w:cs="Tahoma"/>
          <w:lang w:val="pt-BR"/>
        </w:rPr>
      </w:pPr>
      <w:r w:rsidRPr="00EB4D74">
        <w:rPr>
          <w:rFonts w:ascii="Tahoma" w:hAnsi="Tahoma" w:cs="Tahoma"/>
          <w:sz w:val="18"/>
          <w:u w:val="single"/>
          <w:lang w:val="pt-BR"/>
        </w:rPr>
        <w:t>Qualificação</w:t>
      </w:r>
      <w:r w:rsidRPr="00EB4D74">
        <w:rPr>
          <w:rFonts w:ascii="Tahoma" w:hAnsi="Tahoma" w:cs="Tahoma"/>
          <w:sz w:val="18"/>
          <w:lang w:val="pt-BR"/>
        </w:rPr>
        <w:t>:</w:t>
      </w:r>
      <w:r w:rsidRPr="00EB4D74">
        <w:rPr>
          <w:rFonts w:ascii="Tahoma" w:hAnsi="Tahoma" w:cs="Tahoma"/>
          <w:b/>
          <w:sz w:val="18"/>
          <w:lang w:val="pt-BR"/>
        </w:rPr>
        <w:br/>
      </w:r>
      <w:r w:rsidRPr="00EB4D74">
        <w:rPr>
          <w:rFonts w:ascii="Tahoma" w:hAnsi="Tahoma" w:cs="Tahoma"/>
          <w:sz w:val="18"/>
          <w:lang w:val="pt-BR"/>
        </w:rPr>
        <w:t>Os clientes de licenças por volume situados na Coreia que tiverem um contrato ou registro do Licenciamento por Volume ativo com a Microsoft Operations Pte Ltd estarão qualificados para adquirir a mídia do Windows Vista Business KN para implantação e uso na Coreia. Nenhum outro uso é permitido.</w:t>
      </w:r>
    </w:p>
    <w:p w:rsidR="008B1196" w:rsidRPr="00EB4D74" w:rsidRDefault="008B1196" w:rsidP="008B1196">
      <w:pPr>
        <w:pStyle w:val="FootnoteBulletLevel2"/>
        <w:spacing w:before="0"/>
        <w:ind w:left="720" w:hanging="7"/>
        <w:rPr>
          <w:rFonts w:ascii="Tahoma" w:hAnsi="Tahoma" w:cs="Tahoma"/>
          <w:sz w:val="18"/>
          <w:szCs w:val="18"/>
          <w:lang w:val="pt-BR"/>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lang w:val="pt-BR"/>
        </w:rPr>
      </w:pPr>
      <w:r w:rsidRPr="00EB4D74">
        <w:rPr>
          <w:rFonts w:ascii="Tahoma" w:hAnsi="Tahoma" w:cs="Tahoma"/>
          <w:b/>
          <w:sz w:val="18"/>
          <w:lang w:val="pt-BR"/>
        </w:rPr>
        <w:t>Windows 7 Professional KN</w:t>
      </w:r>
    </w:p>
    <w:p w:rsidR="008B1196" w:rsidRPr="00EB4D74" w:rsidRDefault="008B1196" w:rsidP="008B1196">
      <w:pPr>
        <w:pStyle w:val="FootnoteBulletLevel2"/>
        <w:spacing w:before="0"/>
        <w:ind w:left="720" w:hanging="7"/>
        <w:rPr>
          <w:rFonts w:ascii="Tahoma" w:hAnsi="Tahoma" w:cs="Tahoma"/>
        </w:rPr>
      </w:pPr>
      <w:r w:rsidRPr="00EB4D74">
        <w:rPr>
          <w:rFonts w:ascii="Tahoma" w:hAnsi="Tahoma" w:cs="Tahoma"/>
          <w:sz w:val="18"/>
          <w:u w:val="single"/>
          <w:lang w:val="pt-BR"/>
        </w:rPr>
        <w:t>Qualificação</w:t>
      </w:r>
      <w:r w:rsidRPr="00EB4D74">
        <w:rPr>
          <w:rFonts w:ascii="Tahoma" w:hAnsi="Tahoma" w:cs="Tahoma"/>
          <w:sz w:val="18"/>
          <w:lang w:val="pt-BR"/>
        </w:rPr>
        <w:t>:</w:t>
      </w:r>
      <w:r w:rsidRPr="00EB4D74">
        <w:rPr>
          <w:rFonts w:ascii="Tahoma" w:hAnsi="Tahoma" w:cs="Tahoma"/>
          <w:b/>
          <w:sz w:val="18"/>
          <w:lang w:val="pt-BR"/>
        </w:rPr>
        <w:br/>
      </w:r>
      <w:r w:rsidRPr="00EB4D74">
        <w:rPr>
          <w:rFonts w:ascii="Tahoma" w:hAnsi="Tahoma" w:cs="Tahoma"/>
          <w:sz w:val="18"/>
          <w:lang w:val="pt-BR"/>
        </w:rPr>
        <w:t>Os clientes de licenças por volume situados na Coreia que tiverem um contrato ou registro do Licenciamento por Volume ativo com a Microsoft Operations Pte Ltd estarão qualificados para adquirir a mídia do Windows 7 Professional KN para implantação e uso na Coreia. Nenhum outro uso é permitido.</w:t>
      </w:r>
    </w:p>
    <w:p w:rsidR="008B1196" w:rsidRPr="00EB4D74" w:rsidRDefault="008B1196" w:rsidP="008B1196">
      <w:pPr>
        <w:pStyle w:val="FootnoteBulletLevel2"/>
        <w:spacing w:before="0"/>
        <w:ind w:left="720" w:hanging="7"/>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Windows Vista Business N (sem o Windows Media Player)</w:t>
      </w:r>
    </w:p>
    <w:p w:rsidR="008B1196" w:rsidRPr="00EB4D74" w:rsidRDefault="008B1196" w:rsidP="008B1196">
      <w:pPr>
        <w:pStyle w:val="FootnoteBulletLevel2"/>
        <w:spacing w:before="0"/>
        <w:ind w:left="720" w:hanging="7"/>
        <w:rPr>
          <w:rFonts w:ascii="Tahoma" w:hAnsi="Tahoma" w:cs="Tahoma"/>
        </w:rPr>
      </w:pPr>
      <w:r w:rsidRPr="00EB4D74">
        <w:rPr>
          <w:rFonts w:ascii="Tahoma" w:hAnsi="Tahoma" w:cs="Tahoma"/>
          <w:sz w:val="18"/>
          <w:u w:val="single"/>
          <w:lang w:val="pt-BR"/>
        </w:rPr>
        <w:t>Qualificação</w:t>
      </w:r>
      <w:r w:rsidRPr="00EB4D74">
        <w:rPr>
          <w:rFonts w:ascii="Tahoma" w:hAnsi="Tahoma" w:cs="Tahoma"/>
          <w:sz w:val="18"/>
          <w:lang w:val="pt-BR"/>
        </w:rPr>
        <w:t>:</w:t>
      </w:r>
      <w:r w:rsidRPr="00EB4D74">
        <w:rPr>
          <w:rFonts w:ascii="Tahoma" w:hAnsi="Tahoma" w:cs="Tahoma"/>
          <w:b/>
          <w:sz w:val="18"/>
          <w:lang w:val="pt-BR"/>
        </w:rPr>
        <w:br/>
      </w:r>
      <w:r w:rsidRPr="00EB4D74">
        <w:rPr>
          <w:rFonts w:ascii="Tahoma" w:hAnsi="Tahoma" w:cs="Tahoma"/>
          <w:sz w:val="18"/>
          <w:lang w:val="pt-BR"/>
        </w:rPr>
        <w:t>Os clientes de licenças por volume que atenderem a todos os critérios a seguir estarão qualificados para adquirir a mídia do Microsoft Windows Vista Business N somente para implantação e uso na União Europeia (UE), na Associação Europeia de Livre Comércio (EFTA), na Bulgária, Croácia, Romênia ou Suíça.</w:t>
      </w:r>
    </w:p>
    <w:p w:rsidR="008B1196" w:rsidRPr="00EB4D74" w:rsidRDefault="008B1196" w:rsidP="008B1196">
      <w:pPr>
        <w:pStyle w:val="FootnoteBulletLevel2"/>
        <w:spacing w:before="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rPr>
      </w:pPr>
      <w:r w:rsidRPr="00EB4D74">
        <w:rPr>
          <w:rFonts w:ascii="Tahoma" w:hAnsi="Tahoma" w:cs="Tahoma"/>
          <w:sz w:val="18"/>
          <w:szCs w:val="18"/>
          <w:lang w:val="pt-BR"/>
        </w:rPr>
        <w:t>Eles deverão ter pelo menos um dos seguintes contratos ou registros ativos com a Microsoft Ireland Operations Ltd:</w:t>
      </w: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Select, Enterprise ou Enterprise Subscription Enrollment</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Licença Open*, Open Value, Campus e School Agreement, Open Value Subscription – Education Solutions</w:t>
      </w:r>
    </w:p>
    <w:p w:rsidR="008B1196" w:rsidRPr="00EB4D74" w:rsidRDefault="008B1196" w:rsidP="008B1196">
      <w:pPr>
        <w:pStyle w:val="Footnotedash"/>
        <w:tabs>
          <w:tab w:val="clear" w:pos="1620"/>
        </w:tabs>
        <w:adjustRightInd/>
        <w:spacing w:before="0"/>
        <w:ind w:left="1440" w:firstLine="0"/>
        <w:textAlignment w:val="auto"/>
        <w:rPr>
          <w:rFonts w:ascii="Tahoma" w:hAnsi="Tahoma" w:cs="Tahoma"/>
          <w:lang w:val="it-IT"/>
        </w:rPr>
      </w:pPr>
      <w:r w:rsidRPr="00EB4D74">
        <w:rPr>
          <w:rFonts w:ascii="Tahoma" w:hAnsi="Tahoma" w:cs="Tahoma"/>
          <w:sz w:val="18"/>
          <w:lang w:val="pt-BR"/>
        </w:rPr>
        <w:t>(*Para os fins da Licença Open, um “contrato ativo” é aquele associado a um Número de Autorização de Licença Open ativo.)</w:t>
      </w:r>
    </w:p>
    <w:p w:rsidR="008B1196" w:rsidRPr="00EB4D74" w:rsidRDefault="008B1196" w:rsidP="008B1196">
      <w:pPr>
        <w:pStyle w:val="Footnotedash"/>
        <w:tabs>
          <w:tab w:val="clear" w:pos="1620"/>
        </w:tabs>
        <w:adjustRightInd/>
        <w:spacing w:before="0" w:after="0"/>
        <w:ind w:left="0" w:firstLine="0"/>
        <w:textAlignment w:val="auto"/>
        <w:rPr>
          <w:rFonts w:ascii="Tahoma" w:hAnsi="Tahoma" w:cs="Tahoma"/>
          <w:sz w:val="18"/>
          <w:szCs w:val="18"/>
          <w:lang w:val="it-IT"/>
        </w:rPr>
      </w:pPr>
    </w:p>
    <w:p w:rsidR="008B1196" w:rsidRPr="00EB4D74" w:rsidRDefault="008B1196" w:rsidP="008B1196">
      <w:pPr>
        <w:pStyle w:val="Footnotedash"/>
        <w:spacing w:before="0" w:after="0"/>
        <w:ind w:left="720" w:hanging="7"/>
        <w:rPr>
          <w:rFonts w:ascii="Tahoma" w:hAnsi="Tahoma" w:cs="Tahoma"/>
        </w:rPr>
      </w:pPr>
      <w:r w:rsidRPr="00EB4D74">
        <w:rPr>
          <w:rFonts w:ascii="Tahoma" w:hAnsi="Tahoma" w:cs="Tahoma"/>
          <w:sz w:val="18"/>
          <w:lang w:val="pt-BR"/>
        </w:rPr>
        <w:t>Eles deverão ter o Software Assurance ativo para as licenças de atualização do Sistema Operacional Windows Desktop ou Windows Vista Business.</w:t>
      </w: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rPr>
      </w:pPr>
      <w:r w:rsidRPr="00EB4D74">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lastRenderedPageBreak/>
        <w:t>Windows 7 Professional N (sem o Windows Media Player)</w:t>
      </w:r>
    </w:p>
    <w:p w:rsidR="008B1196" w:rsidRPr="00EB4D74" w:rsidRDefault="008B1196" w:rsidP="008B1196">
      <w:pPr>
        <w:pStyle w:val="FootnoteBulletLevel2"/>
        <w:spacing w:before="0"/>
        <w:ind w:left="720" w:firstLine="0"/>
        <w:rPr>
          <w:rFonts w:ascii="Tahoma" w:hAnsi="Tahoma" w:cs="Tahoma"/>
        </w:rPr>
      </w:pPr>
      <w:r w:rsidRPr="00EB4D74">
        <w:rPr>
          <w:rFonts w:ascii="Tahoma" w:hAnsi="Tahoma" w:cs="Tahoma"/>
          <w:sz w:val="18"/>
          <w:u w:val="single"/>
          <w:lang w:val="pt-BR"/>
        </w:rPr>
        <w:t>Qualificação</w:t>
      </w:r>
      <w:r w:rsidRPr="00EB4D74">
        <w:rPr>
          <w:rFonts w:ascii="Tahoma" w:hAnsi="Tahoma" w:cs="Tahoma"/>
          <w:sz w:val="18"/>
          <w:lang w:val="pt-BR"/>
        </w:rPr>
        <w:t>:</w:t>
      </w:r>
      <w:r w:rsidRPr="00EB4D74">
        <w:rPr>
          <w:rFonts w:ascii="Tahoma" w:hAnsi="Tahoma" w:cs="Tahoma"/>
          <w:b/>
          <w:sz w:val="18"/>
          <w:lang w:val="pt-BR"/>
        </w:rPr>
        <w:br/>
      </w:r>
      <w:r w:rsidRPr="00EB4D74">
        <w:rPr>
          <w:rFonts w:ascii="Tahoma" w:hAnsi="Tahoma" w:cs="Tahoma"/>
          <w:sz w:val="18"/>
          <w:lang w:val="pt-BR"/>
        </w:rPr>
        <w:t>Os clientes de licenças por volume que atenderem a todos os critérios a seguir estarão qualificados para adquirir a mídia do Microsoft Windows 7 Professional N somente para implantação e uso na União Europeia (UE), na Associação Europeia de Livre Comércio (EFTA), na Bulgária, Croácia, Romênia ou Suíça.</w:t>
      </w:r>
    </w:p>
    <w:p w:rsidR="008B1196" w:rsidRPr="00EB4D74" w:rsidRDefault="008B1196" w:rsidP="008B1196">
      <w:pPr>
        <w:pStyle w:val="Footnotedash"/>
        <w:spacing w:before="0" w:after="0"/>
        <w:ind w:left="720" w:firstLine="0"/>
        <w:rPr>
          <w:rFonts w:ascii="Tahoma" w:hAnsi="Tahoma" w:cs="Tahoma"/>
        </w:rPr>
      </w:pPr>
      <w:r w:rsidRPr="00EB4D74">
        <w:rPr>
          <w:rFonts w:ascii="Tahoma" w:hAnsi="Tahoma" w:cs="Tahoma"/>
          <w:sz w:val="18"/>
          <w:szCs w:val="18"/>
          <w:lang w:val="pt-BR"/>
        </w:rPr>
        <w:t>Eles deverão ter pelo menos um dos seguintes contratos ou registros ativos com a Microsoft Ireland Operations Ltd:</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Select, Enterprise ou Enterprise Subscription Enrollment</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Licença Open*, Open Value, Campus e School Agreement, Open Value Subscription – Education Solutions</w:t>
      </w:r>
    </w:p>
    <w:p w:rsidR="008B1196" w:rsidRPr="00EB4D74" w:rsidRDefault="008B1196" w:rsidP="008B1196">
      <w:pPr>
        <w:pStyle w:val="Footnotedash"/>
        <w:tabs>
          <w:tab w:val="clear" w:pos="1620"/>
        </w:tabs>
        <w:adjustRightInd/>
        <w:spacing w:before="0"/>
        <w:ind w:left="1440" w:firstLine="0"/>
        <w:textAlignment w:val="auto"/>
        <w:rPr>
          <w:rFonts w:ascii="Tahoma" w:hAnsi="Tahoma" w:cs="Tahoma"/>
          <w:lang w:val="it-IT"/>
        </w:rPr>
      </w:pPr>
      <w:r w:rsidRPr="00EB4D74">
        <w:rPr>
          <w:rFonts w:ascii="Tahoma" w:hAnsi="Tahoma" w:cs="Tahoma"/>
          <w:sz w:val="18"/>
          <w:lang w:val="pt-BR"/>
        </w:rPr>
        <w:t>(*Para os fins da Licença Open, um “contrato ativo” é aquele associado a um Número de Autorização de Licença Open ativo.)</w:t>
      </w:r>
    </w:p>
    <w:p w:rsidR="008B1196" w:rsidRPr="00EB4D74" w:rsidRDefault="008B1196" w:rsidP="008B1196">
      <w:pPr>
        <w:pStyle w:val="Footnotedash"/>
        <w:spacing w:before="0" w:after="0"/>
        <w:ind w:left="720" w:firstLine="0"/>
        <w:rPr>
          <w:rFonts w:ascii="Tahoma" w:hAnsi="Tahoma" w:cs="Tahoma"/>
        </w:rPr>
      </w:pPr>
      <w:r w:rsidRPr="00EB4D74">
        <w:rPr>
          <w:rFonts w:ascii="Tahoma" w:hAnsi="Tahoma" w:cs="Tahoma"/>
          <w:sz w:val="18"/>
          <w:lang w:val="pt-BR"/>
        </w:rPr>
        <w:t>Eles deverão ter o Software Assurance ativo para as licenças de atualização do Sistema Operacional Windows Desktop ou Windows 8 Pro.</w:t>
      </w:r>
    </w:p>
    <w:p w:rsidR="008B1196" w:rsidRPr="00EB4D74" w:rsidRDefault="008B1196" w:rsidP="008B1196">
      <w:pPr>
        <w:pStyle w:val="Footnotedash"/>
        <w:spacing w:before="0" w:after="0"/>
        <w:ind w:left="720" w:firstLine="0"/>
        <w:rPr>
          <w:rFonts w:ascii="Tahoma" w:hAnsi="Tahoma" w:cs="Tahoma"/>
          <w:sz w:val="18"/>
          <w:szCs w:val="18"/>
        </w:rPr>
      </w:pPr>
    </w:p>
    <w:p w:rsidR="008B1196" w:rsidRPr="00EB4D74" w:rsidRDefault="008B1196" w:rsidP="008B1196">
      <w:pPr>
        <w:pStyle w:val="Footnotedash"/>
        <w:spacing w:before="0" w:after="0"/>
        <w:ind w:left="720" w:firstLine="0"/>
        <w:rPr>
          <w:rFonts w:ascii="Tahoma" w:hAnsi="Tahoma" w:cs="Tahoma"/>
        </w:rPr>
      </w:pPr>
      <w:r w:rsidRPr="00EB4D74">
        <w:rPr>
          <w:rFonts w:ascii="Tahoma" w:hAnsi="Tahoma" w:cs="Tahoma"/>
          <w:sz w:val="18"/>
          <w:szCs w:val="18"/>
          <w:lang w:val="pt-BR"/>
        </w:rPr>
        <w:t>Eles deverão estar situados em um dos países estabelecidos na União Europeia (UE), na Associação Europeia de Livre Comércio (EFTA), na Bulgária, Croácia, Romênia ou Suíça.</w:t>
      </w:r>
    </w:p>
    <w:p w:rsidR="008B1196" w:rsidRPr="00EB4D74" w:rsidRDefault="008B1196" w:rsidP="008B1196">
      <w:pPr>
        <w:pStyle w:val="Footnotedash"/>
        <w:spacing w:before="0" w:after="0"/>
        <w:ind w:left="720" w:firstLine="0"/>
        <w:rPr>
          <w:rFonts w:ascii="Tahoma" w:hAnsi="Tahoma" w:cs="Tahoma"/>
          <w:sz w:val="18"/>
          <w:szCs w:val="18"/>
        </w:rPr>
      </w:pPr>
    </w:p>
    <w:p w:rsidR="008B1196" w:rsidRPr="00EB4D74" w:rsidRDefault="008B1196" w:rsidP="008B1196">
      <w:pPr>
        <w:pStyle w:val="Footnotedash"/>
        <w:spacing w:before="0" w:after="0"/>
        <w:ind w:left="720" w:firstLine="0"/>
        <w:rPr>
          <w:rFonts w:ascii="Tahoma" w:hAnsi="Tahoma" w:cs="Tahoma"/>
          <w:lang w:val="it-IT"/>
        </w:rPr>
      </w:pPr>
      <w:r w:rsidRPr="00EB4D74">
        <w:rPr>
          <w:rFonts w:ascii="Tahoma" w:hAnsi="Tahoma" w:cs="Tahoma"/>
          <w:sz w:val="18"/>
          <w:szCs w:val="18"/>
          <w:lang w:val="pt-BR"/>
        </w:rPr>
        <w:t>Os clientes poderão desconsiderar a notificação encontrada nos Direitos de Uso de Produto de julho de 2009 referente à ausência do Internet Explorer 8 e o aviso correspondente de isenção de responsabilidade da garantia.</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sz w:val="18"/>
          <w:szCs w:val="18"/>
          <w:lang w:val="it-IT"/>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lang w:val="it-IT"/>
        </w:rPr>
      </w:pPr>
      <w:r w:rsidRPr="00EB4D74">
        <w:rPr>
          <w:rFonts w:ascii="Tahoma" w:hAnsi="Tahoma" w:cs="Tahoma"/>
          <w:b/>
          <w:sz w:val="18"/>
          <w:lang w:val="pt-BR"/>
        </w:rPr>
        <w:t>Windows 8 Pro KN</w:t>
      </w:r>
    </w:p>
    <w:p w:rsidR="008B1196" w:rsidRPr="00EB4D74" w:rsidRDefault="008B1196" w:rsidP="008B1196">
      <w:pPr>
        <w:pStyle w:val="FootnoteBulletLevel2"/>
        <w:spacing w:before="0"/>
        <w:ind w:left="720" w:hanging="7"/>
        <w:rPr>
          <w:rFonts w:ascii="Tahoma" w:hAnsi="Tahoma" w:cs="Tahoma"/>
        </w:rPr>
      </w:pPr>
      <w:r w:rsidRPr="00EB4D74">
        <w:rPr>
          <w:rFonts w:ascii="Tahoma" w:hAnsi="Tahoma" w:cs="Tahoma"/>
          <w:sz w:val="18"/>
          <w:u w:val="single"/>
          <w:lang w:val="pt-BR"/>
        </w:rPr>
        <w:t>Qualificação</w:t>
      </w:r>
      <w:r w:rsidRPr="00EB4D74">
        <w:rPr>
          <w:rFonts w:ascii="Tahoma" w:hAnsi="Tahoma" w:cs="Tahoma"/>
          <w:b/>
          <w:sz w:val="18"/>
          <w:lang w:val="pt-BR"/>
        </w:rPr>
        <w:br/>
      </w:r>
      <w:r w:rsidRPr="00EB4D74">
        <w:rPr>
          <w:rFonts w:ascii="Tahoma" w:hAnsi="Tahoma" w:cs="Tahoma"/>
          <w:sz w:val="18"/>
          <w:lang w:val="pt-BR"/>
        </w:rPr>
        <w:t>Os clientes de licenças por volume situados na Coreia que tiverem um contrato ou registro do Licenciamento por Volume ativo com a Microsoft Operations Pte Ltd estarão qualificados para adquirir a mídia do Windows 8 Pro KN para implantação e uso na Coreia. Nenhum outro uso é permitido.</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Windows 8 Pro N (sem o Windows Media Player)</w:t>
      </w:r>
    </w:p>
    <w:p w:rsidR="008B1196" w:rsidRPr="00EB4D74" w:rsidRDefault="008B1196" w:rsidP="008B1196">
      <w:pPr>
        <w:pStyle w:val="FootnoteBulletLevel2"/>
        <w:spacing w:before="0"/>
        <w:ind w:left="720" w:firstLine="0"/>
        <w:rPr>
          <w:rFonts w:ascii="Tahoma" w:hAnsi="Tahoma" w:cs="Tahoma"/>
        </w:rPr>
      </w:pPr>
      <w:r w:rsidRPr="00EB4D74">
        <w:rPr>
          <w:rFonts w:ascii="Tahoma" w:hAnsi="Tahoma" w:cs="Tahoma"/>
          <w:sz w:val="18"/>
          <w:u w:val="single"/>
          <w:lang w:val="pt-BR"/>
        </w:rPr>
        <w:t>Qualificação</w:t>
      </w:r>
      <w:r w:rsidRPr="00EB4D74">
        <w:rPr>
          <w:rFonts w:ascii="Tahoma" w:hAnsi="Tahoma" w:cs="Tahoma"/>
          <w:sz w:val="18"/>
          <w:lang w:val="pt-BR"/>
        </w:rPr>
        <w:t>:</w:t>
      </w:r>
      <w:r w:rsidRPr="00EB4D74">
        <w:rPr>
          <w:rFonts w:ascii="Tahoma" w:hAnsi="Tahoma" w:cs="Tahoma"/>
          <w:b/>
          <w:sz w:val="18"/>
          <w:lang w:val="pt-BR"/>
        </w:rPr>
        <w:br/>
      </w:r>
      <w:r w:rsidRPr="00EB4D74">
        <w:rPr>
          <w:rFonts w:ascii="Tahoma" w:hAnsi="Tahoma" w:cs="Tahoma"/>
          <w:sz w:val="18"/>
          <w:lang w:val="pt-BR"/>
        </w:rPr>
        <w:t>Os clientes de licenças por volume que atenderem a todos os critérios a seguir estarão qualificados para adquirir a mídia do Microsoft Windows 8 Pro N somente para implantação e uso na União Europeia (UE), na Associação Europeia de Livre Comércio (EFTA), na Bulgária, Croácia, Romênia ou Suíça.</w:t>
      </w:r>
    </w:p>
    <w:p w:rsidR="008B1196" w:rsidRPr="00EB4D74" w:rsidRDefault="008B1196" w:rsidP="008B1196">
      <w:pPr>
        <w:pStyle w:val="Footnotedash"/>
        <w:spacing w:before="0" w:after="0"/>
        <w:ind w:left="720" w:hanging="7"/>
        <w:rPr>
          <w:rFonts w:ascii="Tahoma" w:hAnsi="Tahoma" w:cs="Tahoma"/>
        </w:rPr>
      </w:pPr>
      <w:r w:rsidRPr="00EB4D74">
        <w:rPr>
          <w:rFonts w:ascii="Tahoma" w:hAnsi="Tahoma" w:cs="Tahoma"/>
          <w:sz w:val="18"/>
          <w:szCs w:val="18"/>
          <w:lang w:val="pt-BR"/>
        </w:rPr>
        <w:t>Eles deverão ter pelo menos um dos seguintes contratos ou registros ativos com a Microsoft Ireland Operations Ltd:</w:t>
      </w: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Select, Enterprise ou Enterprise Subscription Enrollment</w:t>
      </w:r>
    </w:p>
    <w:p w:rsidR="008B1196" w:rsidRPr="00EB4D74" w:rsidRDefault="008B1196" w:rsidP="008B1196">
      <w:pPr>
        <w:pStyle w:val="Footnotedash"/>
        <w:numPr>
          <w:ilvl w:val="0"/>
          <w:numId w:val="80"/>
        </w:numPr>
        <w:adjustRightInd/>
        <w:spacing w:before="0"/>
        <w:ind w:left="1440"/>
        <w:textAlignment w:val="auto"/>
        <w:rPr>
          <w:rFonts w:ascii="Tahoma" w:hAnsi="Tahoma" w:cs="Tahoma"/>
        </w:rPr>
      </w:pPr>
      <w:r w:rsidRPr="00EB4D74">
        <w:rPr>
          <w:rFonts w:ascii="Tahoma" w:hAnsi="Tahoma" w:cs="Tahoma"/>
          <w:sz w:val="18"/>
          <w:lang w:val="pt-BR"/>
        </w:rPr>
        <w:t>Licença Open*, Open Value, Campus e School Agreement, Open Value Subscription – Education Solutions</w:t>
      </w:r>
    </w:p>
    <w:p w:rsidR="008B1196" w:rsidRPr="00EB4D74" w:rsidRDefault="008B1196" w:rsidP="008B1196">
      <w:pPr>
        <w:pStyle w:val="Footnotedash"/>
        <w:tabs>
          <w:tab w:val="clear" w:pos="1620"/>
        </w:tabs>
        <w:adjustRightInd/>
        <w:spacing w:before="0"/>
        <w:ind w:left="1440" w:firstLine="0"/>
        <w:textAlignment w:val="auto"/>
        <w:rPr>
          <w:rFonts w:ascii="Tahoma" w:hAnsi="Tahoma" w:cs="Tahoma"/>
          <w:lang w:val="it-IT"/>
        </w:rPr>
      </w:pPr>
      <w:r w:rsidRPr="00EB4D74">
        <w:rPr>
          <w:rFonts w:ascii="Tahoma" w:hAnsi="Tahoma" w:cs="Tahoma"/>
          <w:sz w:val="18"/>
          <w:lang w:val="pt-BR"/>
        </w:rPr>
        <w:t>(*Para os fins da Licença Open, um “contrato ativo” é aquele associado a um Número de Autorização de Licença Open ativo.)</w:t>
      </w:r>
    </w:p>
    <w:p w:rsidR="008B1196" w:rsidRPr="00EB4D74" w:rsidRDefault="008B1196" w:rsidP="008B1196">
      <w:pPr>
        <w:pStyle w:val="Footnotedash"/>
        <w:tabs>
          <w:tab w:val="clear" w:pos="1620"/>
        </w:tabs>
        <w:adjustRightInd/>
        <w:spacing w:before="0" w:after="0"/>
        <w:ind w:left="1440" w:firstLine="0"/>
        <w:textAlignment w:val="auto"/>
        <w:rPr>
          <w:rFonts w:ascii="Tahoma" w:hAnsi="Tahoma" w:cs="Tahoma"/>
          <w:sz w:val="18"/>
          <w:szCs w:val="18"/>
          <w:lang w:val="it-IT"/>
        </w:rPr>
      </w:pPr>
    </w:p>
    <w:p w:rsidR="008B1196" w:rsidRPr="00EB4D74" w:rsidRDefault="008B1196" w:rsidP="008B1196">
      <w:pPr>
        <w:pStyle w:val="Footnotedash"/>
        <w:spacing w:before="0" w:after="0"/>
        <w:ind w:left="720" w:hanging="7"/>
        <w:rPr>
          <w:rFonts w:ascii="Tahoma" w:hAnsi="Tahoma" w:cs="Tahoma"/>
        </w:rPr>
      </w:pPr>
      <w:r w:rsidRPr="00EB4D74">
        <w:rPr>
          <w:rFonts w:ascii="Tahoma" w:hAnsi="Tahoma" w:cs="Tahoma"/>
          <w:sz w:val="18"/>
          <w:lang w:val="pt-BR"/>
        </w:rPr>
        <w:t>Eles deverão ter o Software Assurance ativo para as licenças de atualização do Sistema Operacional Windows Desktop ou Windows 8 Pro.</w:t>
      </w:r>
    </w:p>
    <w:p w:rsidR="008B1196" w:rsidRPr="00EB4D74" w:rsidRDefault="008B1196" w:rsidP="008B1196">
      <w:pPr>
        <w:pStyle w:val="Footnotedash"/>
        <w:spacing w:before="0" w:after="0"/>
        <w:ind w:left="720" w:hanging="7"/>
        <w:rPr>
          <w:rFonts w:ascii="Tahoma" w:hAnsi="Tahoma" w:cs="Tahoma"/>
          <w:sz w:val="18"/>
          <w:szCs w:val="18"/>
        </w:rPr>
      </w:pPr>
    </w:p>
    <w:p w:rsidR="008B1196" w:rsidRPr="00EB4D74" w:rsidRDefault="008B1196" w:rsidP="008B1196">
      <w:pPr>
        <w:pStyle w:val="Footnotedash"/>
        <w:spacing w:before="0" w:after="0"/>
        <w:ind w:left="720" w:hanging="7"/>
        <w:rPr>
          <w:rFonts w:ascii="Tahoma" w:hAnsi="Tahoma" w:cs="Tahoma"/>
        </w:rPr>
      </w:pPr>
      <w:r w:rsidRPr="00EB4D74">
        <w:rPr>
          <w:rFonts w:ascii="Tahoma" w:hAnsi="Tahoma" w:cs="Tahoma"/>
          <w:sz w:val="18"/>
          <w:lang w:val="pt-BR"/>
        </w:rPr>
        <w:t>Eles deverão estar situados em um dos países estabelecidos na União Europeia (UE), na Associação Europeia de Livre Comércio (EFTA), na Bulgária, Croácia, Romênia ou Suíça.</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sz w:val="18"/>
          <w:szCs w:val="18"/>
        </w:rPr>
      </w:pPr>
    </w:p>
    <w:p w:rsidR="008B1196" w:rsidRPr="00EB4D74" w:rsidRDefault="008B1196" w:rsidP="008B1196">
      <w:pPr>
        <w:pStyle w:val="FootnoteBulletLevel1"/>
        <w:tabs>
          <w:tab w:val="clear" w:pos="900"/>
        </w:tabs>
        <w:adjustRightInd/>
        <w:spacing w:before="0" w:after="60"/>
        <w:ind w:left="720" w:firstLine="0"/>
        <w:textAlignment w:val="auto"/>
        <w:rPr>
          <w:rFonts w:ascii="Tahoma" w:hAnsi="Tahoma" w:cs="Tahoma"/>
        </w:rPr>
      </w:pPr>
      <w:r w:rsidRPr="00EB4D74">
        <w:rPr>
          <w:rFonts w:ascii="Tahoma" w:hAnsi="Tahoma" w:cs="Tahoma"/>
          <w:b/>
          <w:sz w:val="18"/>
          <w:lang w:val="pt-BR"/>
        </w:rPr>
        <w:t>Direitos de Locação para Windows</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lang w:val="it-IT"/>
        </w:rPr>
      </w:pPr>
      <w:r w:rsidRPr="00EB4D74">
        <w:rPr>
          <w:rFonts w:ascii="Tahoma" w:hAnsi="Tahoma" w:cs="Tahoma"/>
          <w:sz w:val="18"/>
          <w:u w:val="single"/>
          <w:lang w:val="pt-BR"/>
        </w:rPr>
        <w:t>Licenças de Direitos de Locação</w:t>
      </w:r>
      <w:r w:rsidRPr="00EB4D74">
        <w:rPr>
          <w:rFonts w:ascii="Tahoma" w:hAnsi="Tahoma" w:cs="Tahoma"/>
          <w:sz w:val="18"/>
          <w:lang w:val="pt-BR"/>
        </w:rPr>
        <w:t>:</w:t>
      </w:r>
      <w:r w:rsidRPr="00EB4D74">
        <w:rPr>
          <w:rFonts w:ascii="Tahoma" w:hAnsi="Tahoma" w:cs="Tahoma"/>
          <w:b/>
          <w:sz w:val="18"/>
          <w:lang w:val="pt-BR"/>
        </w:rPr>
        <w:br/>
      </w:r>
      <w:r w:rsidRPr="00EB4D74">
        <w:rPr>
          <w:rFonts w:ascii="Tahoma" w:hAnsi="Tahoma" w:cs="Tahoma"/>
          <w:sz w:val="18"/>
          <w:lang w:val="pt-BR"/>
        </w:rPr>
        <w:t>As licenças de direitos de locação concedidas sob esses programas são apenas licenças complementares. Essas licenças não representam um sistema operacional integral nem uma substituição para a atualização do licenciamento por volume. Portanto, cada desktop ao qual você alocar uma licença de direitos de locação deverá estar licenciado para executar um dos sistemas operacionais qualificados identificados a seguir.</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sz w:val="18"/>
          <w:szCs w:val="18"/>
          <w:lang w:val="it-IT"/>
        </w:rPr>
      </w:pP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sz w:val="18"/>
          <w:szCs w:val="18"/>
          <w:lang w:val="it-IT"/>
        </w:rPr>
      </w:pP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rPr>
      </w:pPr>
      <w:r w:rsidRPr="00EB4D74">
        <w:rPr>
          <w:rFonts w:ascii="Tahoma" w:hAnsi="Tahoma" w:cs="Tahoma"/>
          <w:sz w:val="18"/>
          <w:u w:val="single"/>
          <w:lang w:val="pt-BR"/>
        </w:rPr>
        <w:lastRenderedPageBreak/>
        <w:t>Windows Vista, Windows 7 Professional e Windows 8 Pro</w:t>
      </w:r>
      <w:r w:rsidRPr="00EB4D74">
        <w:rPr>
          <w:rFonts w:ascii="Tahoma" w:hAnsi="Tahoma" w:cs="Tahoma"/>
          <w:sz w:val="18"/>
          <w:lang w:val="pt-BR"/>
        </w:rPr>
        <w:t>:</w:t>
      </w:r>
    </w:p>
    <w:p w:rsidR="008B1196" w:rsidRPr="00EB4D74" w:rsidRDefault="008B1196" w:rsidP="008B1196">
      <w:pPr>
        <w:pStyle w:val="FootnoteBulletLevel1"/>
        <w:tabs>
          <w:tab w:val="clear" w:pos="900"/>
        </w:tabs>
        <w:adjustRightInd/>
        <w:spacing w:before="0" w:after="0"/>
        <w:ind w:left="720" w:firstLine="0"/>
        <w:textAlignment w:val="auto"/>
        <w:rPr>
          <w:rFonts w:ascii="Tahoma" w:hAnsi="Tahoma" w:cs="Tahoma"/>
        </w:rPr>
      </w:pPr>
      <w:r w:rsidRPr="00EB4D74">
        <w:rPr>
          <w:rFonts w:ascii="Tahoma" w:hAnsi="Tahoma" w:cs="Tahoma"/>
          <w:sz w:val="18"/>
          <w:lang w:val="pt-BR"/>
        </w:rPr>
        <w:t>Os clientes que desejarem adquirir licenças de direitos de locação por meio dos programas Select ou Licença Open deverão primeiro licenciar e instalar um sistema operacional qualificado no desktop. Os sistemas operacionais qualificados licenciados também incluem licenças adquiridas com o Contrato Get Genuine Windows por meio desses programas.</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u w:val="single"/>
          <w:lang w:val="pt-BR"/>
        </w:rPr>
        <w:t>Regras de Sistemas Operacionais Qualificados</w:t>
      </w:r>
      <w:r w:rsidRPr="00EB4D74">
        <w:rPr>
          <w:rFonts w:cs="Tahoma"/>
          <w:lang w:val="pt-BR"/>
        </w:rPr>
        <w:t>: Cada uma destas condições deve ser atendida para que o Sistema Operacional básico o qualifique para a licença de Direitos de Locação:</w:t>
      </w:r>
    </w:p>
    <w:p w:rsidR="008B1196" w:rsidRPr="00EB4D74" w:rsidRDefault="008B1196" w:rsidP="008B1196">
      <w:pPr>
        <w:ind w:left="1440"/>
        <w:rPr>
          <w:rFonts w:cs="Tahoma"/>
          <w:lang w:val="it-IT"/>
        </w:rPr>
      </w:pPr>
    </w:p>
    <w:p w:rsidR="008B1196" w:rsidRPr="00EB4D74" w:rsidRDefault="008B1196" w:rsidP="008B1196">
      <w:pPr>
        <w:numPr>
          <w:ilvl w:val="0"/>
          <w:numId w:val="25"/>
        </w:numPr>
        <w:ind w:left="1440"/>
        <w:rPr>
          <w:rFonts w:cs="Tahoma"/>
          <w:lang w:val="it-IT"/>
        </w:rPr>
      </w:pPr>
      <w:r w:rsidRPr="00EB4D74">
        <w:rPr>
          <w:rFonts w:cs="Tahoma"/>
          <w:lang w:val="pt-BR"/>
        </w:rPr>
        <w:t xml:space="preserve">A licença para o SO qualificado deverá ser cedida ao mesmo dispositivo ao qual a licença de Direitos de Locação de VL será cedida. </w:t>
      </w:r>
    </w:p>
    <w:p w:rsidR="008B1196" w:rsidRPr="00EB4D74" w:rsidRDefault="008B1196" w:rsidP="008B1196">
      <w:pPr>
        <w:numPr>
          <w:ilvl w:val="0"/>
          <w:numId w:val="25"/>
        </w:numPr>
        <w:ind w:left="1440"/>
        <w:rPr>
          <w:rFonts w:cs="Tahoma"/>
          <w:lang w:val="it-IT"/>
        </w:rPr>
      </w:pPr>
      <w:r w:rsidRPr="00EB4D74">
        <w:rPr>
          <w:rFonts w:cs="Tahoma"/>
          <w:lang w:val="pt-BR"/>
        </w:rPr>
        <w:t>O SO qualificado deverá ser instalado no referido dispositivo.</w:t>
      </w:r>
    </w:p>
    <w:p w:rsidR="008B1196" w:rsidRPr="00EB4D74" w:rsidRDefault="008B1196" w:rsidP="008B1196">
      <w:pPr>
        <w:rPr>
          <w:rFonts w:cs="Tahoma"/>
          <w:lang w:val="it-IT"/>
        </w:rPr>
      </w:pP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Os sistemas operacionais qualificados por tipo de Programa são:</w:t>
      </w:r>
    </w:p>
    <w:p w:rsidR="008B1196" w:rsidRPr="00EB4D74" w:rsidRDefault="008B1196" w:rsidP="008B1196">
      <w:pPr>
        <w:pStyle w:val="EndnoteText"/>
        <w:rPr>
          <w:rFonts w:ascii="Tahoma" w:hAnsi="Tahoma" w:cs="Tahoma"/>
          <w:sz w:val="18"/>
          <w:szCs w:val="18"/>
          <w:lang w:val="it-IT"/>
        </w:rPr>
      </w:pPr>
    </w:p>
    <w:tbl>
      <w:tblPr>
        <w:tblW w:w="8379" w:type="dxa"/>
        <w:tblInd w:w="100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8B1196" w:rsidRPr="00EB4D74" w:rsidTr="00EA30FC">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8B1196" w:rsidRPr="00EB4D74" w:rsidRDefault="008B1196" w:rsidP="00EA30FC">
            <w:pPr>
              <w:jc w:val="center"/>
              <w:rPr>
                <w:rFonts w:eastAsia="Times New Roman" w:cs="Tahoma"/>
                <w:b/>
                <w:bCs/>
                <w:szCs w:val="18"/>
              </w:rPr>
            </w:pPr>
            <w:r w:rsidRPr="00EB4D74">
              <w:rPr>
                <w:rFonts w:cs="Tahoma"/>
                <w:b/>
                <w:lang w:val="pt-BR"/>
              </w:rPr>
              <w:t>Sistemas operacionais qualificados para a compra de Direitos de Locação do Windows</w:t>
            </w:r>
          </w:p>
        </w:tc>
        <w:tc>
          <w:tcPr>
            <w:tcW w:w="4736" w:type="dxa"/>
            <w:gridSpan w:val="4"/>
            <w:tcBorders>
              <w:top w:val="nil"/>
              <w:left w:val="nil"/>
              <w:bottom w:val="single" w:sz="8" w:space="0" w:color="auto"/>
              <w:right w:val="nil"/>
            </w:tcBorders>
            <w:vAlign w:val="center"/>
          </w:tcPr>
          <w:p w:rsidR="008B1196" w:rsidRPr="00EB4D74" w:rsidRDefault="008B1196" w:rsidP="00EA30FC">
            <w:pPr>
              <w:rPr>
                <w:rFonts w:eastAsia="Times New Roman" w:cs="Tahoma"/>
                <w:szCs w:val="18"/>
              </w:rPr>
            </w:pP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8B1196" w:rsidRPr="00EB4D74" w:rsidRDefault="008B1196" w:rsidP="00EA30FC">
            <w:pPr>
              <w:rPr>
                <w:rFonts w:eastAsia="Times New Roman" w:cs="Tahoma"/>
                <w:bCs/>
                <w:szCs w:val="18"/>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4"/>
                <w:szCs w:val="18"/>
              </w:rPr>
            </w:pPr>
            <w:r w:rsidRPr="00EB4D74">
              <w:rPr>
                <w:rFonts w:cs="Tahoma"/>
                <w:b/>
                <w:sz w:val="14"/>
                <w:lang w:val="pt-BR"/>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4"/>
                <w:szCs w:val="18"/>
              </w:rPr>
            </w:pPr>
            <w:r w:rsidRPr="00EB4D74">
              <w:rPr>
                <w:rFonts w:cs="Tahoma"/>
                <w:b/>
                <w:sz w:val="14"/>
                <w:lang w:val="pt-BR"/>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4"/>
                <w:szCs w:val="18"/>
              </w:rPr>
            </w:pPr>
            <w:r w:rsidRPr="00EB4D74">
              <w:rPr>
                <w:rFonts w:cs="Tahoma"/>
                <w:b/>
                <w:sz w:val="14"/>
                <w:lang w:val="pt-BR"/>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8B1196" w:rsidRPr="00EB4D74" w:rsidRDefault="008B1196" w:rsidP="00EA30FC">
            <w:pPr>
              <w:jc w:val="center"/>
              <w:rPr>
                <w:rFonts w:eastAsia="Times New Roman" w:cs="Tahoma"/>
                <w:b/>
                <w:bCs/>
                <w:sz w:val="14"/>
                <w:szCs w:val="18"/>
              </w:rPr>
            </w:pPr>
            <w:r w:rsidRPr="00EB4D74">
              <w:rPr>
                <w:rFonts w:cs="Tahoma"/>
                <w:b/>
                <w:sz w:val="14"/>
                <w:lang w:val="pt-BR"/>
              </w:rPr>
              <w:t>Licença Open</w:t>
            </w: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cs="Tahoma"/>
                <w:b/>
                <w:bCs/>
                <w:szCs w:val="18"/>
              </w:rPr>
            </w:pPr>
            <w:r w:rsidRPr="00EB4D74">
              <w:rPr>
                <w:rFonts w:cs="Tahoma"/>
                <w:b/>
                <w:lang w:val="pt-BR"/>
              </w:rPr>
              <w:t>Windows 8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cs="Tahoma"/>
                <w:b/>
                <w:bCs/>
                <w:szCs w:val="18"/>
              </w:rPr>
            </w:pPr>
            <w:r w:rsidRPr="00EB4D74">
              <w:rPr>
                <w:rFonts w:cs="Tahoma"/>
                <w:lang w:val="pt-BR"/>
              </w:rPr>
              <w:t>Pro (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b/>
                <w:bCs/>
                <w:szCs w:val="18"/>
              </w:rPr>
            </w:pPr>
            <w:r w:rsidRPr="00EB4D74">
              <w:rPr>
                <w:rFonts w:cs="Tahoma"/>
                <w:b/>
                <w:lang w:val="pt-BR"/>
              </w:rPr>
              <w:t>Windows 7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left="522"/>
              <w:rPr>
                <w:rFonts w:eastAsia="Times New Roman" w:cs="Tahoma"/>
                <w:bCs/>
                <w:szCs w:val="18"/>
              </w:rPr>
            </w:pPr>
            <w:r w:rsidRPr="00EB4D74">
              <w:rPr>
                <w:rFonts w:cs="Tahoma"/>
                <w:lang w:val="pt-BR"/>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rPr>
                <w:rFonts w:eastAsia="Times New Roman" w:cs="Tahoma"/>
                <w:b/>
                <w:bCs/>
                <w:szCs w:val="18"/>
              </w:rPr>
            </w:pPr>
            <w:r w:rsidRPr="00EB4D74">
              <w:rPr>
                <w:rFonts w:cs="Tahoma"/>
                <w:b/>
                <w:lang w:val="pt-BR"/>
              </w:rPr>
              <w:t>Windows Vista (32 bits ou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p>
        </w:tc>
        <w:tc>
          <w:tcPr>
            <w:tcW w:w="16" w:type="dxa"/>
            <w:vAlign w:val="center"/>
          </w:tcPr>
          <w:p w:rsidR="008B1196" w:rsidRPr="00EB4D74" w:rsidRDefault="008B1196" w:rsidP="00EA30FC">
            <w:pPr>
              <w:rPr>
                <w:rFonts w:eastAsia="Times New Roman" w:cs="Tahoma"/>
                <w:szCs w:val="18"/>
              </w:rPr>
            </w:pPr>
          </w:p>
        </w:tc>
      </w:tr>
      <w:tr w:rsidR="008B1196" w:rsidRPr="00EB4D74" w:rsidTr="00EA30FC">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ind w:firstLine="540"/>
              <w:rPr>
                <w:rFonts w:eastAsia="Times New Roman" w:cs="Tahoma"/>
                <w:szCs w:val="18"/>
              </w:rPr>
            </w:pPr>
            <w:r w:rsidRPr="00EB4D74">
              <w:rPr>
                <w:rFonts w:cs="Tahoma"/>
                <w:lang w:val="pt-BR"/>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B1196" w:rsidRPr="00EB4D74" w:rsidRDefault="008B1196" w:rsidP="00EA30FC">
            <w:pPr>
              <w:jc w:val="center"/>
              <w:rPr>
                <w:rFonts w:ascii="Trebuchet MS" w:eastAsia="Times New Roman" w:hAnsi="Trebuchet MS" w:cs="Tahoma"/>
                <w:szCs w:val="18"/>
              </w:rPr>
            </w:pPr>
            <w:r w:rsidRPr="00EB4D74">
              <w:rPr>
                <w:rFonts w:ascii="Trebuchet MS" w:hAnsi="Trebuchet MS" w:cs="Tahoma"/>
                <w:lang w:val="pt-BR"/>
              </w:rPr>
              <w:t>x</w:t>
            </w:r>
          </w:p>
        </w:tc>
        <w:tc>
          <w:tcPr>
            <w:tcW w:w="16" w:type="dxa"/>
            <w:vAlign w:val="center"/>
          </w:tcPr>
          <w:p w:rsidR="008B1196" w:rsidRPr="00EB4D74" w:rsidRDefault="008B1196" w:rsidP="00EA30FC">
            <w:pPr>
              <w:rPr>
                <w:rFonts w:eastAsia="Times New Roman" w:cs="Tahoma"/>
                <w:szCs w:val="18"/>
              </w:rPr>
            </w:pPr>
          </w:p>
        </w:tc>
      </w:tr>
    </w:tbl>
    <w:p w:rsidR="008B1196" w:rsidRPr="00EB4D74" w:rsidRDefault="008B1196" w:rsidP="008B1196">
      <w:pPr>
        <w:rPr>
          <w:rFonts w:cs="Tahoma"/>
          <w:lang w:val="pt-BR"/>
        </w:rPr>
      </w:pPr>
    </w:p>
    <w:p w:rsidR="008B1196" w:rsidRPr="00EB4D74" w:rsidRDefault="008B1196" w:rsidP="008B1196">
      <w:pPr>
        <w:ind w:left="720"/>
        <w:rPr>
          <w:rFonts w:cs="Tahoma"/>
          <w:lang w:val="it-IT"/>
        </w:rPr>
      </w:pPr>
      <w:r w:rsidRPr="00EB4D74">
        <w:rPr>
          <w:rFonts w:cs="Tahoma"/>
          <w:lang w:val="pt-BR"/>
        </w:rPr>
        <w:t>Os clientes que adquirirem a licença de direitos de locação além de uma licença de sistema operacional qualificado terão seus direitos de acordo com essa licença de sistema operacional qualificado estendidos a fim de permitir que terceiros usem o mesmo software. A licença de locação não é uma outorga para uma atualização de versão.</w:t>
      </w:r>
    </w:p>
    <w:p w:rsidR="008B1196" w:rsidRPr="00EB4D74" w:rsidRDefault="008B1196" w:rsidP="008B1196">
      <w:pPr>
        <w:ind w:left="720"/>
        <w:rPr>
          <w:rFonts w:cs="Tahoma"/>
          <w:lang w:val="it-IT"/>
        </w:rPr>
      </w:pPr>
    </w:p>
    <w:p w:rsidR="008B1196" w:rsidRPr="00EB4D74" w:rsidRDefault="008B1196" w:rsidP="008B1196">
      <w:pPr>
        <w:ind w:left="720"/>
        <w:rPr>
          <w:rFonts w:cs="Tahoma"/>
        </w:rPr>
      </w:pPr>
      <w:r w:rsidRPr="00EB4D74">
        <w:rPr>
          <w:rFonts w:cs="Tahoma"/>
          <w:u w:val="single"/>
          <w:lang w:val="pt-BR"/>
        </w:rPr>
        <w:t>Exceção do Software Assurance</w:t>
      </w:r>
    </w:p>
    <w:p w:rsidR="008B1196" w:rsidRPr="00EB4D74" w:rsidRDefault="008B1196" w:rsidP="008B1196">
      <w:pPr>
        <w:ind w:left="720"/>
        <w:rPr>
          <w:rFonts w:cs="Tahoma"/>
          <w:lang w:val="it-IT"/>
        </w:rPr>
      </w:pPr>
      <w:r w:rsidRPr="00EB4D74">
        <w:rPr>
          <w:rFonts w:cs="Tahoma"/>
          <w:szCs w:val="18"/>
          <w:lang w:val="pt-BR"/>
        </w:rPr>
        <w:t>Os clientes que adquirirem licenças de direitos de locação não estarão qualificados para obter o Software Assurance para as mesmas licenças básicas de software. Porém, os usuários que alugarem/arrendarem e utilizarem dispositivos aos quais estão cedidas licenças de direitos de locação poderão adquirir Atualizações ou Atualizações e Software Assurance para as licenças básicas de software sob seus próprios contratos de licenciamento por volume, sujeitos aos termos e condições do referido contrato que regem a aquisição de Atualizações e Software Assurance. Não obstante quaisquer disposições em contrário no referido contrato do cliente com relação à acumulação de direitos perpétuos, o direito de usar software sob essa cobertura expirará quando as licenças de direitos de locação correspondentes se encerrarem.</w:t>
      </w:r>
    </w:p>
    <w:p w:rsidR="008B1196" w:rsidRPr="00EB4D74" w:rsidRDefault="008B1196" w:rsidP="008B1196">
      <w:pPr>
        <w:rPr>
          <w:rFonts w:cs="Tahoma"/>
          <w:lang w:val="it-IT"/>
        </w:rPr>
      </w:pPr>
    </w:p>
    <w:p w:rsidR="008B1196" w:rsidRPr="00EB4D74" w:rsidRDefault="008B1196" w:rsidP="008B1196">
      <w:pPr>
        <w:pStyle w:val="Heading2"/>
        <w:spacing w:after="120"/>
        <w:ind w:left="0"/>
        <w:rPr>
          <w:rFonts w:ascii="Tahoma" w:hAnsi="Tahoma" w:cs="Tahoma"/>
        </w:rPr>
      </w:pPr>
      <w:r w:rsidRPr="002B6215">
        <w:rPr>
          <w:rFonts w:ascii="Tahoma" w:hAnsi="Tahoma" w:cs="Tahoma"/>
          <w:sz w:val="28"/>
        </w:rPr>
        <w:br w:type="page"/>
      </w:r>
      <w:bookmarkStart w:id="1169" w:name="_Toc336338287"/>
      <w:bookmarkStart w:id="1170" w:name="_Toc342914921"/>
      <w:bookmarkEnd w:id="1169"/>
      <w:r w:rsidRPr="00EB4D74">
        <w:rPr>
          <w:rFonts w:ascii="Tahoma" w:hAnsi="Tahoma" w:cs="Tahoma"/>
          <w:sz w:val="28"/>
          <w:lang w:val="pt-BR"/>
        </w:rPr>
        <w:lastRenderedPageBreak/>
        <w:t>Pool de Servidores</w:t>
      </w:r>
      <w:bookmarkEnd w:id="1170"/>
    </w:p>
    <w:p w:rsidR="008B1196" w:rsidRPr="00EB4D74" w:rsidRDefault="008B1196" w:rsidP="008B1196">
      <w:pPr>
        <w:pStyle w:val="EndnoteText"/>
        <w:rPr>
          <w:rFonts w:ascii="Tahoma" w:hAnsi="Tahoma" w:cs="Tahoma"/>
          <w:sz w:val="16"/>
          <w:szCs w:val="16"/>
        </w:rPr>
      </w:pPr>
    </w:p>
    <w:p w:rsidR="008B1196" w:rsidRPr="00EB4D74" w:rsidRDefault="008B1196" w:rsidP="008B1196">
      <w:pPr>
        <w:pStyle w:val="EndnoteText"/>
        <w:rPr>
          <w:rFonts w:ascii="Tahoma" w:hAnsi="Tahoma" w:cs="Tahoma"/>
          <w:sz w:val="16"/>
          <w:szCs w:val="16"/>
        </w:rPr>
      </w:pPr>
    </w:p>
    <w:p w:rsidR="008B1196" w:rsidRPr="00EB4D74" w:rsidRDefault="008B1196" w:rsidP="008B1196">
      <w:pPr>
        <w:pStyle w:val="Heading3"/>
        <w:rPr>
          <w:rFonts w:ascii="Tahoma" w:hAnsi="Tahoma" w:cs="Tahoma"/>
        </w:rPr>
      </w:pPr>
      <w:bookmarkStart w:id="1171" w:name="Srv_27BingMapsSvrandContentPack"/>
      <w:bookmarkStart w:id="1172" w:name="_Toc336338288"/>
      <w:bookmarkStart w:id="1173" w:name="_Toc342914922"/>
      <w:bookmarkEnd w:id="1171"/>
      <w:bookmarkEnd w:id="1172"/>
      <w:r w:rsidRPr="00EB4D74">
        <w:rPr>
          <w:rFonts w:ascii="Tahoma" w:hAnsi="Tahoma" w:cs="Tahoma"/>
          <w:caps/>
          <w:color w:val="F66400"/>
          <w:sz w:val="22"/>
          <w:vertAlign w:val="superscript"/>
          <w:lang w:val="pt-BR"/>
        </w:rPr>
        <w:t>27</w:t>
      </w:r>
      <w:r w:rsidRPr="00EB4D74">
        <w:rPr>
          <w:rFonts w:ascii="Tahoma" w:hAnsi="Tahoma" w:cs="Tahoma"/>
          <w:caps/>
          <w:color w:val="F66400"/>
          <w:sz w:val="22"/>
          <w:lang w:val="pt-BR"/>
        </w:rPr>
        <w:t xml:space="preserve"> </w:t>
      </w:r>
      <w:r w:rsidRPr="00EB4D74">
        <w:rPr>
          <w:rFonts w:ascii="Tahoma" w:hAnsi="Tahoma" w:cs="Tahoma"/>
          <w:color w:val="F66400"/>
          <w:sz w:val="22"/>
          <w:lang w:val="pt-BR"/>
        </w:rPr>
        <w:t>Bing Maps Server e Bing Maps Server com Pacote de Conteúdo Aprimorado</w:t>
      </w:r>
      <w:bookmarkEnd w:id="1173"/>
    </w:p>
    <w:p w:rsidR="008B1196" w:rsidRPr="00EB4D74" w:rsidRDefault="008B1196" w:rsidP="008B1196">
      <w:pPr>
        <w:ind w:left="720"/>
        <w:rPr>
          <w:rFonts w:cs="Tahoma"/>
          <w:sz w:val="16"/>
          <w:szCs w:val="16"/>
        </w:rPr>
      </w:pPr>
    </w:p>
    <w:p w:rsidR="008B1196" w:rsidRPr="00EB4D74" w:rsidRDefault="008B1196" w:rsidP="008B1196">
      <w:pPr>
        <w:ind w:left="720"/>
        <w:rPr>
          <w:rFonts w:cs="Tahoma"/>
        </w:rPr>
      </w:pPr>
      <w:r w:rsidRPr="00EB4D74">
        <w:rPr>
          <w:rFonts w:cs="Tahoma"/>
          <w:u w:val="single"/>
          <w:lang w:val="pt-BR"/>
        </w:rPr>
        <w:t>Serviços de Criação Requeridos</w:t>
      </w:r>
      <w:r w:rsidRPr="00EB4D74">
        <w:rPr>
          <w:rFonts w:cs="Tahoma"/>
          <w:lang w:val="pt-BR"/>
        </w:rPr>
        <w:t xml:space="preserve">. O Bing Maps Server e o Bing Maps Server com Pacote de Conteúdo Aprimorado requerem as assinaturas anuais de software de Servidor/CAL, assim como os serviços de criação de sistemas da Vexcel, subsidiária geoespacial da Microsoft. Também estão disponíveis treinamento, suporte e serviços de manutenção adicionais, mas não são necessários. </w:t>
      </w:r>
      <w:bookmarkStart w:id="1174" w:name="Srv_25BingMapsandAddons"/>
      <w:bookmarkEnd w:id="1174"/>
      <w:r w:rsidRPr="00EB4D74">
        <w:rPr>
          <w:rFonts w:cs="Tahoma"/>
          <w:lang w:val="pt-BR"/>
        </w:rPr>
        <w:t xml:space="preserve">Para obter mais informações, visite o site </w:t>
      </w:r>
      <w:hyperlink r:id="rId30" w:history="1">
        <w:r w:rsidRPr="00EB4D74">
          <w:rPr>
            <w:rStyle w:val="Hyperlink"/>
            <w:rFonts w:cs="Tahoma"/>
            <w:lang w:val="pt-BR"/>
          </w:rPr>
          <w:t>http://www.vexcel.com/geospatial/bingmapsserver/index.asp</w:t>
        </w:r>
      </w:hyperlink>
    </w:p>
    <w:p w:rsidR="008B1196" w:rsidRPr="00EB4D74" w:rsidRDefault="008B1196" w:rsidP="008B1196">
      <w:pPr>
        <w:ind w:left="720"/>
        <w:rPr>
          <w:rFonts w:cs="Tahoma"/>
          <w:sz w:val="16"/>
          <w:szCs w:val="16"/>
        </w:rPr>
      </w:pPr>
    </w:p>
    <w:p w:rsidR="008B1196" w:rsidRPr="00EB4D74" w:rsidRDefault="008B1196" w:rsidP="008B1196">
      <w:pPr>
        <w:ind w:left="720"/>
        <w:rPr>
          <w:rFonts w:cs="Tahoma"/>
          <w:sz w:val="16"/>
          <w:szCs w:val="16"/>
        </w:rPr>
      </w:pPr>
    </w:p>
    <w:p w:rsidR="008B1196" w:rsidRPr="00EB4D74" w:rsidRDefault="008B1196" w:rsidP="008B1196">
      <w:pPr>
        <w:pStyle w:val="Heading3"/>
        <w:rPr>
          <w:rFonts w:ascii="Tahoma" w:hAnsi="Tahoma" w:cs="Tahoma"/>
        </w:rPr>
      </w:pPr>
      <w:bookmarkStart w:id="1175" w:name="_Toc336338289"/>
      <w:bookmarkStart w:id="1176" w:name="_28_Bing_Maps"/>
      <w:bookmarkStart w:id="1177" w:name="_Toc342914923"/>
      <w:bookmarkEnd w:id="1175"/>
      <w:bookmarkEnd w:id="1176"/>
      <w:r w:rsidRPr="00EB4D74">
        <w:rPr>
          <w:rFonts w:ascii="Tahoma" w:hAnsi="Tahoma" w:cs="Tahoma"/>
          <w:caps/>
          <w:color w:val="F66400"/>
          <w:sz w:val="22"/>
          <w:vertAlign w:val="superscript"/>
          <w:lang w:val="pt-BR"/>
        </w:rPr>
        <w:t>28</w:t>
      </w:r>
      <w:r w:rsidRPr="00EB4D74">
        <w:rPr>
          <w:rFonts w:ascii="Tahoma" w:hAnsi="Tahoma" w:cs="Tahoma"/>
          <w:color w:val="F66400"/>
          <w:sz w:val="22"/>
          <w:lang w:val="pt-BR"/>
        </w:rPr>
        <w:t xml:space="preserve"> Bing Maps 25KTrx, 250KTrx e Unlimited (SL Complementar)</w:t>
      </w:r>
      <w:bookmarkEnd w:id="1177"/>
    </w:p>
    <w:p w:rsidR="008B1196" w:rsidRPr="00EB4D74" w:rsidRDefault="008B1196" w:rsidP="008B1196">
      <w:pPr>
        <w:pStyle w:val="EndnoteText"/>
        <w:rPr>
          <w:rFonts w:ascii="Tahoma" w:hAnsi="Tahoma" w:cs="Tahoma"/>
          <w:sz w:val="18"/>
          <w:szCs w:val="18"/>
        </w:rPr>
      </w:pPr>
    </w:p>
    <w:p w:rsidR="008B1196" w:rsidRPr="00EB4D74" w:rsidRDefault="008B1196" w:rsidP="008B1196">
      <w:pPr>
        <w:ind w:left="720"/>
        <w:rPr>
          <w:rFonts w:cs="Tahoma"/>
          <w:lang w:val="it-IT"/>
        </w:rPr>
      </w:pPr>
      <w:r w:rsidRPr="00EB4D74">
        <w:rPr>
          <w:rFonts w:cs="Tahoma"/>
          <w:szCs w:val="20"/>
          <w:lang w:val="pt-BR"/>
        </w:rPr>
        <w:t xml:space="preserve">Transações faturáveis. As transações faturáveis incluem qualquer um dos kits (definidos como SDKs): (a) chamadas pelo método de Imagem ou Rota ou chamadas pelo método Geocode que retornam um mapa no Bing Maps Web Services e (b) uma sessão no Bing Maps AJAX ou Silverlight Control, em que uma sessão começa com a carga do Control no navegador do usuário e inclui todas as transações até que o navegador seja fechado ou o usuário vá para uma página diferente. </w:t>
      </w:r>
      <w:r w:rsidRPr="00EB4D74">
        <w:rPr>
          <w:rFonts w:cs="Tahoma"/>
          <w:lang w:val="pt-BR"/>
        </w:rPr>
        <w:t>As funcionalidades do Novo Serviço poderão ser adicionadas ocasionalmente e, se forem usadas pela Empresa, poderão se constituir em uma Transação faturável conforme descrito nos SDKs.</w:t>
      </w:r>
    </w:p>
    <w:p w:rsidR="008B1196" w:rsidRPr="00EB4D74" w:rsidRDefault="008B1196" w:rsidP="008B1196">
      <w:pPr>
        <w:ind w:left="720"/>
        <w:rPr>
          <w:rFonts w:cs="Tahoma"/>
          <w:sz w:val="16"/>
          <w:szCs w:val="16"/>
          <w:lang w:val="it-IT"/>
        </w:rPr>
      </w:pPr>
    </w:p>
    <w:p w:rsidR="008B1196" w:rsidRPr="00EB4D74" w:rsidRDefault="008B1196" w:rsidP="008B1196">
      <w:pPr>
        <w:ind w:left="720"/>
        <w:rPr>
          <w:rFonts w:cs="Tahoma"/>
          <w:lang w:val="pt-BR"/>
        </w:rPr>
      </w:pPr>
      <w:r w:rsidRPr="00EB4D74">
        <w:rPr>
          <w:rFonts w:cs="Tahoma"/>
          <w:lang w:val="pt-BR"/>
        </w:rPr>
        <w:t xml:space="preserve">Cada SL Complementar consiste em 25 mil, 250 mil e ou um número ilimitado de transações por mês. Os clientes poderão comprar várias SLs Complementares ou a SL Complementar de uso ilimitado a fim de acumular mais transações por mês. As transações de 25 mil e ou 250 mil não utilizadas poderão ser transferidas mensalmente até a data de aniversário do registro. Nessa data, todas as transações não utilizadas acumuladas até esse ponto [expirarão/serão perdidas]. Da mesma forma, os clientes poderão exceder o número de transações acumuladas em um mês, de um mês para o outro, contanto que o número total de transações utilizadas não exceda o número total de transações que eles acumularão em qualquer ano do prazo do registro. Os clientes poderão comprar SLs Complementares adicionais para cobrir possíveis transações futuras assim que utilizarem o número de transações que acumularão em qualquer ano do prazo do registro de acordo com as SLs Complementares existentes. </w:t>
      </w:r>
    </w:p>
    <w:p w:rsidR="008B1196" w:rsidRPr="00EB4D74" w:rsidRDefault="008B1196" w:rsidP="008B1196">
      <w:pPr>
        <w:pStyle w:val="EndnoteText"/>
        <w:ind w:hanging="180"/>
        <w:rPr>
          <w:rFonts w:ascii="Tahoma" w:hAnsi="Tahoma" w:cs="Tahoma"/>
          <w:sz w:val="18"/>
          <w:lang w:val="it-IT"/>
        </w:rPr>
      </w:pPr>
      <w:r w:rsidRPr="00EB4D74">
        <w:rPr>
          <w:rFonts w:ascii="Tahoma" w:hAnsi="Tahoma" w:cs="Tahoma"/>
          <w:sz w:val="18"/>
          <w:lang w:val="it-IT"/>
        </w:rPr>
        <w:t xml:space="preserve">Consulte a </w:t>
      </w:r>
      <w:hyperlink w:anchor="_Seção_5_–_1" w:history="1">
        <w:r w:rsidRPr="00EB4D74">
          <w:rPr>
            <w:rStyle w:val="Hyperlink"/>
            <w:rFonts w:ascii="Tahoma" w:hAnsi="Tahoma" w:cs="Tahoma"/>
            <w:sz w:val="18"/>
            <w:szCs w:val="18"/>
            <w:lang w:val="it-IT"/>
          </w:rPr>
          <w:t>Seção 5</w:t>
        </w:r>
      </w:hyperlink>
      <w:r w:rsidRPr="00EB4D74">
        <w:rPr>
          <w:rFonts w:ascii="Tahoma" w:hAnsi="Tahoma" w:cs="Tahoma"/>
          <w:sz w:val="18"/>
          <w:lang w:val="it-IT"/>
        </w:rPr>
        <w:t xml:space="preserve"> para obter informações sobre os termos de pagamento e preços dos serviços online. </w:t>
      </w:r>
    </w:p>
    <w:p w:rsidR="008B1196" w:rsidRPr="00EB4D74" w:rsidRDefault="008B1196" w:rsidP="008B1196">
      <w:pPr>
        <w:pStyle w:val="EndnoteText"/>
        <w:rPr>
          <w:rFonts w:ascii="Tahoma" w:hAnsi="Tahoma" w:cs="Tahoma"/>
          <w:sz w:val="16"/>
          <w:szCs w:val="16"/>
          <w:lang w:val="it-IT"/>
        </w:rPr>
      </w:pPr>
    </w:p>
    <w:p w:rsidR="008B1196" w:rsidRPr="00EB4D74" w:rsidRDefault="008B1196" w:rsidP="008B1196">
      <w:pPr>
        <w:pStyle w:val="EndnoteText"/>
        <w:rPr>
          <w:rFonts w:ascii="Tahoma" w:hAnsi="Tahoma" w:cs="Tahoma"/>
          <w:sz w:val="16"/>
          <w:szCs w:val="16"/>
          <w:lang w:val="it-IT"/>
        </w:rPr>
      </w:pPr>
    </w:p>
    <w:p w:rsidR="008B1196" w:rsidRPr="00EB4D74" w:rsidRDefault="008B1196" w:rsidP="008B1196">
      <w:pPr>
        <w:pStyle w:val="Heading3"/>
        <w:rPr>
          <w:rFonts w:ascii="Tahoma" w:hAnsi="Tahoma" w:cs="Tahoma"/>
        </w:rPr>
      </w:pPr>
      <w:bookmarkStart w:id="1178" w:name="Srv_26_BizTalkServerBranch"/>
      <w:bookmarkStart w:id="1179" w:name="_Toc336338290"/>
      <w:bookmarkStart w:id="1180" w:name="_Toc342914924"/>
      <w:bookmarkStart w:id="1181" w:name="Srv_29BizTalk09BranchEd"/>
      <w:bookmarkEnd w:id="1178"/>
      <w:bookmarkEnd w:id="1179"/>
      <w:r w:rsidRPr="00EB4D74">
        <w:rPr>
          <w:rFonts w:ascii="Tahoma" w:hAnsi="Tahoma" w:cs="Tahoma"/>
          <w:caps/>
          <w:color w:val="F66400"/>
          <w:sz w:val="22"/>
          <w:vertAlign w:val="superscript"/>
          <w:lang w:val="pt-BR"/>
        </w:rPr>
        <w:t>29</w:t>
      </w:r>
      <w:r w:rsidRPr="00EB4D74">
        <w:rPr>
          <w:rFonts w:ascii="Tahoma" w:hAnsi="Tahoma" w:cs="Tahoma"/>
          <w:color w:val="F66400"/>
          <w:sz w:val="22"/>
          <w:lang w:val="pt-BR"/>
        </w:rPr>
        <w:t xml:space="preserve"> BizTalk</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Server 2010 Branch Edition</w:t>
      </w:r>
      <w:bookmarkEnd w:id="1180"/>
    </w:p>
    <w:p w:rsidR="008B1196" w:rsidRPr="00EB4D74" w:rsidRDefault="008B1196" w:rsidP="008B1196">
      <w:pPr>
        <w:rPr>
          <w:rFonts w:cs="Tahoma"/>
          <w:sz w:val="16"/>
          <w:szCs w:val="16"/>
        </w:rPr>
      </w:pPr>
    </w:p>
    <w:bookmarkEnd w:id="1181"/>
    <w:p w:rsidR="008B1196" w:rsidRPr="00EB4D74" w:rsidRDefault="008B1196" w:rsidP="008B1196">
      <w:pPr>
        <w:spacing w:after="60"/>
        <w:ind w:left="720"/>
        <w:rPr>
          <w:rFonts w:cs="Tahoma"/>
        </w:rPr>
      </w:pPr>
      <w:r w:rsidRPr="00EB4D74">
        <w:rPr>
          <w:rFonts w:cs="Tahoma"/>
          <w:b/>
          <w:color w:val="000000"/>
          <w:lang w:val="pt-BR"/>
        </w:rPr>
        <w:t>Direitos Step-up</w:t>
      </w:r>
    </w:p>
    <w:p w:rsidR="008B1196" w:rsidRPr="00EB4D74" w:rsidRDefault="008B1196" w:rsidP="008B1196">
      <w:pPr>
        <w:ind w:left="720"/>
        <w:rPr>
          <w:rFonts w:cs="Tahoma"/>
        </w:rPr>
      </w:pPr>
      <w:r w:rsidRPr="00EB4D74">
        <w:rPr>
          <w:rFonts w:cs="Tahoma"/>
          <w:lang w:val="pt-BR"/>
        </w:rPr>
        <w:t xml:space="preserve">Os clientes Enterprise, Select ou Open Value com cobertura do Software Assurance ativa para o </w:t>
      </w:r>
      <w:r w:rsidRPr="00EB4D74">
        <w:rPr>
          <w:rFonts w:cs="Tahoma"/>
          <w:color w:val="000000"/>
          <w:lang w:val="pt-BR"/>
        </w:rPr>
        <w:t>BizTalk Server 2009 Branch Edition</w:t>
      </w:r>
      <w:r w:rsidRPr="00EB4D74">
        <w:rPr>
          <w:rFonts w:cs="Tahoma"/>
          <w:lang w:val="pt-BR"/>
        </w:rPr>
        <w:t xml:space="preserve"> poderão fazer step-up para o </w:t>
      </w:r>
      <w:r w:rsidRPr="00EB4D74">
        <w:rPr>
          <w:rFonts w:cs="Tahoma"/>
          <w:color w:val="000000"/>
          <w:lang w:val="pt-BR"/>
        </w:rPr>
        <w:t>BizTalk Server 2009 Standard ou Enterprise Edition</w:t>
      </w:r>
      <w:r w:rsidRPr="00EB4D74">
        <w:rPr>
          <w:rFonts w:cs="Tahoma"/>
          <w:lang w:val="pt-BR"/>
        </w:rPr>
        <w:t xml:space="preserve"> por meio da aquisição da</w:t>
      </w:r>
      <w:hyperlink w:anchor="Step_Up" w:history="1">
        <w:r w:rsidRPr="00EB4D74">
          <w:rPr>
            <w:rFonts w:cs="Tahoma"/>
            <w:color w:val="000000"/>
            <w:lang w:val="pt-BR"/>
          </w:rPr>
          <w:t>Step-Up SKU</w:t>
        </w:r>
      </w:hyperlink>
      <w:r w:rsidRPr="00EB4D74">
        <w:rPr>
          <w:rFonts w:cs="Tahoma"/>
          <w:lang w:val="pt-BR"/>
        </w:rPr>
        <w:t xml:space="preserve"> apropriada.</w:t>
      </w:r>
    </w:p>
    <w:p w:rsidR="008B1196" w:rsidRPr="00EB4D74" w:rsidRDefault="008B1196" w:rsidP="008B1196">
      <w:pPr>
        <w:ind w:left="720"/>
        <w:rPr>
          <w:rFonts w:cs="Tahoma"/>
          <w:sz w:val="16"/>
          <w:szCs w:val="16"/>
        </w:rPr>
      </w:pPr>
    </w:p>
    <w:p w:rsidR="008B1196" w:rsidRPr="00EB4D74" w:rsidRDefault="008B1196" w:rsidP="008B1196">
      <w:pPr>
        <w:spacing w:after="60"/>
        <w:ind w:left="720"/>
        <w:rPr>
          <w:rFonts w:cs="Tahoma"/>
        </w:rPr>
      </w:pPr>
      <w:r w:rsidRPr="00EB4D74">
        <w:rPr>
          <w:rFonts w:cs="Tahoma"/>
          <w:b/>
          <w:color w:val="000000"/>
          <w:lang w:val="pt-BR"/>
        </w:rPr>
        <w:t>Direitos de Downgrade</w:t>
      </w:r>
    </w:p>
    <w:p w:rsidR="008B1196" w:rsidRPr="00EB4D74" w:rsidRDefault="008B1196" w:rsidP="008B1196">
      <w:pPr>
        <w:ind w:left="720"/>
        <w:rPr>
          <w:rFonts w:cs="Tahoma"/>
        </w:rPr>
      </w:pPr>
      <w:r w:rsidRPr="00EB4D74">
        <w:rPr>
          <w:rFonts w:cs="Tahoma"/>
          <w:color w:val="000000"/>
          <w:lang w:val="pt-BR"/>
        </w:rPr>
        <w:t>Os clientes de licenças por volume com uma licença do BizTalk Server 2009 Branch Edition poderão usar o Host Integration Server 2006 e qualquer versão anterior do Host Integration Server Standard Edition.</w:t>
      </w:r>
    </w:p>
    <w:p w:rsidR="008B1196" w:rsidRPr="00EB4D74" w:rsidRDefault="008B1196" w:rsidP="008B1196">
      <w:pPr>
        <w:ind w:left="720"/>
        <w:rPr>
          <w:rFonts w:cs="Tahoma"/>
          <w:sz w:val="16"/>
          <w:szCs w:val="16"/>
        </w:rPr>
      </w:pPr>
    </w:p>
    <w:p w:rsidR="008B1196" w:rsidRPr="00EB4D74" w:rsidRDefault="008B1196" w:rsidP="008B1196">
      <w:pPr>
        <w:spacing w:after="60"/>
        <w:ind w:left="720"/>
        <w:rPr>
          <w:rFonts w:cs="Tahoma"/>
        </w:rPr>
      </w:pPr>
      <w:r w:rsidRPr="00EB4D74">
        <w:rPr>
          <w:rFonts w:cs="Tahoma"/>
          <w:b/>
          <w:color w:val="000000"/>
          <w:lang w:val="pt-BR"/>
        </w:rPr>
        <w:t>Caminho de Migração para os Clientes do Host Integration Server 2006 Registrados no SA</w:t>
      </w:r>
    </w:p>
    <w:p w:rsidR="008B1196" w:rsidRPr="00EB4D74" w:rsidRDefault="008B1196" w:rsidP="008B1196">
      <w:pPr>
        <w:ind w:left="720"/>
        <w:rPr>
          <w:rFonts w:cs="Tahoma"/>
          <w:color w:val="000000"/>
          <w:spacing w:val="-2"/>
          <w:lang w:val="pt-BR"/>
        </w:rPr>
      </w:pPr>
      <w:r w:rsidRPr="00EB4D74">
        <w:rPr>
          <w:rFonts w:cs="Tahoma"/>
          <w:color w:val="000000"/>
          <w:spacing w:val="-2"/>
          <w:szCs w:val="20"/>
          <w:lang w:val="pt-BR"/>
        </w:rPr>
        <w:t xml:space="preserve">Para cada licença do Host Integration Server 2006 (ou de qualquer versão anterior) que um cliente de Licença por Volume tenha registrado no Software Assurance a partir de 1° de setembro de 2007, o cliente terá permissão de usar o BizTalk Server 2006 R2 Branch Edition (ou qualquer versão posterior desse produto) em um (1) processador no lugar do Host Integration Server 2006. O direito do cliente de usar o BizTalk Server 2006 R2 Branch Edition expirará em caso de término ou rescisão do direito do cliente de usar a cópia correspondente do Host Integration Server 2006. O uso que o cliente fizer do BizTalk Server 2006 R2 Branch Edition de acordo com esta oferta estará sujeito aos direitos de uso desse produto e aos termos e condições do contrato de Licença por Volume do cliente. </w:t>
      </w:r>
      <w:r w:rsidRPr="00EB4D74">
        <w:rPr>
          <w:rFonts w:cs="Tahoma"/>
          <w:color w:val="000000"/>
          <w:spacing w:val="-2"/>
          <w:lang w:val="pt-BR"/>
        </w:rPr>
        <w:t>Ao final do prazo do Software Assurance para o Host Integration Server 2006, o cliente poderá renovar a proteção de atualização para o BizTalk Server 2006 R2 Branch Edition no lugar do Host Integration Server 2006.</w:t>
      </w:r>
    </w:p>
    <w:p w:rsidR="008B1196" w:rsidRPr="00EB4D74" w:rsidRDefault="008B1196" w:rsidP="008B1196">
      <w:pPr>
        <w:ind w:left="720"/>
        <w:rPr>
          <w:rFonts w:cs="Tahoma"/>
          <w:spacing w:val="-2"/>
          <w:lang w:val="pt-BR"/>
        </w:rPr>
      </w:pPr>
    </w:p>
    <w:p w:rsidR="008B1196" w:rsidRPr="00EB4D74" w:rsidRDefault="008B1196" w:rsidP="008B1196">
      <w:pPr>
        <w:spacing w:after="60"/>
        <w:ind w:left="720"/>
        <w:rPr>
          <w:rFonts w:cs="Tahoma"/>
          <w:lang w:val="pt-BR"/>
        </w:rPr>
      </w:pPr>
      <w:r w:rsidRPr="00EB4D74">
        <w:rPr>
          <w:rFonts w:cs="Tahoma"/>
          <w:b/>
          <w:color w:val="000000"/>
          <w:lang w:val="pt-BR"/>
        </w:rPr>
        <w:lastRenderedPageBreak/>
        <w:t>BizTalk RFID Mobile e RFID Mobile Standards Pack</w:t>
      </w:r>
    </w:p>
    <w:p w:rsidR="008B1196" w:rsidRPr="00EB4D74" w:rsidRDefault="008B1196" w:rsidP="008B1196">
      <w:pPr>
        <w:ind w:left="720"/>
        <w:rPr>
          <w:rFonts w:cs="Tahoma"/>
          <w:lang w:val="it-IT"/>
        </w:rPr>
      </w:pPr>
      <w:r w:rsidRPr="00EB4D74">
        <w:rPr>
          <w:rFonts w:cs="Tahoma"/>
          <w:color w:val="000000"/>
          <w:lang w:val="pt-BR"/>
        </w:rPr>
        <w:t>Os clientes com licenças do Biz Talk Server Branch Edition com cobertura do Software Assurance ativa a partir de 31 de outubro de 2008 estão qualificados para usar o BizTalk RFID Mobile e o BizTalk RFID Standards Pack. O uso do referido software está sujeito aos direitos de uso do BizTalk Server 2006 R2 Branch Edition. O direito do cliente de usar esse componente se tornará perpétuo quando seu direito de usar o BizTalk Server Branch Edition se tornar perpétuo.</w:t>
      </w:r>
    </w:p>
    <w:p w:rsidR="008B1196" w:rsidRPr="00EB4D74" w:rsidRDefault="008B1196" w:rsidP="008B1196">
      <w:pPr>
        <w:ind w:left="540"/>
        <w:rPr>
          <w:rFonts w:cs="Tahoma"/>
          <w:lang w:val="it-IT"/>
        </w:rPr>
      </w:pPr>
    </w:p>
    <w:p w:rsidR="008B1196" w:rsidRPr="00EB4D74" w:rsidRDefault="008B1196" w:rsidP="008B1196">
      <w:pPr>
        <w:ind w:left="540"/>
        <w:rPr>
          <w:rFonts w:cs="Tahoma"/>
          <w:lang w:val="it-IT"/>
        </w:rPr>
      </w:pPr>
    </w:p>
    <w:p w:rsidR="008B1196" w:rsidRPr="00EB4D74" w:rsidRDefault="008B1196" w:rsidP="008B1196">
      <w:pPr>
        <w:pStyle w:val="Heading3"/>
        <w:rPr>
          <w:rFonts w:ascii="Tahoma" w:hAnsi="Tahoma" w:cs="Tahoma"/>
        </w:rPr>
      </w:pPr>
      <w:bookmarkStart w:id="1182" w:name="_29_BizTalk®_Server"/>
      <w:bookmarkStart w:id="1183" w:name="_Toc336338291"/>
      <w:bookmarkStart w:id="1184" w:name="_Toc342914925"/>
      <w:bookmarkStart w:id="1185" w:name="Srv_30BizTalk09EntEd"/>
      <w:bookmarkStart w:id="1186" w:name="Srv_27BizTalkSvr2009EntEd"/>
      <w:bookmarkEnd w:id="1182"/>
      <w:bookmarkEnd w:id="1183"/>
      <w:r w:rsidRPr="00EB4D74">
        <w:rPr>
          <w:rFonts w:ascii="Tahoma" w:hAnsi="Tahoma" w:cs="Tahoma"/>
          <w:caps/>
          <w:color w:val="F66400"/>
          <w:sz w:val="22"/>
          <w:vertAlign w:val="superscript"/>
          <w:lang w:val="pt-BR"/>
        </w:rPr>
        <w:t>30</w:t>
      </w:r>
      <w:r w:rsidRPr="00EB4D74">
        <w:rPr>
          <w:rFonts w:ascii="Tahoma" w:hAnsi="Tahoma" w:cs="Tahoma"/>
          <w:color w:val="F66400"/>
          <w:sz w:val="22"/>
          <w:lang w:val="pt-BR"/>
        </w:rPr>
        <w:t xml:space="preserve"> BizTalk</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Server 2010 Enterprise Edition</w:t>
      </w:r>
      <w:bookmarkEnd w:id="1184"/>
    </w:p>
    <w:bookmarkEnd w:id="1185"/>
    <w:bookmarkEnd w:id="1186"/>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t>Direitos de Downgrade</w:t>
      </w:r>
    </w:p>
    <w:p w:rsidR="008B1196" w:rsidRPr="00EB4D74" w:rsidRDefault="008B1196" w:rsidP="008B1196">
      <w:pPr>
        <w:ind w:left="720"/>
        <w:rPr>
          <w:rFonts w:cs="Tahoma"/>
        </w:rPr>
      </w:pPr>
      <w:r w:rsidRPr="00EB4D74">
        <w:rPr>
          <w:rFonts w:cs="Tahoma"/>
          <w:szCs w:val="20"/>
          <w:lang w:val="pt-BR"/>
        </w:rPr>
        <w:t>Os clientes de licenças por volume com uma licença do BizTalk Server 2009 Enterprise Edition poderão usar qualquer versão anterior do BizTalk Server Enterprise Edition, o Host Integration Server (qualquer edição), o Adaptador do BizTalk para MQSeries 1.0, o Adaptador de SAP do BizTalk, o Acelerador do BizTalk para HIPAA Enterprise Edition, o Acelerador do BizTalk para RosettaNet Enterprise Edition, o Acelerador do BizTalk para SWIFT Enterprise Edition e o Acelerador do BizTalk para HL7 Enterprise Edition.</w:t>
      </w:r>
    </w:p>
    <w:p w:rsidR="008B1196" w:rsidRPr="00EB4D74" w:rsidRDefault="008B1196" w:rsidP="008B1196">
      <w:pPr>
        <w:ind w:left="720"/>
        <w:rPr>
          <w:rFonts w:cs="Tahoma"/>
        </w:rPr>
      </w:pPr>
    </w:p>
    <w:p w:rsidR="008B1196" w:rsidRPr="00EB4D74" w:rsidRDefault="008B1196" w:rsidP="008B1196">
      <w:pPr>
        <w:spacing w:after="60"/>
        <w:ind w:left="720"/>
        <w:rPr>
          <w:rFonts w:cs="Tahoma"/>
          <w:lang w:val="it-IT"/>
        </w:rPr>
      </w:pPr>
      <w:r w:rsidRPr="00EB4D74">
        <w:rPr>
          <w:rFonts w:cs="Tahoma"/>
          <w:b/>
          <w:color w:val="000000"/>
          <w:lang w:val="pt-BR"/>
        </w:rPr>
        <w:t>Caminho de Migração para os Clientes dos Aceleradores do BizTalk Server Registrados no SA</w:t>
      </w:r>
    </w:p>
    <w:p w:rsidR="008B1196" w:rsidRPr="00EB4D74" w:rsidRDefault="008B1196" w:rsidP="008B1196">
      <w:pPr>
        <w:ind w:left="720"/>
        <w:rPr>
          <w:rFonts w:cs="Tahoma"/>
          <w:lang w:val="pt-BR"/>
        </w:rPr>
      </w:pPr>
      <w:r w:rsidRPr="00EB4D74">
        <w:rPr>
          <w:rFonts w:cs="Tahoma"/>
          <w:szCs w:val="20"/>
          <w:lang w:val="pt-BR"/>
        </w:rPr>
        <w:t xml:space="preserve">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 O direito do cliente de usar o BizTalk Server 2006 R2 expirará em caso de término ou rescisão do direito do cliente de usar a cópia correspondente do Acelerador do BizTalk. O uso que o cliente fizer do BizTalk Server 2006 R2 de acordo com esta oferta estará sujeito aos direitos de uso desse produto e aos termos e condições do contrato de Licença por Volume do cliente. </w:t>
      </w:r>
      <w:r w:rsidRPr="00EB4D74">
        <w:rPr>
          <w:rFonts w:cs="Tahoma"/>
          <w:lang w:val="pt-BR"/>
        </w:rPr>
        <w:t>Ao final do prazo do Software Assurance para o Acelerador do BizTalk, o cliente poderá renovar a proteção de atualização para o BizTalk Server 2006 R2 no lugar do Acelerador do BizTalk.</w:t>
      </w:r>
    </w:p>
    <w:p w:rsidR="008B1196" w:rsidRPr="00EB4D74" w:rsidRDefault="008B1196" w:rsidP="008B1196">
      <w:pPr>
        <w:ind w:left="540"/>
        <w:rPr>
          <w:rFonts w:cs="Tahoma"/>
          <w:lang w:val="pt-BR"/>
        </w:rPr>
      </w:pPr>
    </w:p>
    <w:tbl>
      <w:tblPr>
        <w:tblW w:w="8100" w:type="dxa"/>
        <w:tblInd w:w="1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8B1196" w:rsidRPr="00EB4D74" w:rsidTr="00EA30FC">
        <w:tc>
          <w:tcPr>
            <w:tcW w:w="3960" w:type="dxa"/>
            <w:shd w:val="clear" w:color="auto" w:fill="FABF8F"/>
          </w:tcPr>
          <w:p w:rsidR="008B1196" w:rsidRPr="00EB4D74" w:rsidRDefault="008B1196" w:rsidP="00EA30FC">
            <w:pPr>
              <w:ind w:left="252"/>
              <w:rPr>
                <w:rFonts w:cs="Tahoma"/>
                <w:b/>
                <w:szCs w:val="20"/>
              </w:rPr>
            </w:pPr>
            <w:r w:rsidRPr="00EB4D74">
              <w:rPr>
                <w:rFonts w:cs="Tahoma"/>
                <w:b/>
                <w:szCs w:val="20"/>
                <w:lang w:val="pt-BR"/>
              </w:rPr>
              <w:t>Acelerador do BizTalk</w:t>
            </w:r>
          </w:p>
        </w:tc>
        <w:tc>
          <w:tcPr>
            <w:tcW w:w="4140" w:type="dxa"/>
            <w:shd w:val="clear" w:color="auto" w:fill="FABF8F"/>
          </w:tcPr>
          <w:p w:rsidR="008B1196" w:rsidRPr="00EB4D74" w:rsidRDefault="008B1196" w:rsidP="00EA30FC">
            <w:pPr>
              <w:ind w:left="342"/>
              <w:rPr>
                <w:rFonts w:cs="Tahoma"/>
                <w:b/>
                <w:szCs w:val="20"/>
              </w:rPr>
            </w:pPr>
            <w:r w:rsidRPr="00EB4D74">
              <w:rPr>
                <w:rFonts w:cs="Tahoma"/>
                <w:b/>
                <w:szCs w:val="20"/>
                <w:lang w:val="pt-BR"/>
              </w:rPr>
              <w:t>Qualificação do Software Assurance</w:t>
            </w:r>
          </w:p>
        </w:tc>
      </w:tr>
      <w:tr w:rsidR="008B1196" w:rsidRPr="00EB4D74" w:rsidTr="00EA30FC">
        <w:tc>
          <w:tcPr>
            <w:tcW w:w="3960" w:type="dxa"/>
          </w:tcPr>
          <w:p w:rsidR="008B1196" w:rsidRPr="00EB4D74" w:rsidRDefault="008B1196" w:rsidP="00EA30FC">
            <w:pPr>
              <w:ind w:left="252"/>
              <w:rPr>
                <w:rFonts w:cs="Tahoma"/>
                <w:szCs w:val="20"/>
              </w:rPr>
            </w:pPr>
            <w:r w:rsidRPr="00EB4D74">
              <w:rPr>
                <w:rFonts w:cs="Tahoma"/>
                <w:szCs w:val="20"/>
                <w:lang w:val="pt-BR"/>
              </w:rPr>
              <w:t>BizTalk HIPAA Enterprise</w:t>
            </w:r>
          </w:p>
        </w:tc>
        <w:tc>
          <w:tcPr>
            <w:tcW w:w="4140" w:type="dxa"/>
          </w:tcPr>
          <w:p w:rsidR="008B1196" w:rsidRPr="00EB4D74" w:rsidRDefault="008B1196" w:rsidP="00EA30FC">
            <w:pPr>
              <w:ind w:left="342"/>
              <w:rPr>
                <w:rFonts w:cs="Tahoma"/>
                <w:szCs w:val="20"/>
              </w:rPr>
            </w:pPr>
            <w:r w:rsidRPr="00EB4D74">
              <w:rPr>
                <w:rFonts w:cs="Tahoma"/>
                <w:szCs w:val="20"/>
                <w:lang w:val="pt-BR"/>
              </w:rPr>
              <w:t>BizTalk Server 2006 R2 Enterprise Edition</w:t>
            </w:r>
          </w:p>
        </w:tc>
      </w:tr>
      <w:tr w:rsidR="008B1196" w:rsidRPr="00EB4D74" w:rsidTr="00EA30FC">
        <w:tc>
          <w:tcPr>
            <w:tcW w:w="3960" w:type="dxa"/>
          </w:tcPr>
          <w:p w:rsidR="008B1196" w:rsidRPr="00EB4D74" w:rsidRDefault="008B1196" w:rsidP="00EA30FC">
            <w:pPr>
              <w:ind w:left="252"/>
              <w:rPr>
                <w:rFonts w:cs="Tahoma"/>
                <w:szCs w:val="20"/>
              </w:rPr>
            </w:pPr>
            <w:r w:rsidRPr="00EB4D74">
              <w:rPr>
                <w:rFonts w:cs="Tahoma"/>
                <w:szCs w:val="20"/>
                <w:lang w:val="pt-BR"/>
              </w:rPr>
              <w:t>BizTalk HL7 Enterprise</w:t>
            </w:r>
          </w:p>
        </w:tc>
        <w:tc>
          <w:tcPr>
            <w:tcW w:w="4140" w:type="dxa"/>
          </w:tcPr>
          <w:p w:rsidR="008B1196" w:rsidRPr="00EB4D74" w:rsidRDefault="008B1196" w:rsidP="00EA30FC">
            <w:pPr>
              <w:ind w:left="342"/>
              <w:rPr>
                <w:rFonts w:cs="Tahoma"/>
                <w:szCs w:val="20"/>
              </w:rPr>
            </w:pPr>
            <w:r w:rsidRPr="00EB4D74">
              <w:rPr>
                <w:rFonts w:cs="Tahoma"/>
                <w:szCs w:val="20"/>
                <w:lang w:val="pt-BR"/>
              </w:rPr>
              <w:t>BizTalk Server 2006 R2 Enterprise Edition</w:t>
            </w:r>
          </w:p>
        </w:tc>
      </w:tr>
      <w:tr w:rsidR="008B1196" w:rsidRPr="00EB4D74" w:rsidTr="00EA30FC">
        <w:tc>
          <w:tcPr>
            <w:tcW w:w="3960" w:type="dxa"/>
          </w:tcPr>
          <w:p w:rsidR="008B1196" w:rsidRPr="00EB4D74" w:rsidRDefault="008B1196" w:rsidP="00EA30FC">
            <w:pPr>
              <w:ind w:left="252"/>
              <w:rPr>
                <w:rFonts w:cs="Tahoma"/>
                <w:szCs w:val="20"/>
              </w:rPr>
            </w:pPr>
            <w:r w:rsidRPr="00EB4D74">
              <w:rPr>
                <w:rFonts w:cs="Tahoma"/>
                <w:szCs w:val="20"/>
                <w:lang w:val="pt-BR"/>
              </w:rPr>
              <w:t>BizTalk RosettaNet Enterprise</w:t>
            </w:r>
          </w:p>
        </w:tc>
        <w:tc>
          <w:tcPr>
            <w:tcW w:w="4140" w:type="dxa"/>
          </w:tcPr>
          <w:p w:rsidR="008B1196" w:rsidRPr="00EB4D74" w:rsidRDefault="008B1196" w:rsidP="00EA30FC">
            <w:pPr>
              <w:ind w:left="342"/>
              <w:rPr>
                <w:rFonts w:cs="Tahoma"/>
                <w:szCs w:val="20"/>
              </w:rPr>
            </w:pPr>
            <w:r w:rsidRPr="00EB4D74">
              <w:rPr>
                <w:rFonts w:cs="Tahoma"/>
                <w:szCs w:val="20"/>
                <w:lang w:val="pt-BR"/>
              </w:rPr>
              <w:t>BizTalk Server 2006 R2 Enterprise Edition</w:t>
            </w:r>
          </w:p>
        </w:tc>
      </w:tr>
      <w:tr w:rsidR="008B1196" w:rsidRPr="00EB4D74" w:rsidTr="00EA30FC">
        <w:tc>
          <w:tcPr>
            <w:tcW w:w="3960" w:type="dxa"/>
          </w:tcPr>
          <w:p w:rsidR="008B1196" w:rsidRPr="00EB4D74" w:rsidRDefault="008B1196" w:rsidP="00EA30FC">
            <w:pPr>
              <w:ind w:left="252"/>
              <w:rPr>
                <w:rFonts w:cs="Tahoma"/>
                <w:szCs w:val="20"/>
              </w:rPr>
            </w:pPr>
            <w:r w:rsidRPr="00EB4D74">
              <w:rPr>
                <w:rFonts w:cs="Tahoma"/>
                <w:szCs w:val="20"/>
                <w:lang w:val="pt-BR"/>
              </w:rPr>
              <w:t>BizTalk SWIFT Enterprise</w:t>
            </w:r>
          </w:p>
        </w:tc>
        <w:tc>
          <w:tcPr>
            <w:tcW w:w="4140" w:type="dxa"/>
          </w:tcPr>
          <w:p w:rsidR="008B1196" w:rsidRPr="00EB4D74" w:rsidRDefault="008B1196" w:rsidP="00EA30FC">
            <w:pPr>
              <w:ind w:left="342"/>
              <w:rPr>
                <w:rFonts w:cs="Tahoma"/>
                <w:szCs w:val="20"/>
              </w:rPr>
            </w:pPr>
            <w:r w:rsidRPr="00EB4D74">
              <w:rPr>
                <w:rFonts w:cs="Tahoma"/>
                <w:szCs w:val="20"/>
                <w:lang w:val="pt-BR"/>
              </w:rPr>
              <w:t>BizTalk Server 2006 R2 Enterprise Edition</w:t>
            </w:r>
          </w:p>
        </w:tc>
      </w:tr>
    </w:tbl>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lang w:val="pt-BR"/>
        </w:rPr>
        <w:t>BizTalk RFID Mobile e BizTalk RFID Mobile Standards Pack</w:t>
      </w:r>
    </w:p>
    <w:p w:rsidR="008B1196" w:rsidRPr="00EB4D74" w:rsidRDefault="008B1196" w:rsidP="008B1196">
      <w:pPr>
        <w:ind w:left="720"/>
        <w:rPr>
          <w:rFonts w:cs="Tahoma"/>
          <w:lang w:val="it-IT"/>
        </w:rPr>
      </w:pPr>
      <w:r w:rsidRPr="00EB4D74">
        <w:rPr>
          <w:rFonts w:cs="Tahoma"/>
          <w:lang w:val="pt-BR"/>
        </w:rPr>
        <w:t>Os clientes com licenças do Biz Talk Server Enterprise Edition com cobertura do Software Assurance ativa a partir de 31 de outubro de 2008 estão qualificados para usar o BizTalk RFID Mobile e o BizTalk RFID Standards Pack. O uso do referido software está sujeito aos direitos de uso do BizTalk Server 2006 R2 Enterprise Edition. O direito do cliente de usar esse componente se tornará perpétuo quando seu direito de usar o BizTalk Server Enterprise Edition se tornar perpétuo.</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rPr>
      </w:pPr>
      <w:bookmarkStart w:id="1187" w:name="_Toc336338292"/>
      <w:bookmarkStart w:id="1188" w:name="Srv_31BizTalk09StandEd"/>
      <w:bookmarkStart w:id="1189" w:name="Srv_28BizTalkSvr2009StandEd"/>
      <w:bookmarkStart w:id="1190" w:name="_Toc342914926"/>
      <w:bookmarkEnd w:id="1187"/>
      <w:bookmarkEnd w:id="1188"/>
      <w:bookmarkEnd w:id="1189"/>
      <w:r w:rsidRPr="00EB4D74">
        <w:rPr>
          <w:rFonts w:ascii="Tahoma" w:hAnsi="Tahoma" w:cs="Tahoma"/>
          <w:caps/>
          <w:color w:val="F66400"/>
          <w:sz w:val="22"/>
          <w:vertAlign w:val="superscript"/>
          <w:lang w:val="pt-BR"/>
        </w:rPr>
        <w:t xml:space="preserve">31 </w:t>
      </w:r>
      <w:r w:rsidRPr="00EB4D74">
        <w:rPr>
          <w:rFonts w:ascii="Tahoma" w:hAnsi="Tahoma" w:cs="Tahoma"/>
          <w:color w:val="F66400"/>
          <w:sz w:val="22"/>
          <w:lang w:val="pt-BR"/>
        </w:rPr>
        <w:t>BizTalk</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Server 2010 Standard Edition</w:t>
      </w:r>
      <w:bookmarkEnd w:id="1190"/>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lang w:val="pt-BR"/>
        </w:rPr>
        <w:t>Direitos de Downgrade</w:t>
      </w:r>
    </w:p>
    <w:p w:rsidR="008B1196" w:rsidRPr="00EB4D74" w:rsidRDefault="008B1196" w:rsidP="008B1196">
      <w:pPr>
        <w:ind w:left="720"/>
        <w:rPr>
          <w:rFonts w:cs="Tahoma"/>
        </w:rPr>
      </w:pPr>
      <w:r w:rsidRPr="00EB4D74">
        <w:rPr>
          <w:rFonts w:cs="Tahoma"/>
          <w:lang w:val="pt-BR"/>
        </w:rPr>
        <w:t>Os clientes de licenças por volume com uma licença do BizTalk Server 2009 Standard Edition poderão usar qualquer versão anterior do BizTalk Server Standard Edition, o Host Integration Server (qualquer edição), o Adaptador do BizTalk para MQSeries 1.0, o Adaptador de SAP do BizTalk, o Acelerador do BizTalk para HIPAA Standard Edition, o Acelerador do BizTalk para RosettaNet Standard Edition, o Acelerador do BizTalk para SWIFT Standard Edition e o Acelerador do BizTalk para HL7 Standard Edition.</w:t>
      </w: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spacing w:after="60"/>
        <w:ind w:left="720"/>
        <w:rPr>
          <w:rFonts w:cs="Tahoma"/>
          <w:lang w:val="it-IT"/>
        </w:rPr>
      </w:pPr>
      <w:r w:rsidRPr="00EB4D74">
        <w:rPr>
          <w:rFonts w:cs="Tahoma"/>
          <w:b/>
          <w:lang w:val="pt-BR"/>
        </w:rPr>
        <w:lastRenderedPageBreak/>
        <w:t>Caminho de Migração para os Clientes dos Aceleradores do BizTalk Server Registrados no SA</w:t>
      </w:r>
    </w:p>
    <w:p w:rsidR="008B1196" w:rsidRPr="00EB4D74" w:rsidRDefault="008B1196" w:rsidP="008B1196">
      <w:pPr>
        <w:ind w:left="720"/>
        <w:rPr>
          <w:rFonts w:cs="Tahoma"/>
          <w:lang w:val="pt-BR"/>
        </w:rPr>
      </w:pPr>
      <w:r w:rsidRPr="00EB4D74">
        <w:rPr>
          <w:rFonts w:cs="Tahoma"/>
          <w:szCs w:val="20"/>
          <w:lang w:val="pt-BR"/>
        </w:rPr>
        <w:t xml:space="preserve">Para cada duas (2) licenças de qualquer Acelerador do BizTalk Server listado abaixo que um cliente de Licença por Volume tenha registrado no Software Assurance a partir de 1° de setembro de 2007, o cliente terá permissão de usar a edição correspondente do BizTalk Server 2006 R2 (ou qualquer versão posterior desse produto) em um (1) processador no lugar do Acelerador do BizTalk. O direito do cliente de usar o BizTalk Server 2006 R2 expirará em caso de término ou rescisão do direito do cliente de usar a cópia correspondente do Acelerador do BizTalk. O uso que o cliente fizer do BizTalk Server 2006 R2 de acordo com esta oferta estará sujeito aos direitos de uso desse produto e aos termos e condições do contrato de Licença por Volume do cliente. </w:t>
      </w:r>
      <w:r w:rsidRPr="00EB4D74">
        <w:rPr>
          <w:rFonts w:cs="Tahoma"/>
          <w:lang w:val="pt-BR"/>
        </w:rPr>
        <w:t>Ao final do prazo do Software Assurance para o Acelerador do BizTalk, o cliente poderá renovar a proteção de atualização para o BizTalk Server 2006 R2 no lugar do Acelerador do BizTalk.</w:t>
      </w:r>
    </w:p>
    <w:p w:rsidR="008B1196" w:rsidRPr="00EB4D74" w:rsidRDefault="008B1196" w:rsidP="008B1196">
      <w:pPr>
        <w:rPr>
          <w:rFonts w:cs="Tahoma"/>
          <w:lang w:val="pt-BR"/>
        </w:rPr>
      </w:pPr>
    </w:p>
    <w:tbl>
      <w:tblPr>
        <w:tblW w:w="7787" w:type="dxa"/>
        <w:tblInd w:w="1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8B1196" w:rsidRPr="00EB4D74" w:rsidTr="00EA30FC">
        <w:tc>
          <w:tcPr>
            <w:tcW w:w="3917" w:type="dxa"/>
            <w:shd w:val="clear" w:color="auto" w:fill="FABF8F"/>
          </w:tcPr>
          <w:p w:rsidR="008B1196" w:rsidRPr="00EB4D74" w:rsidRDefault="008B1196" w:rsidP="00EA30FC">
            <w:pPr>
              <w:ind w:left="299"/>
              <w:rPr>
                <w:rFonts w:cs="Tahoma"/>
                <w:b/>
                <w:szCs w:val="20"/>
              </w:rPr>
            </w:pPr>
            <w:r w:rsidRPr="00EB4D74">
              <w:rPr>
                <w:rFonts w:cs="Tahoma"/>
                <w:b/>
                <w:szCs w:val="20"/>
                <w:lang w:val="pt-BR"/>
              </w:rPr>
              <w:t>Acelerador do BizTalk</w:t>
            </w:r>
          </w:p>
        </w:tc>
        <w:tc>
          <w:tcPr>
            <w:tcW w:w="3870" w:type="dxa"/>
            <w:shd w:val="clear" w:color="auto" w:fill="FABF8F"/>
          </w:tcPr>
          <w:p w:rsidR="008B1196" w:rsidRPr="00EB4D74" w:rsidRDefault="008B1196" w:rsidP="00EA30FC">
            <w:pPr>
              <w:ind w:left="252"/>
              <w:rPr>
                <w:rFonts w:cs="Tahoma"/>
                <w:b/>
                <w:szCs w:val="20"/>
              </w:rPr>
            </w:pPr>
            <w:r w:rsidRPr="00EB4D74">
              <w:rPr>
                <w:rFonts w:cs="Tahoma"/>
                <w:b/>
                <w:szCs w:val="20"/>
                <w:lang w:val="pt-BR"/>
              </w:rPr>
              <w:t>Qualificação do Software Assurance</w:t>
            </w:r>
          </w:p>
        </w:tc>
      </w:tr>
      <w:tr w:rsidR="008B1196" w:rsidRPr="00EB4D74" w:rsidTr="00EA30FC">
        <w:tc>
          <w:tcPr>
            <w:tcW w:w="3917" w:type="dxa"/>
          </w:tcPr>
          <w:p w:rsidR="008B1196" w:rsidRPr="00EB4D74" w:rsidRDefault="008B1196" w:rsidP="00EA30FC">
            <w:pPr>
              <w:ind w:left="299"/>
              <w:rPr>
                <w:rFonts w:cs="Tahoma"/>
                <w:szCs w:val="20"/>
              </w:rPr>
            </w:pPr>
            <w:r w:rsidRPr="00EB4D74">
              <w:rPr>
                <w:rFonts w:cs="Tahoma"/>
                <w:szCs w:val="20"/>
                <w:lang w:val="pt-BR"/>
              </w:rPr>
              <w:t>BizTalk HIPAA Standard</w:t>
            </w:r>
          </w:p>
        </w:tc>
        <w:tc>
          <w:tcPr>
            <w:tcW w:w="3870" w:type="dxa"/>
          </w:tcPr>
          <w:p w:rsidR="008B1196" w:rsidRPr="00EB4D74" w:rsidRDefault="008B1196" w:rsidP="00EA30FC">
            <w:pPr>
              <w:ind w:left="252"/>
              <w:rPr>
                <w:rFonts w:cs="Tahoma"/>
                <w:szCs w:val="20"/>
              </w:rPr>
            </w:pPr>
            <w:r w:rsidRPr="00EB4D74">
              <w:rPr>
                <w:rFonts w:cs="Tahoma"/>
                <w:szCs w:val="20"/>
                <w:lang w:val="pt-BR"/>
              </w:rPr>
              <w:t>BizTalk Server 2006 R2 Standard Edition</w:t>
            </w:r>
          </w:p>
        </w:tc>
      </w:tr>
      <w:tr w:rsidR="008B1196" w:rsidRPr="00EB4D74" w:rsidTr="00EA30FC">
        <w:tc>
          <w:tcPr>
            <w:tcW w:w="3917" w:type="dxa"/>
          </w:tcPr>
          <w:p w:rsidR="008B1196" w:rsidRPr="00EB4D74" w:rsidRDefault="008B1196" w:rsidP="00EA30FC">
            <w:pPr>
              <w:ind w:left="299"/>
              <w:rPr>
                <w:rFonts w:cs="Tahoma"/>
                <w:szCs w:val="20"/>
              </w:rPr>
            </w:pPr>
            <w:r w:rsidRPr="00EB4D74">
              <w:rPr>
                <w:rFonts w:cs="Tahoma"/>
                <w:szCs w:val="20"/>
                <w:lang w:val="pt-BR"/>
              </w:rPr>
              <w:t>BizTalk HL7 Standard</w:t>
            </w:r>
          </w:p>
        </w:tc>
        <w:tc>
          <w:tcPr>
            <w:tcW w:w="3870" w:type="dxa"/>
          </w:tcPr>
          <w:p w:rsidR="008B1196" w:rsidRPr="00EB4D74" w:rsidRDefault="008B1196" w:rsidP="00EA30FC">
            <w:pPr>
              <w:ind w:left="252"/>
              <w:rPr>
                <w:rFonts w:cs="Tahoma"/>
                <w:szCs w:val="20"/>
              </w:rPr>
            </w:pPr>
            <w:r w:rsidRPr="00EB4D74">
              <w:rPr>
                <w:rFonts w:cs="Tahoma"/>
                <w:szCs w:val="20"/>
                <w:lang w:val="pt-BR"/>
              </w:rPr>
              <w:t>BizTalk Server 2006 R2 Standard Edition</w:t>
            </w:r>
          </w:p>
        </w:tc>
      </w:tr>
      <w:tr w:rsidR="008B1196" w:rsidRPr="00EB4D74" w:rsidTr="00EA30FC">
        <w:tc>
          <w:tcPr>
            <w:tcW w:w="3917" w:type="dxa"/>
          </w:tcPr>
          <w:p w:rsidR="008B1196" w:rsidRPr="00EB4D74" w:rsidRDefault="008B1196" w:rsidP="00EA30FC">
            <w:pPr>
              <w:ind w:left="299"/>
              <w:rPr>
                <w:rFonts w:cs="Tahoma"/>
                <w:szCs w:val="20"/>
              </w:rPr>
            </w:pPr>
            <w:r w:rsidRPr="00EB4D74">
              <w:rPr>
                <w:rFonts w:cs="Tahoma"/>
                <w:szCs w:val="20"/>
                <w:lang w:val="pt-BR"/>
              </w:rPr>
              <w:t>BizTalk RosettaNet Standard</w:t>
            </w:r>
          </w:p>
        </w:tc>
        <w:tc>
          <w:tcPr>
            <w:tcW w:w="3870" w:type="dxa"/>
          </w:tcPr>
          <w:p w:rsidR="008B1196" w:rsidRPr="00EB4D74" w:rsidRDefault="008B1196" w:rsidP="00EA30FC">
            <w:pPr>
              <w:ind w:left="252"/>
              <w:rPr>
                <w:rFonts w:cs="Tahoma"/>
                <w:szCs w:val="20"/>
              </w:rPr>
            </w:pPr>
            <w:r w:rsidRPr="00EB4D74">
              <w:rPr>
                <w:rFonts w:cs="Tahoma"/>
                <w:szCs w:val="20"/>
                <w:lang w:val="pt-BR"/>
              </w:rPr>
              <w:t>BizTalk Server 2006 R2 Standard Edition</w:t>
            </w:r>
          </w:p>
        </w:tc>
      </w:tr>
      <w:tr w:rsidR="008B1196" w:rsidRPr="00EB4D74" w:rsidTr="00EA30FC">
        <w:tc>
          <w:tcPr>
            <w:tcW w:w="3917" w:type="dxa"/>
          </w:tcPr>
          <w:p w:rsidR="008B1196" w:rsidRPr="00EB4D74" w:rsidRDefault="008B1196" w:rsidP="00EA30FC">
            <w:pPr>
              <w:ind w:left="299"/>
              <w:rPr>
                <w:rFonts w:cs="Tahoma"/>
                <w:szCs w:val="20"/>
              </w:rPr>
            </w:pPr>
            <w:r w:rsidRPr="00EB4D74">
              <w:rPr>
                <w:rFonts w:cs="Tahoma"/>
                <w:szCs w:val="20"/>
                <w:lang w:val="pt-BR"/>
              </w:rPr>
              <w:t>BizTalk SWIFT Standard</w:t>
            </w:r>
          </w:p>
        </w:tc>
        <w:tc>
          <w:tcPr>
            <w:tcW w:w="3870" w:type="dxa"/>
          </w:tcPr>
          <w:p w:rsidR="008B1196" w:rsidRPr="00EB4D74" w:rsidRDefault="008B1196" w:rsidP="00EA30FC">
            <w:pPr>
              <w:ind w:left="252"/>
              <w:rPr>
                <w:rFonts w:cs="Tahoma"/>
                <w:szCs w:val="20"/>
              </w:rPr>
            </w:pPr>
            <w:r w:rsidRPr="00EB4D74">
              <w:rPr>
                <w:rFonts w:cs="Tahoma"/>
                <w:szCs w:val="20"/>
                <w:lang w:val="pt-BR"/>
              </w:rPr>
              <w:t>BizTalk Server 2006 R2 Standard Edition</w:t>
            </w:r>
          </w:p>
        </w:tc>
      </w:tr>
    </w:tbl>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lang w:val="pt-BR"/>
        </w:rPr>
        <w:t>BizTalk RFID Mobile e RFID Mobile Standards Pack</w:t>
      </w:r>
    </w:p>
    <w:p w:rsidR="008B1196" w:rsidRPr="00EB4D74" w:rsidRDefault="008B1196" w:rsidP="008B1196">
      <w:pPr>
        <w:ind w:left="720"/>
        <w:rPr>
          <w:rFonts w:cs="Tahoma"/>
          <w:lang w:val="it-IT"/>
        </w:rPr>
      </w:pPr>
      <w:r w:rsidRPr="00EB4D74">
        <w:rPr>
          <w:rFonts w:cs="Tahoma"/>
          <w:lang w:val="pt-BR"/>
        </w:rPr>
        <w:t>Os clientes com licenças do Biz Talk Server Standard Edition com cobertura do Software Assurance ativa a partir de 31 de outubro de 2008 estão qualificados para usar o BizTalk RFID Mobile e o BizTalk RFID Standards Pack. O uso do referido software está sujeito aos direitos de uso do BizTalk Server 2006 R2 Standard Edition. O direito do cliente de usar esse componente se tornará perpétuo quando seu direito de usar o BizTalk Server Standard Edition se tornar perpétuo.</w:t>
      </w:r>
    </w:p>
    <w:p w:rsidR="008B1196" w:rsidRPr="00EB4D74" w:rsidRDefault="008B1196" w:rsidP="008B1196">
      <w:pPr>
        <w:ind w:left="540"/>
        <w:rPr>
          <w:rFonts w:cs="Tahoma"/>
          <w:lang w:val="it-IT"/>
        </w:rPr>
      </w:pPr>
    </w:p>
    <w:p w:rsidR="008B1196" w:rsidRPr="00EB4D74" w:rsidRDefault="008B1196" w:rsidP="008B1196">
      <w:pPr>
        <w:ind w:left="540"/>
        <w:rPr>
          <w:rFonts w:cs="Tahoma"/>
          <w:lang w:val="it-IT"/>
        </w:rPr>
      </w:pPr>
    </w:p>
    <w:p w:rsidR="008B1196" w:rsidRPr="00EB4D74" w:rsidRDefault="008B1196" w:rsidP="008B1196">
      <w:pPr>
        <w:pStyle w:val="Heading3"/>
        <w:ind w:left="270" w:hanging="270"/>
        <w:rPr>
          <w:rFonts w:ascii="Tahoma" w:hAnsi="Tahoma" w:cs="Tahoma"/>
          <w:lang w:val="it-IT"/>
        </w:rPr>
      </w:pPr>
      <w:bookmarkStart w:id="1191" w:name="_Toc336338293"/>
      <w:bookmarkStart w:id="1192" w:name="Srv_35BusinessIntellApp2012"/>
      <w:bookmarkStart w:id="1193" w:name="Srv_35CoreCALBridgeWinIntune"/>
      <w:bookmarkStart w:id="1194" w:name="_Toc342914927"/>
      <w:bookmarkEnd w:id="1191"/>
      <w:bookmarkEnd w:id="1192"/>
      <w:bookmarkEnd w:id="1193"/>
      <w:r w:rsidRPr="00EB4D74">
        <w:rPr>
          <w:rFonts w:ascii="Tahoma" w:hAnsi="Tahoma" w:cs="Tahoma"/>
          <w:caps/>
          <w:color w:val="F66400"/>
          <w:sz w:val="22"/>
          <w:vertAlign w:val="superscript"/>
          <w:lang w:val="pt-BR"/>
        </w:rPr>
        <w:t xml:space="preserve">32 </w:t>
      </w:r>
      <w:r w:rsidRPr="00EB4D74">
        <w:rPr>
          <w:rFonts w:ascii="Tahoma" w:hAnsi="Tahoma" w:cs="Tahoma"/>
          <w:color w:val="F66400"/>
          <w:sz w:val="22"/>
          <w:lang w:val="pt-BR"/>
        </w:rPr>
        <w:t>Business Intelligence Appliance 2012</w:t>
      </w:r>
      <w:bookmarkEnd w:id="1194"/>
    </w:p>
    <w:p w:rsidR="008B1196" w:rsidRPr="00EB4D74" w:rsidRDefault="008B1196" w:rsidP="008B1196">
      <w:pPr>
        <w:rPr>
          <w:rFonts w:cs="Tahoma"/>
          <w:lang w:val="it-IT"/>
        </w:rPr>
      </w:pPr>
    </w:p>
    <w:p w:rsidR="008B1196" w:rsidRPr="00EB4D74" w:rsidRDefault="008B1196" w:rsidP="008B1196">
      <w:pPr>
        <w:ind w:left="720"/>
        <w:rPr>
          <w:rFonts w:cs="Tahoma"/>
          <w:lang w:val="pt-BR"/>
        </w:rPr>
      </w:pPr>
      <w:r w:rsidRPr="00EB4D74">
        <w:rPr>
          <w:rFonts w:cs="Tahoma"/>
          <w:szCs w:val="18"/>
          <w:lang w:val="pt-BR"/>
        </w:rPr>
        <w:t xml:space="preserve">O software Business Intelligence Appliance 2012, que incorpora o SQL Server 2008 R2 e SharePoint Server 2010, está disponível somente nas configurações de hardware e software aprovadas pela Microsoft. Não há suporte para o uso do software em outras configurações e, nesse caso, o desempenho poderá afetado. </w:t>
      </w:r>
      <w:r w:rsidRPr="00EB4D74">
        <w:rPr>
          <w:rFonts w:cs="Tahoma"/>
          <w:lang w:val="pt-BR"/>
        </w:rPr>
        <w:t xml:space="preserve">Para obter mais informações, visite o site </w:t>
      </w:r>
      <w:hyperlink r:id="rId31" w:tooltip="http://www.microsoft.com/sqlserver/en/us/get-sql-server/how-to-buy.aspx" w:history="1">
        <w:r w:rsidRPr="00EB4D74">
          <w:rPr>
            <w:rStyle w:val="Hyperlink"/>
            <w:rFonts w:cs="Tahoma"/>
            <w:lang w:val="pt-BR"/>
          </w:rPr>
          <w:t>http://www.microsoft.com/sqlserver/en/us/get-sql-server/how-to-buy.aspx</w:t>
        </w:r>
      </w:hyperlink>
      <w:r w:rsidRPr="00EB4D74">
        <w:rPr>
          <w:rFonts w:cs="Tahoma"/>
          <w:lang w:val="pt-BR"/>
        </w:rPr>
        <w:t>.</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3"/>
        <w:ind w:left="243" w:hanging="243"/>
        <w:rPr>
          <w:rFonts w:ascii="Tahoma" w:hAnsi="Tahoma" w:cs="Tahoma"/>
        </w:rPr>
      </w:pPr>
      <w:bookmarkStart w:id="1195" w:name="_Toc336338294"/>
      <w:bookmarkStart w:id="1196" w:name="_33_Bridge_do"/>
      <w:bookmarkStart w:id="1197" w:name="_Toc342914928"/>
      <w:bookmarkEnd w:id="1195"/>
      <w:bookmarkEnd w:id="1196"/>
      <w:r w:rsidRPr="00EB4D74">
        <w:rPr>
          <w:rFonts w:ascii="Tahoma" w:hAnsi="Tahoma" w:cs="Tahoma"/>
          <w:caps/>
          <w:color w:val="F66400"/>
          <w:sz w:val="22"/>
          <w:vertAlign w:val="superscript"/>
          <w:lang w:val="pt-BR"/>
        </w:rPr>
        <w:t>33</w:t>
      </w:r>
      <w:r w:rsidRPr="00EB4D74">
        <w:rPr>
          <w:rFonts w:ascii="Tahoma" w:hAnsi="Tahoma" w:cs="Tahoma"/>
          <w:caps/>
          <w:color w:val="F66400"/>
          <w:sz w:val="22"/>
          <w:lang w:val="pt-BR"/>
        </w:rPr>
        <w:t xml:space="preserve"> </w:t>
      </w:r>
      <w:r w:rsidRPr="00EB4D74">
        <w:rPr>
          <w:rFonts w:ascii="Tahoma" w:hAnsi="Tahoma"/>
          <w:color w:val="F66400"/>
          <w:sz w:val="22"/>
        </w:rPr>
        <w:t>Bridge do Pacote de CALs Principais para Office 365, Bridge do Pacote de CALs Principais para Office 365 e Windows Intune e Bridge do Pacote de CALs Principais para Windows Intune</w:t>
      </w:r>
      <w:bookmarkEnd w:id="1197"/>
    </w:p>
    <w:p w:rsidR="008B1196" w:rsidRPr="00EB4D74" w:rsidRDefault="008B1196" w:rsidP="008B1196">
      <w:pPr>
        <w:ind w:left="540"/>
        <w:rPr>
          <w:rFonts w:cs="Tahoma"/>
        </w:rPr>
      </w:pPr>
    </w:p>
    <w:p w:rsidR="008B1196" w:rsidRPr="00EB4D74" w:rsidRDefault="008B1196" w:rsidP="008B1196">
      <w:pPr>
        <w:spacing w:after="60"/>
        <w:ind w:left="720"/>
        <w:rPr>
          <w:rFonts w:cs="Tahoma"/>
          <w:lang w:val="it-IT"/>
        </w:rPr>
      </w:pPr>
      <w:r w:rsidRPr="00EB4D74">
        <w:rPr>
          <w:rFonts w:cs="Tahoma"/>
          <w:b/>
          <w:lang w:val="pt-BR"/>
        </w:rPr>
        <w:t>Definição</w:t>
      </w:r>
    </w:p>
    <w:p w:rsidR="008B1196" w:rsidRPr="00EB4D74" w:rsidRDefault="008B1196" w:rsidP="008B1196">
      <w:pPr>
        <w:ind w:left="720"/>
        <w:rPr>
          <w:rFonts w:cs="Tahoma"/>
          <w:lang w:val="it-IT"/>
        </w:rPr>
      </w:pPr>
      <w:r w:rsidRPr="00EB4D74">
        <w:rPr>
          <w:rFonts w:cs="Tahoma"/>
          <w:lang w:val="pt-BR"/>
        </w:rPr>
        <w:t>“Transição” significa a conversão de uma Licença com o Software Assurance atual para ou de uma licença de assinatura.</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Direitos de Uso Aplicáveis</w:t>
      </w:r>
    </w:p>
    <w:p w:rsidR="008B1196" w:rsidRPr="00EB4D74" w:rsidRDefault="008B1196" w:rsidP="008B1196">
      <w:pPr>
        <w:spacing w:line="276" w:lineRule="auto"/>
        <w:ind w:left="720"/>
        <w:rPr>
          <w:rFonts w:cs="Tahoma"/>
          <w:lang w:val="it-IT"/>
        </w:rPr>
      </w:pPr>
      <w:r w:rsidRPr="00EB4D74">
        <w:rPr>
          <w:rFonts w:cs="Tahoma"/>
          <w:lang w:val="pt-BR"/>
        </w:rPr>
        <w:t>O Bridge do Pacote de CALs é independente da versão e os Direitos de Uso de Produto são determinados pelo status da cobertura do Software Assurance sobre ele. Se a cobertura for interrompida, os direitos de acesso sob as Licenças perpétuas serão determinados com base nos Direitos de Uso de Produto em vigor antes da interrupção. A Licença para um Bridge do Pacote de CALs é uma licença individual que deverá ser cedida a um único usuário ou dispositivo.</w:t>
      </w:r>
    </w:p>
    <w:p w:rsidR="008B1196" w:rsidRPr="00EB4D74" w:rsidRDefault="008B1196" w:rsidP="008B1196">
      <w:pPr>
        <w:spacing w:line="276" w:lineRule="auto"/>
        <w:ind w:left="720"/>
        <w:rPr>
          <w:rFonts w:cs="Tahoma"/>
          <w:lang w:val="it-IT"/>
        </w:rPr>
      </w:pPr>
    </w:p>
    <w:p w:rsidR="008B1196" w:rsidRPr="00EB4D74" w:rsidRDefault="008B1196" w:rsidP="008B1196">
      <w:pPr>
        <w:spacing w:line="276" w:lineRule="auto"/>
        <w:ind w:left="720"/>
        <w:rPr>
          <w:rFonts w:cs="Tahoma"/>
          <w:lang w:val="it-IT"/>
        </w:rPr>
      </w:pPr>
    </w:p>
    <w:p w:rsidR="008B1196" w:rsidRPr="00EB4D74" w:rsidRDefault="008B1196" w:rsidP="008B1196">
      <w:pPr>
        <w:spacing w:line="276" w:lineRule="auto"/>
        <w:ind w:left="720"/>
        <w:rPr>
          <w:rFonts w:cs="Tahoma"/>
          <w:lang w:val="it-IT"/>
        </w:rPr>
      </w:pPr>
    </w:p>
    <w:p w:rsidR="008B1196" w:rsidRPr="00EB4D74" w:rsidRDefault="008B1196" w:rsidP="008B1196">
      <w:pPr>
        <w:spacing w:line="276" w:lineRule="auto"/>
        <w:ind w:left="720"/>
        <w:rPr>
          <w:rFonts w:cs="Tahoma"/>
          <w:lang w:val="it-IT"/>
        </w:rPr>
      </w:pPr>
    </w:p>
    <w:p w:rsidR="008B1196" w:rsidRPr="00EB4D74" w:rsidRDefault="008B1196" w:rsidP="008B1196">
      <w:pPr>
        <w:spacing w:line="276" w:lineRule="auto"/>
        <w:ind w:left="720"/>
        <w:rPr>
          <w:rFonts w:cs="Tahoma"/>
          <w:lang w:val="it-IT"/>
        </w:rPr>
      </w:pPr>
    </w:p>
    <w:p w:rsidR="008B1196" w:rsidRPr="00EB4D74" w:rsidRDefault="008B1196" w:rsidP="008B1196">
      <w:pPr>
        <w:spacing w:line="276" w:lineRule="auto"/>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lastRenderedPageBreak/>
        <w:t>Exigências</w:t>
      </w:r>
    </w:p>
    <w:p w:rsidR="008B1196" w:rsidRPr="00EB4D74" w:rsidRDefault="008B1196" w:rsidP="008B1196">
      <w:pPr>
        <w:spacing w:line="276" w:lineRule="auto"/>
        <w:ind w:left="720"/>
        <w:rPr>
          <w:rFonts w:cs="Tahoma"/>
          <w:lang w:val="pt-BR"/>
        </w:rPr>
      </w:pPr>
      <w:r w:rsidRPr="00EB4D74">
        <w:rPr>
          <w:rFonts w:cs="Tahoma"/>
          <w:lang w:val="pt-BR"/>
        </w:rPr>
        <w:t>Um Bridge do Pacote de CALs poderá ser solicitado durante a Transição de um Pacote de CALs para uma combinação de Produto e Serviço Online comparáveis. Quando uma Transição requerer um Brigde do Pacote de CALs e a Licença de qualificação tiver sido paga integralmente pelo Cliente, não será necessário comprar nenhuma Licença do Bridge do Pacote de CALs. Em vez disso, o Software Assurance poderá ser comprado para o Bridge do Pacote de CALs no aniversário do Registro em que a Transição entrar em vigor. Nessas circunstâncias, a relação de Transição poderá ser de um Bridge do Pacote de CALs com Software Assurance para um Pacote de CALs com Software Assurance e para a mesma Licença de usuário ou dispositivo como o Pacote de CALs qualificado.</w:t>
      </w:r>
    </w:p>
    <w:p w:rsidR="008B1196" w:rsidRPr="00EB4D74" w:rsidRDefault="008B1196" w:rsidP="008B1196">
      <w:pPr>
        <w:spacing w:line="276" w:lineRule="auto"/>
        <w:ind w:left="720"/>
        <w:rPr>
          <w:rFonts w:cs="Tahoma"/>
          <w:lang w:val="pt-BR"/>
        </w:rPr>
      </w:pPr>
    </w:p>
    <w:p w:rsidR="008B1196" w:rsidRPr="00EB4D74" w:rsidRDefault="008B1196" w:rsidP="008B1196">
      <w:pPr>
        <w:spacing w:line="276" w:lineRule="auto"/>
        <w:ind w:left="720"/>
        <w:rPr>
          <w:rFonts w:cs="Tahoma"/>
          <w:lang w:val="it-IT"/>
        </w:rPr>
      </w:pPr>
      <w:r w:rsidRPr="00EB4D74">
        <w:rPr>
          <w:rFonts w:cs="Tahoma"/>
          <w:lang w:val="pt-BR"/>
        </w:rPr>
        <w:t>Um Bridge do Pacote de CALs é um Produto Enterprise e pode ser licenciado em conjunto com o Serviço Online qualificado para atender os requisitos para toda a empresa desse Bridge do Pacote de CALs ou do Pacote de CALs pai.</w:t>
      </w: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8B1196" w:rsidRPr="00EB4D74" w:rsidTr="00EA30FC">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tcPr>
          <w:p w:rsidR="008B1196" w:rsidRPr="00EB4D74" w:rsidRDefault="008B1196" w:rsidP="00EA30FC">
            <w:pPr>
              <w:spacing w:before="80" w:after="200" w:line="276" w:lineRule="auto"/>
              <w:jc w:val="center"/>
              <w:rPr>
                <w:rFonts w:eastAsia="Times New Roman" w:cs="Tahoma"/>
                <w:b/>
                <w:bCs/>
                <w:color w:val="000000"/>
                <w:szCs w:val="18"/>
                <w:lang w:eastAsia="ja-JP"/>
              </w:rPr>
            </w:pPr>
            <w:r w:rsidRPr="00EB4D74">
              <w:rPr>
                <w:rFonts w:cs="Tahoma"/>
                <w:b/>
                <w:lang w:val="pt-BR"/>
              </w:rPr>
              <w:t>Bridge do Pacote de CALs</w:t>
            </w:r>
          </w:p>
        </w:tc>
        <w:tc>
          <w:tcPr>
            <w:tcW w:w="1593" w:type="pct"/>
            <w:tcBorders>
              <w:top w:val="single" w:sz="8" w:space="0" w:color="auto"/>
              <w:left w:val="nil"/>
              <w:bottom w:val="single" w:sz="8" w:space="0" w:color="auto"/>
              <w:right w:val="single" w:sz="8" w:space="0" w:color="auto"/>
            </w:tcBorders>
            <w:shd w:val="clear" w:color="auto" w:fill="FABF8F"/>
            <w:vAlign w:val="center"/>
          </w:tcPr>
          <w:p w:rsidR="008B1196" w:rsidRPr="00EB4D74" w:rsidRDefault="008B1196" w:rsidP="00EA30FC">
            <w:pPr>
              <w:spacing w:before="80" w:after="200" w:line="276" w:lineRule="auto"/>
              <w:jc w:val="center"/>
              <w:rPr>
                <w:rFonts w:eastAsia="Times New Roman" w:cs="Tahoma"/>
                <w:b/>
                <w:bCs/>
                <w:color w:val="000000"/>
                <w:szCs w:val="18"/>
                <w:lang w:eastAsia="ja-JP"/>
              </w:rPr>
            </w:pPr>
            <w:r w:rsidRPr="00EB4D74">
              <w:rPr>
                <w:rFonts w:cs="Tahoma"/>
                <w:b/>
                <w:lang w:val="pt-BR"/>
              </w:rPr>
              <w:t>Pacote de CALs Pai</w:t>
            </w:r>
          </w:p>
        </w:tc>
        <w:tc>
          <w:tcPr>
            <w:tcW w:w="1703" w:type="pct"/>
            <w:tcBorders>
              <w:top w:val="single" w:sz="8" w:space="0" w:color="auto"/>
              <w:left w:val="nil"/>
              <w:bottom w:val="single" w:sz="8" w:space="0" w:color="auto"/>
              <w:right w:val="single" w:sz="8" w:space="0" w:color="auto"/>
            </w:tcBorders>
            <w:shd w:val="clear" w:color="auto" w:fill="FABF8F"/>
          </w:tcPr>
          <w:p w:rsidR="008B1196" w:rsidRPr="00EB4D74" w:rsidRDefault="008B1196" w:rsidP="00EA30FC">
            <w:pPr>
              <w:spacing w:before="80" w:after="200" w:line="276" w:lineRule="auto"/>
              <w:ind w:left="180" w:right="180"/>
              <w:jc w:val="center"/>
              <w:rPr>
                <w:rFonts w:eastAsia="Times New Roman" w:cs="Tahoma"/>
                <w:b/>
                <w:bCs/>
                <w:color w:val="000000"/>
                <w:szCs w:val="18"/>
                <w:lang w:eastAsia="ja-JP"/>
              </w:rPr>
            </w:pPr>
            <w:r w:rsidRPr="00EB4D74">
              <w:rPr>
                <w:rFonts w:cs="Tahoma"/>
                <w:b/>
                <w:lang w:val="pt-BR"/>
              </w:rPr>
              <w:t>Serviços Online Qualificados</w:t>
            </w:r>
          </w:p>
        </w:tc>
      </w:tr>
      <w:tr w:rsidR="008B1196" w:rsidRPr="00EB4D74" w:rsidTr="00EA30FC">
        <w:trPr>
          <w:trHeight w:val="576"/>
        </w:trPr>
        <w:tc>
          <w:tcPr>
            <w:tcW w:w="1704" w:type="pct"/>
            <w:tcBorders>
              <w:top w:val="nil"/>
              <w:left w:val="single" w:sz="8" w:space="0" w:color="auto"/>
              <w:bottom w:val="single" w:sz="8" w:space="0" w:color="auto"/>
              <w:right w:val="single" w:sz="8" w:space="0" w:color="auto"/>
            </w:tcBorders>
          </w:tcPr>
          <w:p w:rsidR="008B1196" w:rsidRPr="00EB4D74" w:rsidRDefault="008B1196" w:rsidP="00EA30FC">
            <w:pPr>
              <w:numPr>
                <w:ilvl w:val="0"/>
                <w:numId w:val="83"/>
              </w:numPr>
              <w:spacing w:before="120" w:after="200" w:line="276" w:lineRule="auto"/>
              <w:ind w:left="679" w:right="181" w:hanging="450"/>
              <w:rPr>
                <w:rFonts w:eastAsia="Times New Roman" w:cs="Tahoma"/>
                <w:color w:val="000000"/>
                <w:szCs w:val="18"/>
              </w:rPr>
            </w:pPr>
            <w:r w:rsidRPr="00EB4D74">
              <w:rPr>
                <w:rFonts w:eastAsia="Times New Roman" w:cs="Tahoma"/>
                <w:color w:val="000000"/>
                <w:szCs w:val="18"/>
                <w:lang w:val="pt-BR"/>
              </w:rPr>
              <w:t>Bridge do Pacote de CALs Principais para Office 365</w:t>
            </w:r>
          </w:p>
        </w:tc>
        <w:tc>
          <w:tcPr>
            <w:tcW w:w="1593" w:type="pct"/>
            <w:tcBorders>
              <w:top w:val="nil"/>
              <w:left w:val="nil"/>
              <w:bottom w:val="single" w:sz="8" w:space="0" w:color="auto"/>
              <w:right w:val="single" w:sz="8" w:space="0" w:color="auto"/>
            </w:tcBorders>
          </w:tcPr>
          <w:p w:rsidR="008B1196" w:rsidRPr="00EB4D74" w:rsidRDefault="008B1196" w:rsidP="00EA30FC">
            <w:pPr>
              <w:numPr>
                <w:ilvl w:val="0"/>
                <w:numId w:val="84"/>
              </w:numPr>
              <w:spacing w:before="120" w:after="200" w:line="276" w:lineRule="auto"/>
              <w:ind w:left="682" w:hanging="450"/>
              <w:rPr>
                <w:rFonts w:eastAsia="Times New Roman" w:cs="Tahoma"/>
                <w:color w:val="000000"/>
                <w:szCs w:val="18"/>
              </w:rPr>
            </w:pPr>
            <w:r w:rsidRPr="00EB4D74">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rsidR="008B1196" w:rsidRPr="00EB4D74" w:rsidRDefault="008B1196" w:rsidP="00EA30FC">
            <w:pPr>
              <w:numPr>
                <w:ilvl w:val="0"/>
                <w:numId w:val="85"/>
              </w:numPr>
              <w:spacing w:before="120" w:after="120" w:line="276" w:lineRule="auto"/>
              <w:ind w:left="676" w:right="187" w:hanging="446"/>
              <w:rPr>
                <w:rFonts w:cs="Tahoma"/>
              </w:rPr>
            </w:pPr>
            <w:r w:rsidRPr="00EB4D74">
              <w:rPr>
                <w:rFonts w:cs="Tahoma"/>
                <w:color w:val="000000"/>
                <w:lang w:val="pt-BR"/>
              </w:rPr>
              <w:t>Office 365 Plano E1 ou</w:t>
            </w:r>
          </w:p>
          <w:p w:rsidR="008B1196" w:rsidRPr="00EB4D74" w:rsidRDefault="008B1196" w:rsidP="00EA30FC">
            <w:pPr>
              <w:numPr>
                <w:ilvl w:val="0"/>
                <w:numId w:val="85"/>
              </w:numPr>
              <w:spacing w:before="120" w:after="120" w:line="276" w:lineRule="auto"/>
              <w:ind w:left="676" w:right="187" w:hanging="446"/>
              <w:rPr>
                <w:rFonts w:cs="Tahoma"/>
              </w:rPr>
            </w:pPr>
            <w:r w:rsidRPr="00EB4D74">
              <w:rPr>
                <w:rFonts w:cs="Tahoma"/>
                <w:color w:val="000000"/>
                <w:lang w:val="pt-BR"/>
              </w:rPr>
              <w:t>Office 365 Plano E2 ou</w:t>
            </w:r>
          </w:p>
          <w:p w:rsidR="008B1196" w:rsidRPr="00EB4D74" w:rsidRDefault="008B1196" w:rsidP="00EA30FC">
            <w:pPr>
              <w:numPr>
                <w:ilvl w:val="0"/>
                <w:numId w:val="85"/>
              </w:numPr>
              <w:spacing w:before="120" w:after="120" w:line="276" w:lineRule="auto"/>
              <w:ind w:left="676" w:right="187" w:hanging="446"/>
              <w:rPr>
                <w:rFonts w:cs="Tahoma"/>
              </w:rPr>
            </w:pPr>
            <w:r w:rsidRPr="00EB4D74">
              <w:rPr>
                <w:rFonts w:cs="Tahoma"/>
                <w:color w:val="000000"/>
                <w:lang w:val="pt-BR"/>
              </w:rPr>
              <w:t>Office 365 Plano E3 ou</w:t>
            </w:r>
          </w:p>
          <w:p w:rsidR="008B1196" w:rsidRPr="00EB4D74" w:rsidRDefault="008B1196" w:rsidP="00EA30FC">
            <w:pPr>
              <w:numPr>
                <w:ilvl w:val="0"/>
                <w:numId w:val="85"/>
              </w:numPr>
              <w:spacing w:before="120" w:after="120" w:line="276" w:lineRule="auto"/>
              <w:ind w:left="676" w:right="187" w:hanging="446"/>
              <w:rPr>
                <w:rFonts w:eastAsia="Times New Roman" w:cs="Tahoma"/>
                <w:color w:val="000000"/>
                <w:szCs w:val="18"/>
              </w:rPr>
            </w:pPr>
            <w:r w:rsidRPr="00EB4D74">
              <w:rPr>
                <w:rFonts w:eastAsia="Times New Roman" w:cs="Tahoma"/>
                <w:color w:val="000000"/>
                <w:szCs w:val="18"/>
                <w:lang w:val="pt-BR"/>
              </w:rPr>
              <w:t>Office 365 Plano E4</w:t>
            </w:r>
          </w:p>
        </w:tc>
      </w:tr>
      <w:tr w:rsidR="008B1196" w:rsidRPr="00EB4D74" w:rsidTr="00EA30FC">
        <w:trPr>
          <w:trHeight w:val="2765"/>
        </w:trPr>
        <w:tc>
          <w:tcPr>
            <w:tcW w:w="1704" w:type="pct"/>
            <w:tcBorders>
              <w:top w:val="nil"/>
              <w:left w:val="single" w:sz="8" w:space="0" w:color="auto"/>
              <w:bottom w:val="single" w:sz="8" w:space="0" w:color="auto"/>
              <w:right w:val="single" w:sz="8" w:space="0" w:color="auto"/>
            </w:tcBorders>
          </w:tcPr>
          <w:p w:rsidR="008B1196" w:rsidRPr="00EB4D74" w:rsidRDefault="008B1196" w:rsidP="00EA30FC">
            <w:pPr>
              <w:numPr>
                <w:ilvl w:val="0"/>
                <w:numId w:val="83"/>
              </w:numPr>
              <w:spacing w:before="120" w:after="200" w:line="276" w:lineRule="auto"/>
              <w:ind w:left="679" w:right="181" w:hanging="450"/>
              <w:rPr>
                <w:rFonts w:eastAsia="Times New Roman" w:cs="Tahoma"/>
                <w:color w:val="000000"/>
                <w:szCs w:val="18"/>
              </w:rPr>
            </w:pPr>
            <w:r w:rsidRPr="00EB4D74">
              <w:rPr>
                <w:rFonts w:eastAsia="Times New Roman" w:cs="Tahoma"/>
                <w:color w:val="000000"/>
                <w:szCs w:val="18"/>
                <w:lang w:val="pt-BR"/>
              </w:rPr>
              <w:t>Bridge do Pacote de CALs Principais para Office 365 e Windows Intune</w:t>
            </w:r>
          </w:p>
        </w:tc>
        <w:tc>
          <w:tcPr>
            <w:tcW w:w="1593" w:type="pct"/>
            <w:tcBorders>
              <w:top w:val="nil"/>
              <w:left w:val="nil"/>
              <w:bottom w:val="single" w:sz="8" w:space="0" w:color="auto"/>
              <w:right w:val="single" w:sz="8" w:space="0" w:color="auto"/>
            </w:tcBorders>
          </w:tcPr>
          <w:p w:rsidR="008B1196" w:rsidRPr="00EB4D74" w:rsidRDefault="008B1196" w:rsidP="00EA30FC">
            <w:pPr>
              <w:numPr>
                <w:ilvl w:val="0"/>
                <w:numId w:val="84"/>
              </w:numPr>
              <w:spacing w:before="120" w:after="200" w:line="276" w:lineRule="auto"/>
              <w:ind w:left="682" w:hanging="450"/>
              <w:rPr>
                <w:rFonts w:eastAsia="Times New Roman" w:cs="Tahoma"/>
                <w:color w:val="000000"/>
                <w:szCs w:val="18"/>
              </w:rPr>
            </w:pPr>
            <w:r w:rsidRPr="00EB4D74">
              <w:rPr>
                <w:rFonts w:eastAsia="Times New Roman" w:cs="Tahoma"/>
                <w:color w:val="000000"/>
                <w:szCs w:val="18"/>
                <w:lang w:val="pt-BR"/>
              </w:rPr>
              <w:t>Core CAL Suite</w:t>
            </w:r>
          </w:p>
        </w:tc>
        <w:tc>
          <w:tcPr>
            <w:tcW w:w="1703" w:type="pct"/>
            <w:tcBorders>
              <w:top w:val="nil"/>
              <w:left w:val="nil"/>
              <w:bottom w:val="single" w:sz="8" w:space="0" w:color="auto"/>
              <w:right w:val="single" w:sz="8" w:space="0" w:color="auto"/>
            </w:tcBorders>
          </w:tcPr>
          <w:p w:rsidR="008B1196" w:rsidRPr="00EB4D74" w:rsidRDefault="008B1196" w:rsidP="00EA30FC">
            <w:pPr>
              <w:numPr>
                <w:ilvl w:val="0"/>
                <w:numId w:val="85"/>
              </w:numPr>
              <w:spacing w:before="120" w:after="120" w:line="276" w:lineRule="auto"/>
              <w:ind w:left="676" w:right="187" w:hanging="446"/>
              <w:rPr>
                <w:rFonts w:cs="Tahoma"/>
              </w:rPr>
            </w:pPr>
            <w:r w:rsidRPr="00EB4D74">
              <w:rPr>
                <w:rFonts w:cs="Tahoma"/>
                <w:color w:val="000000"/>
                <w:lang w:val="pt-BR"/>
              </w:rPr>
              <w:t>Office 365 Plano E1 e Windows Intune ou</w:t>
            </w:r>
          </w:p>
          <w:p w:rsidR="008B1196" w:rsidRPr="00EB4D74" w:rsidRDefault="008B1196" w:rsidP="00EA30FC">
            <w:pPr>
              <w:numPr>
                <w:ilvl w:val="0"/>
                <w:numId w:val="85"/>
              </w:numPr>
              <w:spacing w:before="120" w:after="120" w:line="276" w:lineRule="auto"/>
              <w:ind w:left="676" w:right="187" w:hanging="446"/>
              <w:rPr>
                <w:rFonts w:cs="Tahoma"/>
              </w:rPr>
            </w:pPr>
            <w:r w:rsidRPr="00EB4D74">
              <w:rPr>
                <w:rFonts w:cs="Tahoma"/>
                <w:color w:val="000000"/>
                <w:lang w:val="pt-BR"/>
              </w:rPr>
              <w:t>Office 365 Plano E2 e Windows Intune ou</w:t>
            </w:r>
          </w:p>
          <w:p w:rsidR="008B1196" w:rsidRPr="00EB4D74" w:rsidRDefault="008B1196" w:rsidP="00EA30FC">
            <w:pPr>
              <w:numPr>
                <w:ilvl w:val="0"/>
                <w:numId w:val="85"/>
              </w:numPr>
              <w:spacing w:before="120" w:after="120" w:line="276" w:lineRule="auto"/>
              <w:ind w:left="676" w:right="187" w:hanging="446"/>
              <w:rPr>
                <w:rFonts w:cs="Tahoma"/>
              </w:rPr>
            </w:pPr>
            <w:r w:rsidRPr="00EB4D74">
              <w:rPr>
                <w:rFonts w:cs="Tahoma"/>
                <w:color w:val="000000"/>
                <w:lang w:val="pt-BR"/>
              </w:rPr>
              <w:t>Office 365 Plano E3 e Windows Intune ou</w:t>
            </w:r>
          </w:p>
          <w:p w:rsidR="008B1196" w:rsidRPr="00EB4D74" w:rsidRDefault="008B1196" w:rsidP="00EA30FC">
            <w:pPr>
              <w:numPr>
                <w:ilvl w:val="0"/>
                <w:numId w:val="85"/>
              </w:numPr>
              <w:spacing w:before="120" w:after="120" w:line="276" w:lineRule="auto"/>
              <w:ind w:left="676" w:right="187" w:hanging="446"/>
              <w:rPr>
                <w:rFonts w:eastAsia="Times New Roman" w:cs="Tahoma"/>
                <w:color w:val="000000"/>
                <w:szCs w:val="18"/>
                <w:lang w:val="it-IT"/>
              </w:rPr>
            </w:pPr>
            <w:r w:rsidRPr="00EB4D74">
              <w:rPr>
                <w:rFonts w:eastAsia="Times New Roman" w:cs="Tahoma"/>
                <w:color w:val="000000"/>
                <w:szCs w:val="18"/>
                <w:lang w:val="pt-BR"/>
              </w:rPr>
              <w:t>Office 365 Plano E4 e Windows Intune</w:t>
            </w:r>
          </w:p>
        </w:tc>
      </w:tr>
      <w:tr w:rsidR="008B1196" w:rsidRPr="00EB4D74" w:rsidTr="00EA30FC">
        <w:trPr>
          <w:trHeight w:val="576"/>
        </w:trPr>
        <w:tc>
          <w:tcPr>
            <w:tcW w:w="1704" w:type="pct"/>
            <w:tcBorders>
              <w:top w:val="single" w:sz="8" w:space="0" w:color="auto"/>
              <w:left w:val="single" w:sz="8" w:space="0" w:color="auto"/>
              <w:bottom w:val="single" w:sz="8" w:space="0" w:color="auto"/>
              <w:right w:val="single" w:sz="8" w:space="0" w:color="auto"/>
            </w:tcBorders>
          </w:tcPr>
          <w:p w:rsidR="008B1196" w:rsidRPr="00EB4D74" w:rsidRDefault="008B1196" w:rsidP="00EA30FC">
            <w:pPr>
              <w:numPr>
                <w:ilvl w:val="0"/>
                <w:numId w:val="83"/>
              </w:numPr>
              <w:spacing w:before="120" w:after="200" w:line="276" w:lineRule="auto"/>
              <w:ind w:left="679" w:right="181" w:hanging="450"/>
              <w:rPr>
                <w:rFonts w:eastAsia="Times New Roman" w:cs="Tahoma"/>
                <w:color w:val="000000"/>
                <w:szCs w:val="18"/>
              </w:rPr>
            </w:pPr>
            <w:r w:rsidRPr="00EB4D74">
              <w:rPr>
                <w:rFonts w:cs="Tahoma"/>
                <w:color w:val="000000"/>
                <w:lang w:val="pt-BR"/>
              </w:rPr>
              <w:t>Bridge do Pacote de CALs Principais para Windows Intune</w:t>
            </w:r>
          </w:p>
        </w:tc>
        <w:tc>
          <w:tcPr>
            <w:tcW w:w="1593" w:type="pct"/>
            <w:tcBorders>
              <w:top w:val="single" w:sz="8" w:space="0" w:color="auto"/>
              <w:left w:val="nil"/>
              <w:bottom w:val="single" w:sz="8" w:space="0" w:color="auto"/>
              <w:right w:val="single" w:sz="8" w:space="0" w:color="auto"/>
            </w:tcBorders>
          </w:tcPr>
          <w:p w:rsidR="008B1196" w:rsidRPr="00EB4D74" w:rsidRDefault="008B1196" w:rsidP="00EA30FC">
            <w:pPr>
              <w:numPr>
                <w:ilvl w:val="0"/>
                <w:numId w:val="84"/>
              </w:numPr>
              <w:spacing w:before="120" w:after="200" w:line="276" w:lineRule="auto"/>
              <w:ind w:left="682" w:hanging="450"/>
              <w:rPr>
                <w:rFonts w:eastAsia="Times New Roman" w:cs="Tahoma"/>
                <w:color w:val="000000"/>
                <w:szCs w:val="18"/>
              </w:rPr>
            </w:pPr>
            <w:r w:rsidRPr="00EB4D74">
              <w:rPr>
                <w:rFonts w:cs="Tahoma"/>
                <w:color w:val="000000"/>
                <w:lang w:val="pt-BR"/>
              </w:rPr>
              <w:t>Core CAL Suite</w:t>
            </w:r>
          </w:p>
        </w:tc>
        <w:tc>
          <w:tcPr>
            <w:tcW w:w="1703" w:type="pct"/>
            <w:tcBorders>
              <w:top w:val="single" w:sz="8" w:space="0" w:color="auto"/>
              <w:left w:val="nil"/>
              <w:bottom w:val="single" w:sz="8" w:space="0" w:color="auto"/>
              <w:right w:val="single" w:sz="8" w:space="0" w:color="auto"/>
            </w:tcBorders>
          </w:tcPr>
          <w:p w:rsidR="008B1196" w:rsidRPr="00EB4D74" w:rsidRDefault="008B1196" w:rsidP="00EA30FC">
            <w:pPr>
              <w:numPr>
                <w:ilvl w:val="0"/>
                <w:numId w:val="85"/>
              </w:numPr>
              <w:spacing w:before="120" w:after="120" w:line="276" w:lineRule="auto"/>
              <w:ind w:left="676" w:right="187" w:hanging="446"/>
              <w:rPr>
                <w:rFonts w:eastAsia="Times New Roman" w:cs="Tahoma"/>
                <w:color w:val="000000"/>
                <w:szCs w:val="18"/>
              </w:rPr>
            </w:pPr>
            <w:r w:rsidRPr="00EB4D74">
              <w:rPr>
                <w:rFonts w:cs="Tahoma"/>
                <w:color w:val="000000"/>
                <w:lang w:val="pt-BR"/>
              </w:rPr>
              <w:t>Windows Intune</w:t>
            </w:r>
          </w:p>
        </w:tc>
      </w:tr>
    </w:tbl>
    <w:p w:rsidR="008B1196" w:rsidRPr="00EB4D74" w:rsidRDefault="008B1196" w:rsidP="008B1196">
      <w:pPr>
        <w:pStyle w:val="Heading3"/>
        <w:rPr>
          <w:rFonts w:ascii="Tahoma" w:hAnsi="Tahoma" w:cs="Tahoma"/>
          <w:sz w:val="18"/>
          <w:szCs w:val="18"/>
        </w:rPr>
      </w:pPr>
      <w:bookmarkStart w:id="1198" w:name="_Toc336338295"/>
    </w:p>
    <w:p w:rsidR="008B1196" w:rsidRPr="00EB4D74" w:rsidRDefault="008B1196" w:rsidP="008B1196"/>
    <w:p w:rsidR="008B1196" w:rsidRPr="00EB4D74" w:rsidRDefault="008B1196" w:rsidP="008B1196">
      <w:pPr>
        <w:pStyle w:val="Heading3"/>
        <w:rPr>
          <w:rFonts w:ascii="Tahoma" w:hAnsi="Tahoma" w:cs="Tahoma"/>
        </w:rPr>
      </w:pPr>
      <w:bookmarkStart w:id="1199" w:name="Srv_34CoreCALSuite"/>
      <w:bookmarkStart w:id="1200" w:name="Srv_31CoreCALSuite"/>
      <w:bookmarkStart w:id="1201" w:name="_Toc342914929"/>
      <w:bookmarkEnd w:id="1198"/>
      <w:bookmarkEnd w:id="1199"/>
      <w:bookmarkEnd w:id="1200"/>
      <w:r w:rsidRPr="00EB4D74">
        <w:rPr>
          <w:rFonts w:ascii="Tahoma" w:hAnsi="Tahoma" w:cs="Tahoma"/>
          <w:caps/>
          <w:color w:val="F66400"/>
          <w:sz w:val="22"/>
          <w:vertAlign w:val="superscript"/>
          <w:lang w:val="pt-BR"/>
        </w:rPr>
        <w:t>34</w:t>
      </w:r>
      <w:r w:rsidRPr="00EB4D74">
        <w:rPr>
          <w:rFonts w:ascii="Tahoma" w:hAnsi="Tahoma" w:cs="Tahoma"/>
          <w:color w:val="F66400"/>
          <w:sz w:val="22"/>
          <w:lang w:val="pt-BR"/>
        </w:rPr>
        <w:t xml:space="preserve"> Pacote de CALs Principais</w:t>
      </w:r>
      <w:bookmarkEnd w:id="1201"/>
    </w:p>
    <w:p w:rsidR="008B1196" w:rsidRPr="00EB4D74" w:rsidRDefault="008B1196" w:rsidP="008B1196">
      <w:pPr>
        <w:ind w:firstLine="540"/>
        <w:rPr>
          <w:rFonts w:cs="Tahoma"/>
          <w:sz w:val="16"/>
          <w:szCs w:val="16"/>
        </w:rPr>
      </w:pPr>
    </w:p>
    <w:p w:rsidR="008B1196" w:rsidRPr="00EB4D74" w:rsidRDefault="008B1196" w:rsidP="008B1196">
      <w:pPr>
        <w:ind w:left="720"/>
        <w:rPr>
          <w:rFonts w:cs="Tahoma"/>
          <w:spacing w:val="-2"/>
          <w:lang w:val="it-IT"/>
        </w:rPr>
      </w:pPr>
      <w:r w:rsidRPr="00EB4D74">
        <w:rPr>
          <w:rFonts w:cs="Tahoma"/>
          <w:spacing w:val="-2"/>
          <w:lang w:val="pt-BR"/>
        </w:rPr>
        <w:t xml:space="preserve">O Pacote de CALs Principais é independente da versão e os direitos de uso de produto são determinados pelo status da cobertura do Software Assurance para o Pacote de CALs Principais. Se a cobertura for interrompida, os direitos de acesso sob as licenças perpétuas serão determinados com base nos direitos de uso de produto em vigor antes da interrupção. A partir de 1° de dezembro de 2012, uma licença para o Pacote de CALs Principais com cobertura do Software Assurance ativa concede direitos equivalentes aos seguintes: </w:t>
      </w:r>
      <w:r w:rsidRPr="00EB4D74">
        <w:rPr>
          <w:rFonts w:cs="Tahoma"/>
          <w:color w:val="000000"/>
          <w:spacing w:val="-2"/>
          <w:lang w:val="pt-BR"/>
        </w:rPr>
        <w:t>CAL do Windows Server 20012, CAL Padrão do Exchange Server 2013, CAL Padrão do Lync Server 2013, CAL Padrão do SharePoint</w:t>
      </w:r>
      <w:r w:rsidRPr="00EB4D74">
        <w:rPr>
          <w:rFonts w:cs="Tahoma"/>
          <w:spacing w:val="-2"/>
          <w:lang w:val="pt-BR"/>
        </w:rPr>
        <w:t xml:space="preserve"> Server 2013, Licença de Gerenciamento de Cliente do System Center 2012 Configuration Manager e System Center 2012 Endpoint Protection</w:t>
      </w:r>
      <w:r w:rsidRPr="00EB4D74">
        <w:rPr>
          <w:rFonts w:cs="Tahoma"/>
          <w:color w:val="000000"/>
          <w:spacing w:val="-2"/>
          <w:lang w:val="pt-BR"/>
        </w:rPr>
        <w:t>. Uma licença para o Core CAL Suite é uma licença individual que deverá ser cedida a um único usuário ou dispositivo. Conforme disposto no contrato da licença por volume, os clientes não poderão separar os direitos sob o Core CAL Suite para permitir que dois ou mais usuários ou dispositivos acessem seus diversos componentes ao mesmo tempo.</w:t>
      </w:r>
    </w:p>
    <w:p w:rsidR="008B1196" w:rsidRPr="00EB4D74" w:rsidRDefault="008B1196" w:rsidP="008B1196">
      <w:pPr>
        <w:spacing w:after="60"/>
        <w:ind w:left="720"/>
        <w:rPr>
          <w:rFonts w:cs="Tahoma"/>
        </w:rPr>
      </w:pPr>
      <w:r w:rsidRPr="00EB4D74">
        <w:rPr>
          <w:rFonts w:cs="Tahoma"/>
          <w:b/>
          <w:color w:val="000000"/>
          <w:lang w:val="pt-BR"/>
        </w:rPr>
        <w:lastRenderedPageBreak/>
        <w:t>CALs Somente para Aluno (Licença Academic Open e Academic Select)</w:t>
      </w:r>
    </w:p>
    <w:p w:rsidR="008B1196" w:rsidRPr="00EB4D74" w:rsidRDefault="008B1196" w:rsidP="008B1196">
      <w:pPr>
        <w:ind w:left="720"/>
        <w:rPr>
          <w:rFonts w:cs="Tahoma"/>
        </w:rPr>
      </w:pPr>
      <w:r w:rsidRPr="00EB4D74">
        <w:rPr>
          <w:rFonts w:cs="Tahoma"/>
          <w:lang w:val="pt-BR"/>
        </w:rPr>
        <w:t>As CALs Somente para Aluno estão restritas a PCs de propriedade de um aluno ou de uma instituição licenciados dedicados a um aluno individual e NÃO se destinam ao uso em laboratórios ou salas de aula.</w:t>
      </w:r>
    </w:p>
    <w:p w:rsidR="008B1196" w:rsidRPr="00EB4D74" w:rsidRDefault="008B1196" w:rsidP="008B1196">
      <w:pPr>
        <w:ind w:left="540"/>
        <w:rPr>
          <w:rFonts w:cs="Tahoma"/>
          <w:sz w:val="16"/>
          <w:szCs w:val="16"/>
        </w:rPr>
      </w:pPr>
    </w:p>
    <w:p w:rsidR="008B1196" w:rsidRPr="00EB4D74" w:rsidRDefault="008B1196" w:rsidP="008B1196">
      <w:pPr>
        <w:ind w:left="900"/>
        <w:rPr>
          <w:rFonts w:cs="Tahoma"/>
          <w:sz w:val="16"/>
          <w:szCs w:val="16"/>
        </w:rPr>
      </w:pPr>
    </w:p>
    <w:p w:rsidR="008B1196" w:rsidRPr="00EB4D74" w:rsidRDefault="008B1196" w:rsidP="008B1196">
      <w:pPr>
        <w:pStyle w:val="Heading3"/>
        <w:rPr>
          <w:rFonts w:ascii="Tahoma" w:hAnsi="Tahoma" w:cs="Tahoma"/>
          <w:lang w:val="it-IT"/>
        </w:rPr>
      </w:pPr>
      <w:bookmarkStart w:id="1202" w:name="_Toc336338296"/>
      <w:bookmarkStart w:id="1203" w:name="Srv_35CoreInfraServerSuiteStd"/>
      <w:bookmarkStart w:id="1204" w:name="Srv_32CoreInfraServerSuiteStd"/>
      <w:bookmarkStart w:id="1205" w:name="Srv_35DynCRMWorkProEnt"/>
      <w:bookmarkStart w:id="1206" w:name="_Toc342914930"/>
      <w:bookmarkEnd w:id="1202"/>
      <w:bookmarkEnd w:id="1203"/>
      <w:bookmarkEnd w:id="1204"/>
      <w:bookmarkEnd w:id="1205"/>
      <w:r w:rsidRPr="00EB4D74">
        <w:rPr>
          <w:rFonts w:ascii="Tahoma" w:hAnsi="Tahoma" w:cs="Tahoma"/>
          <w:caps/>
          <w:color w:val="F66400"/>
          <w:sz w:val="22"/>
          <w:vertAlign w:val="superscript"/>
          <w:lang w:val="pt-BR"/>
        </w:rPr>
        <w:t>35</w:t>
      </w:r>
      <w:r w:rsidRPr="00EB4D74">
        <w:rPr>
          <w:rFonts w:ascii="Tahoma" w:hAnsi="Tahoma" w:cs="Tahoma"/>
          <w:color w:val="F66400"/>
          <w:sz w:val="22"/>
          <w:lang w:val="pt-BR"/>
        </w:rPr>
        <w:t xml:space="preserve"> Core Infrastructure Server Suite Standard</w:t>
      </w:r>
      <w:bookmarkEnd w:id="1206"/>
    </w:p>
    <w:p w:rsidR="008B1196" w:rsidRPr="00EB4D74" w:rsidRDefault="008B1196" w:rsidP="008B1196">
      <w:pPr>
        <w:rPr>
          <w:rFonts w:cs="Tahoma"/>
          <w:sz w:val="16"/>
          <w:szCs w:val="16"/>
          <w:lang w:val="it-IT"/>
        </w:rPr>
      </w:pPr>
    </w:p>
    <w:p w:rsidR="008B1196" w:rsidRPr="00EB4D74" w:rsidRDefault="008B1196" w:rsidP="008B1196">
      <w:pPr>
        <w:spacing w:after="60"/>
        <w:ind w:left="720"/>
        <w:rPr>
          <w:rFonts w:cs="Tahoma"/>
          <w:lang w:val="it-IT"/>
        </w:rPr>
      </w:pPr>
      <w:r w:rsidRPr="00EB4D74">
        <w:rPr>
          <w:rFonts w:cs="Tahoma"/>
          <w:b/>
          <w:lang w:val="pt-BR"/>
        </w:rPr>
        <w:t>Migração para Novo Modelo de Licenciamento</w:t>
      </w:r>
    </w:p>
    <w:p w:rsidR="008B1196" w:rsidRPr="00EB4D74" w:rsidRDefault="008B1196" w:rsidP="008B1196">
      <w:pPr>
        <w:ind w:left="720"/>
        <w:rPr>
          <w:rFonts w:cs="Tahoma"/>
        </w:rPr>
      </w:pPr>
      <w:r w:rsidRPr="00EB4D74">
        <w:rPr>
          <w:rFonts w:cs="Tahoma"/>
          <w:lang w:val="pt-BR"/>
        </w:rPr>
        <w:t>A partir de 1º de abril de 2012, o modelo de licenciamento foi alterado. As licenças adquiridas sob novos registros em vigor a partir de 1º de abril de 2012 podem licenciar até dois processadores físicos.</w:t>
      </w:r>
    </w:p>
    <w:p w:rsidR="008B1196" w:rsidRPr="00EB4D74" w:rsidRDefault="008B1196" w:rsidP="008B1196">
      <w:pPr>
        <w:ind w:left="720"/>
        <w:rPr>
          <w:rFonts w:cs="Tahoma"/>
          <w:sz w:val="16"/>
          <w:szCs w:val="16"/>
        </w:rPr>
      </w:pPr>
    </w:p>
    <w:p w:rsidR="008B1196" w:rsidRPr="00EB4D74" w:rsidRDefault="008B1196" w:rsidP="008B1196">
      <w:pPr>
        <w:ind w:left="720"/>
        <w:rPr>
          <w:rFonts w:cs="Tahoma"/>
          <w:lang w:val="it-IT"/>
        </w:rPr>
      </w:pPr>
      <w:r w:rsidRPr="00EB4D74">
        <w:rPr>
          <w:rFonts w:cs="Tahoma"/>
          <w:lang w:val="pt-BR"/>
        </w:rPr>
        <w:t>Os clientes sob registros existentes a partir de 1º de abril de 2012 (em vigor ou antes de 1º de abril de 2012) podem continuar a fazer adequações (“true-up”) de licenças sob o modelo antigo sob o qual cada licença pode licenciar apenas um processador. Os direitos de migração a seguir se aplicam a licenças para esses clientes:</w:t>
      </w:r>
    </w:p>
    <w:p w:rsidR="008B1196" w:rsidRPr="00EB4D74" w:rsidRDefault="008B1196" w:rsidP="008B1196">
      <w:pPr>
        <w:pStyle w:val="ListParagraph"/>
        <w:contextualSpacing w:val="0"/>
        <w:rPr>
          <w:rFonts w:ascii="Tahoma" w:hAnsi="Tahoma" w:cs="Tahoma"/>
          <w:lang w:val="it-IT"/>
        </w:rPr>
      </w:pPr>
      <w:r w:rsidRPr="00EB4D74">
        <w:rPr>
          <w:rFonts w:ascii="Tahoma" w:hAnsi="Tahoma" w:cs="Tahoma"/>
          <w:sz w:val="18"/>
          <w:lang w:val="it-IT"/>
        </w:rPr>
        <w:t>Para a duração do registro existente, as licenças novas e existentes dos clientes sob o modelo antigo serão consideradas como equivalentes a licenças sob o novo modelo em uma proporção 1: 1. Na renovação, os clientes podem renovar o Software Assurance em licenças sob o novo modelo.</w:t>
      </w:r>
    </w:p>
    <w:p w:rsidR="008B1196" w:rsidRPr="00EB4D74" w:rsidRDefault="008B1196" w:rsidP="008B1196">
      <w:pPr>
        <w:rPr>
          <w:rFonts w:cs="Tahoma"/>
          <w:sz w:val="16"/>
          <w:szCs w:val="16"/>
          <w:lang w:val="it-IT"/>
        </w:rPr>
      </w:pPr>
    </w:p>
    <w:p w:rsidR="008B1196" w:rsidRPr="00EB4D74" w:rsidRDefault="008B1196" w:rsidP="008B1196">
      <w:pPr>
        <w:spacing w:after="60"/>
        <w:ind w:left="720"/>
        <w:rPr>
          <w:rFonts w:cs="Tahoma"/>
          <w:lang w:val="it-IT"/>
        </w:rPr>
      </w:pPr>
      <w:r w:rsidRPr="00EB4D74">
        <w:rPr>
          <w:rFonts w:cs="Tahoma"/>
          <w:b/>
          <w:lang w:val="pt-BR"/>
        </w:rPr>
        <w:t>Liberação da Nova Versão do Windows Server</w:t>
      </w:r>
    </w:p>
    <w:p w:rsidR="008B1196" w:rsidRPr="00EB4D74" w:rsidRDefault="008B1196" w:rsidP="008B1196">
      <w:pPr>
        <w:ind w:left="720"/>
        <w:rPr>
          <w:rFonts w:cs="Tahoma"/>
          <w:lang w:val="it-IT"/>
        </w:rPr>
      </w:pPr>
      <w:r w:rsidRPr="00EB4D74">
        <w:rPr>
          <w:rFonts w:cs="Tahoma"/>
          <w:lang w:val="pt-BR"/>
        </w:rPr>
        <w:t>Os clientes licenciados para o Core Infrastructure Server Suite Standard com Software Assurance ativo a partir de 1º de setembro de 2012 têm os direitos de uso dos seguintes produtos sujeitos aos direitos de uso de produto desses produtos e do Core Infrastructure Server Suite Standard:</w:t>
      </w:r>
    </w:p>
    <w:p w:rsidR="008B1196" w:rsidRPr="00EB4D74" w:rsidRDefault="008B1196" w:rsidP="008B1196">
      <w:pPr>
        <w:ind w:left="720"/>
        <w:rPr>
          <w:rFonts w:cs="Tahoma"/>
          <w:sz w:val="16"/>
          <w:szCs w:val="16"/>
          <w:lang w:val="it-IT"/>
        </w:rPr>
      </w:pPr>
    </w:p>
    <w:p w:rsidR="008B1196" w:rsidRPr="00EB4D74" w:rsidRDefault="008B1196" w:rsidP="008B1196">
      <w:pPr>
        <w:numPr>
          <w:ilvl w:val="0"/>
          <w:numId w:val="73"/>
        </w:numPr>
        <w:tabs>
          <w:tab w:val="left" w:pos="1440"/>
          <w:tab w:val="left" w:pos="3510"/>
        </w:tabs>
        <w:spacing w:after="60"/>
        <w:rPr>
          <w:rFonts w:cs="Tahoma"/>
        </w:rPr>
      </w:pPr>
      <w:r w:rsidRPr="00EB4D74">
        <w:rPr>
          <w:rFonts w:cs="Tahoma"/>
          <w:lang w:val="pt-BR"/>
        </w:rPr>
        <w:t>Windows Server 2012 Standard</w:t>
      </w:r>
    </w:p>
    <w:p w:rsidR="008B1196" w:rsidRPr="00EB4D74" w:rsidRDefault="008B1196" w:rsidP="008B1196">
      <w:pPr>
        <w:numPr>
          <w:ilvl w:val="0"/>
          <w:numId w:val="73"/>
        </w:numPr>
        <w:tabs>
          <w:tab w:val="left" w:pos="1440"/>
          <w:tab w:val="left" w:pos="3510"/>
        </w:tabs>
        <w:spacing w:after="60"/>
        <w:rPr>
          <w:rFonts w:cs="Tahoma"/>
        </w:rPr>
      </w:pPr>
      <w:r w:rsidRPr="00EB4D74">
        <w:rPr>
          <w:rFonts w:cs="Tahoma"/>
          <w:lang w:val="pt-BR"/>
        </w:rPr>
        <w:t>System Center 2012 Standard</w:t>
      </w:r>
    </w:p>
    <w:p w:rsidR="008B1196" w:rsidRPr="00EB4D74" w:rsidRDefault="008B1196" w:rsidP="008B1196">
      <w:pPr>
        <w:tabs>
          <w:tab w:val="left" w:pos="1440"/>
          <w:tab w:val="left" w:pos="3510"/>
        </w:tabs>
        <w:rPr>
          <w:rFonts w:cs="Tahoma"/>
          <w:sz w:val="16"/>
          <w:szCs w:val="16"/>
        </w:rPr>
      </w:pPr>
    </w:p>
    <w:p w:rsidR="008B1196" w:rsidRPr="00EB4D74" w:rsidRDefault="008B1196" w:rsidP="008B1196">
      <w:pPr>
        <w:ind w:left="720"/>
        <w:rPr>
          <w:rFonts w:cs="Tahoma"/>
        </w:rPr>
      </w:pPr>
      <w:r w:rsidRPr="00EB4D74">
        <w:rPr>
          <w:rFonts w:cs="Tahoma"/>
          <w:lang w:val="pt-BR"/>
        </w:rPr>
        <w:t>Para qualquer servidor que esteja devidamente licenciado para Core Infrastructure Server Suite Standard, os clientes podem executar uma instância do Windows Server 2008 R2 Enterprise em vez do Windows Server Standard.</w:t>
      </w:r>
    </w:p>
    <w:p w:rsidR="008B1196" w:rsidRPr="00EB4D74" w:rsidRDefault="008B1196" w:rsidP="008B1196">
      <w:pPr>
        <w:ind w:left="720"/>
        <w:rPr>
          <w:rFonts w:cs="Tahoma"/>
          <w:sz w:val="16"/>
          <w:szCs w:val="16"/>
        </w:rPr>
      </w:pPr>
    </w:p>
    <w:p w:rsidR="008B1196" w:rsidRPr="00EB4D74" w:rsidRDefault="008B1196" w:rsidP="008B1196">
      <w:pPr>
        <w:spacing w:after="60"/>
        <w:ind w:left="720"/>
        <w:rPr>
          <w:rFonts w:cs="Tahoma"/>
        </w:rPr>
      </w:pPr>
      <w:r w:rsidRPr="00EB4D74">
        <w:rPr>
          <w:rFonts w:cs="Tahoma"/>
          <w:b/>
          <w:lang w:val="pt-BR"/>
        </w:rPr>
        <w:t>Oferta de Renovação de Software Assurance para Clientes do Windows Server Standard e System Center Standard e Clientes do Windows Server Enterprise e System Center Standard</w:t>
      </w:r>
    </w:p>
    <w:p w:rsidR="008B1196" w:rsidRPr="00EB4D74" w:rsidRDefault="008B1196" w:rsidP="008B1196">
      <w:pPr>
        <w:ind w:left="720"/>
        <w:rPr>
          <w:rFonts w:cs="Tahoma"/>
        </w:rPr>
      </w:pPr>
      <w:r w:rsidRPr="00EB4D74">
        <w:rPr>
          <w:rFonts w:cs="Tahoma"/>
          <w:lang w:val="pt-BR"/>
        </w:rPr>
        <w:t>Os clientes que possuírem licenças com Software Assurance ativo para todos os produtos da Tabela A poderão, na ocasião do término dessa cobertura, adquirir o Software Assurance para o Core Infrastructure Server Suite Standard sem adquirir a licença básica do Core Infrastructure Server Suite Standard.</w:t>
      </w:r>
    </w:p>
    <w:p w:rsidR="008B1196" w:rsidRPr="00EB4D74" w:rsidRDefault="008B1196" w:rsidP="008B1196">
      <w:pPr>
        <w:ind w:left="720"/>
        <w:rPr>
          <w:rFonts w:cs="Tahoma"/>
          <w:sz w:val="16"/>
          <w:szCs w:val="16"/>
        </w:rPr>
      </w:pPr>
    </w:p>
    <w:tbl>
      <w:tblPr>
        <w:tblW w:w="0" w:type="auto"/>
        <w:tblInd w:w="17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8B1196" w:rsidRPr="00EB4D74" w:rsidTr="00EA30FC">
        <w:tc>
          <w:tcPr>
            <w:tcW w:w="6588" w:type="dxa"/>
            <w:shd w:val="clear" w:color="auto" w:fill="FABF8F"/>
          </w:tcPr>
          <w:p w:rsidR="008B1196" w:rsidRPr="00EB4D74" w:rsidRDefault="008B1196" w:rsidP="00EA30FC">
            <w:pPr>
              <w:tabs>
                <w:tab w:val="left" w:pos="3120"/>
                <w:tab w:val="center" w:pos="3591"/>
              </w:tabs>
              <w:spacing w:after="200" w:line="276" w:lineRule="auto"/>
              <w:jc w:val="center"/>
              <w:rPr>
                <w:rFonts w:eastAsia="Times New Roman" w:cs="Tahoma"/>
                <w:b/>
                <w:szCs w:val="18"/>
              </w:rPr>
            </w:pPr>
            <w:r w:rsidRPr="00EB4D74">
              <w:rPr>
                <w:rFonts w:eastAsia="Times New Roman" w:cs="Tahoma"/>
                <w:b/>
                <w:szCs w:val="18"/>
                <w:lang w:val="pt-BR"/>
              </w:rPr>
              <w:t>Tabela A</w:t>
            </w:r>
          </w:p>
        </w:tc>
      </w:tr>
      <w:tr w:rsidR="008B1196" w:rsidRPr="00EB4D74" w:rsidTr="00EA30FC">
        <w:tc>
          <w:tcPr>
            <w:tcW w:w="6588" w:type="dxa"/>
            <w:vAlign w:val="center"/>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Windows Server Standard</w:t>
            </w:r>
          </w:p>
        </w:tc>
      </w:tr>
      <w:tr w:rsidR="008B1196" w:rsidRPr="00EB4D74" w:rsidTr="00EA30FC">
        <w:tc>
          <w:tcPr>
            <w:tcW w:w="6588" w:type="dxa"/>
            <w:vAlign w:val="center"/>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System Center Standard</w:t>
            </w:r>
          </w:p>
        </w:tc>
      </w:tr>
    </w:tbl>
    <w:p w:rsidR="008B1196" w:rsidRPr="00EB4D74" w:rsidRDefault="008B1196" w:rsidP="008B1196">
      <w:pPr>
        <w:ind w:left="547"/>
        <w:rPr>
          <w:rFonts w:cs="Tahoma"/>
        </w:rPr>
      </w:pPr>
    </w:p>
    <w:p w:rsidR="008B1196" w:rsidRPr="00EB4D74" w:rsidRDefault="008B1196" w:rsidP="008B1196">
      <w:pPr>
        <w:ind w:left="720"/>
        <w:rPr>
          <w:rFonts w:cs="Tahoma"/>
          <w:lang w:val="it-IT"/>
        </w:rPr>
      </w:pPr>
      <w:r w:rsidRPr="00EB4D74">
        <w:rPr>
          <w:rFonts w:eastAsia="Times New Roman" w:cs="Tahoma"/>
          <w:szCs w:val="18"/>
          <w:lang w:val="pt-BR"/>
        </w:rPr>
        <w:t>Para cada conjunto composto de uma de cada das licenças de qualificação na Tabela A acima, os clientes poderão adquirir o Software Assurance para uma licença do Core Infrastructure Server Suite Standard.</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eastAsia="Times New Roman" w:cs="Tahoma"/>
          <w:szCs w:val="18"/>
          <w:lang w:val="pt-BR"/>
        </w:rPr>
        <w:t xml:space="preserve">Os clientes que licenciam e usam o Core Infrastructure Server Suite Standard sob esta oferta não poderão mais usar o software sob as licenças de qualificação. </w:t>
      </w:r>
      <w:r w:rsidRPr="00EB4D74">
        <w:rPr>
          <w:rFonts w:cs="Tahoma"/>
          <w:lang w:val="pt-BR"/>
        </w:rPr>
        <w:t>As Licenças e o Software Assurance adquiridos sob um contrato de assinatura não estão qualificados para essa oferta.</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lang w:val="pt-BR"/>
        </w:rPr>
        <w:t>Step-up do Windows Server Standard ou System Center Standard para Core Infrastructure Server Suite Standard</w:t>
      </w:r>
    </w:p>
    <w:p w:rsidR="008B1196" w:rsidRPr="00EB4D74" w:rsidRDefault="008B1196" w:rsidP="008B1196">
      <w:pPr>
        <w:ind w:left="720"/>
        <w:rPr>
          <w:rFonts w:cs="Tahoma"/>
        </w:rPr>
      </w:pPr>
      <w:r w:rsidRPr="00EB4D74">
        <w:rPr>
          <w:rFonts w:cs="Tahoma"/>
          <w:lang w:val="pt-BR"/>
        </w:rPr>
        <w:t>Os clientes podem fazer step-up do Windows Server Standard ou System Center Standard para o Core Infrastructure Server Suite Standard pela aquisição da licença de Step-up apropriada do Core Infrastructure Server Suite Standard. Os clientes devem ter o Software Assurance ativo para a licença do Windows Server Standard ou System Center Standard para adquirir essa licença de Step-up.</w:t>
      </w:r>
    </w:p>
    <w:p w:rsidR="008B1196" w:rsidRPr="00EB4D74" w:rsidRDefault="008B1196" w:rsidP="008B1196">
      <w:pPr>
        <w:ind w:left="720"/>
        <w:rPr>
          <w:rFonts w:cs="Tahoma"/>
        </w:rPr>
      </w:pPr>
      <w:r w:rsidRPr="00EB4D74">
        <w:rPr>
          <w:rFonts w:cs="Tahoma"/>
          <w:lang w:val="pt-BR"/>
        </w:rPr>
        <w:lastRenderedPageBreak/>
        <w:t>Para cada licença de qualificação do Windows Server Standard que o cliente tiver, ele poderá adquirir uma licença de Step-up do Core Infrastructure Server Suite Standard.</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Para cada licença de qualificação do System Center Standard que o cliente tiver, ele poderá adquirir uma licença de Step-up do Core Infrastructure Server Suite Standard.</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O direito de uso do software pelos clientes sob a licença do Core Infrastructure Server Suite Standard está condicionado ao cumprimento pelos clientes de qualquer obrigação de pagamento remanescente da licença do produto qualificado. A licença do Core Infrastructure Server Suite Standard dos clientes suplanta e substitui a licença básica do produto qualificado.</w:t>
      </w:r>
    </w:p>
    <w:p w:rsidR="008B1196" w:rsidRPr="00EB4D74" w:rsidRDefault="008B1196" w:rsidP="008B1196">
      <w:pPr>
        <w:ind w:left="720"/>
        <w:rPr>
          <w:rFonts w:cs="Tahoma"/>
        </w:rPr>
      </w:pPr>
    </w:p>
    <w:tbl>
      <w:tblPr>
        <w:tblW w:w="8190" w:type="dxa"/>
        <w:tblInd w:w="1205"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8B1196" w:rsidRPr="00EB4D74" w:rsidTr="00EA30FC">
        <w:trPr>
          <w:tblHeader/>
        </w:trPr>
        <w:tc>
          <w:tcPr>
            <w:tcW w:w="4140" w:type="dxa"/>
            <w:tcBorders>
              <w:top w:val="single" w:sz="12" w:space="0" w:color="auto"/>
            </w:tcBorders>
            <w:shd w:val="clear" w:color="auto" w:fill="FABF8F"/>
            <w:tcMar>
              <w:top w:w="0" w:type="dxa"/>
              <w:left w:w="108" w:type="dxa"/>
              <w:bottom w:w="0" w:type="dxa"/>
              <w:right w:w="108" w:type="dxa"/>
            </w:tcMar>
          </w:tcPr>
          <w:p w:rsidR="008B1196" w:rsidRPr="00EB4D74" w:rsidRDefault="008B1196" w:rsidP="00EA30FC">
            <w:pPr>
              <w:spacing w:after="200" w:line="276" w:lineRule="auto"/>
              <w:jc w:val="center"/>
              <w:rPr>
                <w:rFonts w:eastAsia="Times New Roman" w:cs="Tahoma"/>
                <w:b/>
                <w:szCs w:val="18"/>
              </w:rPr>
            </w:pPr>
            <w:r w:rsidRPr="00EB4D74">
              <w:rPr>
                <w:rFonts w:eastAsia="Times New Roman" w:cs="Tahoma"/>
                <w:b/>
                <w:szCs w:val="18"/>
                <w:lang w:val="pt-BR"/>
              </w:rPr>
              <w:t>Produto Qualificado</w:t>
            </w:r>
          </w:p>
        </w:tc>
        <w:tc>
          <w:tcPr>
            <w:tcW w:w="4050" w:type="dxa"/>
            <w:tcBorders>
              <w:top w:val="single" w:sz="12" w:space="0" w:color="auto"/>
            </w:tcBorders>
            <w:shd w:val="clear" w:color="auto" w:fill="FABF8F"/>
            <w:tcMar>
              <w:top w:w="0" w:type="dxa"/>
              <w:left w:w="108" w:type="dxa"/>
              <w:bottom w:w="0" w:type="dxa"/>
              <w:right w:w="108" w:type="dxa"/>
            </w:tcMar>
          </w:tcPr>
          <w:p w:rsidR="008B1196" w:rsidRPr="00EB4D74" w:rsidRDefault="008B1196" w:rsidP="00EA30FC">
            <w:pPr>
              <w:spacing w:after="200" w:line="276" w:lineRule="auto"/>
              <w:jc w:val="center"/>
              <w:rPr>
                <w:rFonts w:eastAsia="Times New Roman" w:cs="Tahoma"/>
                <w:b/>
                <w:szCs w:val="18"/>
              </w:rPr>
            </w:pPr>
            <w:r w:rsidRPr="00EB4D74">
              <w:rPr>
                <w:rFonts w:eastAsia="Times New Roman" w:cs="Tahoma"/>
                <w:b/>
                <w:szCs w:val="18"/>
                <w:lang w:val="pt-BR"/>
              </w:rPr>
              <w:t>Step-up para</w:t>
            </w:r>
          </w:p>
        </w:tc>
      </w:tr>
      <w:tr w:rsidR="008B1196" w:rsidRPr="00EB4D74" w:rsidTr="00EA30FC">
        <w:tc>
          <w:tcPr>
            <w:tcW w:w="4140" w:type="dxa"/>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Windows Server Standard</w:t>
            </w:r>
          </w:p>
        </w:tc>
        <w:tc>
          <w:tcPr>
            <w:tcW w:w="4050" w:type="dxa"/>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lang w:val="fr-FR"/>
              </w:rPr>
            </w:pPr>
            <w:r w:rsidRPr="00EB4D74">
              <w:rPr>
                <w:rFonts w:eastAsia="Times New Roman" w:cs="Tahoma"/>
                <w:szCs w:val="18"/>
                <w:lang w:val="pt-BR"/>
              </w:rPr>
              <w:t>Core Infrastructure Server Suite Standard</w:t>
            </w:r>
          </w:p>
        </w:tc>
      </w:tr>
      <w:tr w:rsidR="008B1196" w:rsidRPr="00EB4D74" w:rsidTr="00EA30FC">
        <w:tc>
          <w:tcPr>
            <w:tcW w:w="4140" w:type="dxa"/>
            <w:tcBorders>
              <w:bottom w:val="single" w:sz="12" w:space="0" w:color="auto"/>
            </w:tcBorders>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rPr>
            </w:pPr>
            <w:r w:rsidRPr="00EB4D74">
              <w:rPr>
                <w:rFonts w:cs="Tahoma"/>
                <w:lang w:val="pt-BR"/>
              </w:rPr>
              <w:t>System Center Standard</w:t>
            </w:r>
          </w:p>
        </w:tc>
        <w:tc>
          <w:tcPr>
            <w:tcW w:w="4050" w:type="dxa"/>
            <w:tcBorders>
              <w:bottom w:val="single" w:sz="12" w:space="0" w:color="auto"/>
            </w:tcBorders>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lang w:val="fr-FR"/>
              </w:rPr>
            </w:pPr>
            <w:r w:rsidRPr="00EB4D74">
              <w:rPr>
                <w:rFonts w:eastAsia="Times New Roman" w:cs="Tahoma"/>
                <w:szCs w:val="18"/>
                <w:lang w:val="pt-BR"/>
              </w:rPr>
              <w:t>Core Infrastructure Server Suite Standard</w:t>
            </w:r>
          </w:p>
        </w:tc>
      </w:tr>
    </w:tbl>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207" w:name="_Toc336338297"/>
      <w:bookmarkStart w:id="1208" w:name="Srv_36CoreInfraServerSuiteEnt"/>
      <w:bookmarkStart w:id="1209" w:name="Srv_33CoreInfrastructureSvrSuiteEnt"/>
      <w:bookmarkStart w:id="1210" w:name="_Toc342914931"/>
      <w:bookmarkEnd w:id="1207"/>
      <w:bookmarkEnd w:id="1208"/>
      <w:bookmarkEnd w:id="1209"/>
      <w:r w:rsidRPr="00EB4D74">
        <w:rPr>
          <w:rFonts w:ascii="Tahoma" w:hAnsi="Tahoma" w:cs="Tahoma"/>
          <w:caps/>
          <w:color w:val="F66400"/>
          <w:sz w:val="22"/>
          <w:vertAlign w:val="superscript"/>
          <w:lang w:val="pt-BR"/>
        </w:rPr>
        <w:t>36</w:t>
      </w:r>
      <w:r w:rsidRPr="00EB4D74">
        <w:rPr>
          <w:rFonts w:ascii="Tahoma" w:hAnsi="Tahoma" w:cs="Tahoma"/>
          <w:color w:val="F66400"/>
          <w:sz w:val="22"/>
          <w:lang w:val="pt-BR"/>
        </w:rPr>
        <w:t xml:space="preserve"> Core Infrastructure Server Suite Enterprise</w:t>
      </w:r>
      <w:bookmarkEnd w:id="1210"/>
    </w:p>
    <w:p w:rsidR="008B1196" w:rsidRPr="00EB4D74" w:rsidRDefault="008B1196" w:rsidP="008B1196">
      <w:pPr>
        <w:rPr>
          <w:rFonts w:cs="Tahoma"/>
        </w:rPr>
      </w:pPr>
    </w:p>
    <w:p w:rsidR="008B1196" w:rsidRPr="00EB4D74" w:rsidRDefault="008B1196" w:rsidP="008B1196">
      <w:pPr>
        <w:ind w:left="720"/>
        <w:rPr>
          <w:rFonts w:cs="Tahoma"/>
          <w:lang w:val="pt-BR"/>
        </w:rPr>
      </w:pPr>
      <w:r w:rsidRPr="00EB4D74">
        <w:rPr>
          <w:rFonts w:eastAsia="Times New Roman" w:cs="Tahoma"/>
          <w:szCs w:val="18"/>
          <w:lang w:val="pt-BR"/>
        </w:rPr>
        <w:t xml:space="preserve">Em 1º de abril de 2012, a Microsoft descontinuará o Core Infrastructure Server Suite Enterprise. Os clientes do Core Infrastructure Server Suite Enterprise com Software Assurance a partir de 1o de abril de 2012 estarão qualificados para uma licença para Core Infrastructure Server Standard para cada licença para Core Infrastructure Server Suite Enterprise com Software Assurance que eles possuem a partir desta data. As licenças para Core Infrastructure Server Suite Standard concedidas por esta oferta incluirão cobertura de Software Assurance que expira no término da cobertura das suas licenças de qualificação do Core Infrastructure Server Suite Enterprise. Os clientes que usam o Core Infrastructure Server Suite Standard sob esta oferta não poderão mais usar o software sob as licenças de qualificação. Esta nota do produto e documentação das licenças de qualificação do cliente são a evidência do seu direito de usar o Core Infrastructure Server Suite Standard sob esta oferta. </w:t>
      </w:r>
      <w:bookmarkStart w:id="1211" w:name="Srv_34CoreInfraSvrSuiteDatacenter"/>
      <w:r w:rsidRPr="00EB4D74">
        <w:rPr>
          <w:rFonts w:cs="Tahoma"/>
          <w:lang w:val="pt-BR"/>
        </w:rPr>
        <w:t>Esse direito expirará em caso de término ou das licenças de qualificação.</w:t>
      </w:r>
    </w:p>
    <w:p w:rsidR="008B1196" w:rsidRPr="00EB4D74" w:rsidRDefault="008B1196" w:rsidP="008B1196">
      <w:pPr>
        <w:rPr>
          <w:rFonts w:cs="Tahoma"/>
          <w:lang w:val="pt-BR"/>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212" w:name="_Toc336338298"/>
      <w:bookmarkStart w:id="1213" w:name="_37_Core_Infrastructure"/>
      <w:bookmarkStart w:id="1214" w:name="_Toc342914932"/>
      <w:bookmarkStart w:id="1215" w:name="Srv_37CoreInfraServerSuiteData"/>
      <w:bookmarkEnd w:id="1211"/>
      <w:bookmarkEnd w:id="1212"/>
      <w:bookmarkEnd w:id="1213"/>
      <w:r w:rsidRPr="00EB4D74">
        <w:rPr>
          <w:rFonts w:ascii="Tahoma" w:hAnsi="Tahoma" w:cs="Tahoma"/>
          <w:caps/>
          <w:color w:val="F66400"/>
          <w:sz w:val="22"/>
          <w:vertAlign w:val="superscript"/>
          <w:lang w:val="pt-BR"/>
        </w:rPr>
        <w:t xml:space="preserve">37 </w:t>
      </w:r>
      <w:r w:rsidRPr="00EB4D74">
        <w:rPr>
          <w:rFonts w:ascii="Tahoma" w:hAnsi="Tahoma" w:cs="Tahoma"/>
          <w:color w:val="F66400"/>
          <w:sz w:val="22"/>
          <w:lang w:val="pt-BR"/>
        </w:rPr>
        <w:t>Core Infrastructure Server Suite Datacenter</w:t>
      </w:r>
      <w:bookmarkEnd w:id="1214"/>
    </w:p>
    <w:bookmarkEnd w:id="1215"/>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r w:rsidRPr="00EB4D74">
        <w:rPr>
          <w:rFonts w:cs="Tahoma"/>
          <w:b/>
          <w:lang w:val="pt-BR"/>
        </w:rPr>
        <w:t>Migração para Nova Metodologia de Licenciamento</w:t>
      </w:r>
    </w:p>
    <w:p w:rsidR="008B1196" w:rsidRPr="00EB4D74" w:rsidRDefault="008B1196" w:rsidP="008B1196">
      <w:pPr>
        <w:ind w:left="720"/>
        <w:rPr>
          <w:rFonts w:cs="Tahoma"/>
        </w:rPr>
      </w:pPr>
      <w:r w:rsidRPr="00EB4D74">
        <w:rPr>
          <w:rFonts w:cs="Tahoma"/>
          <w:lang w:val="pt-BR"/>
        </w:rPr>
        <w:t>A partir de 1º de abril de 2012, o modelo de licenciamento foi alterado. As licenças adquiridas sob novos registros em vigor a partir de 1º de abril de 2012 podem licenciar até dois processadores físicos.</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lang w:val="pt-BR"/>
        </w:rPr>
        <w:t>Os clientes sob registros existentes a partir de 1º de abril de 2012 (em vigor ou antes de 1º de abril de 2012) podem continuar a fazer adequações (“true-up”) de licenças sob o modelo antigo sob o qual cada licença pode licenciar apenas um processador. Os direitos de migração a seguir se aplicam a licenças para esses clientes:</w:t>
      </w:r>
    </w:p>
    <w:p w:rsidR="008B1196" w:rsidRPr="00EB4D74" w:rsidRDefault="008B1196" w:rsidP="008B1196">
      <w:pPr>
        <w:ind w:left="720"/>
        <w:rPr>
          <w:rFonts w:cs="Tahoma"/>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Para a duração do registro existente, as licenças novas e existentes dos clientes sob o modelo antigo serão consideradas como equivalentes a licenças sob o novo modelo em uma proporção 2: 1, ou seja, cada duas licenças sob o modelo antigo serão equivalentes a uma licença sob o novo modelo. Na renovação, os clientes podem renovar o Software Assurance em licenças sob o novo modelo.</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Liberação da Nova Versão do Windows Server</w:t>
      </w:r>
    </w:p>
    <w:p w:rsidR="008B1196" w:rsidRPr="00EB4D74" w:rsidRDefault="008B1196" w:rsidP="008B1196">
      <w:pPr>
        <w:ind w:left="720"/>
        <w:rPr>
          <w:rFonts w:cs="Tahoma"/>
          <w:lang w:val="it-IT"/>
        </w:rPr>
      </w:pPr>
      <w:r w:rsidRPr="00EB4D74">
        <w:rPr>
          <w:rFonts w:cs="Tahoma"/>
          <w:lang w:val="pt-BR"/>
        </w:rPr>
        <w:t>Os clientes licenciados para o Core Infrastructure Server Suite Datacenter com Software Assurance ativo a partir de 1º de setembro de 2012 têm os direitos de uso dos seguintes produtos sujeitos aos direitos de uso de produto desses produtos e do Core Infrastructure Server Suite Datacenter:</w:t>
      </w:r>
    </w:p>
    <w:p w:rsidR="008B1196" w:rsidRPr="00EB4D74" w:rsidRDefault="008B1196" w:rsidP="008B1196">
      <w:pPr>
        <w:ind w:left="720"/>
        <w:rPr>
          <w:rFonts w:cs="Tahoma"/>
          <w:lang w:val="it-IT"/>
        </w:rPr>
      </w:pPr>
    </w:p>
    <w:p w:rsidR="008B1196" w:rsidRPr="00EB4D74" w:rsidRDefault="008B1196" w:rsidP="008B1196">
      <w:pPr>
        <w:numPr>
          <w:ilvl w:val="0"/>
          <w:numId w:val="120"/>
        </w:numPr>
        <w:spacing w:after="60"/>
        <w:ind w:left="1440"/>
        <w:rPr>
          <w:rFonts w:cs="Tahoma"/>
        </w:rPr>
      </w:pPr>
      <w:r w:rsidRPr="00EB4D74">
        <w:rPr>
          <w:rFonts w:cs="Tahoma"/>
          <w:lang w:val="pt-BR"/>
        </w:rPr>
        <w:t>Windows Server 2012 Datacenter</w:t>
      </w:r>
    </w:p>
    <w:p w:rsidR="008B1196" w:rsidRPr="00EB4D74" w:rsidRDefault="008B1196" w:rsidP="008B1196">
      <w:pPr>
        <w:numPr>
          <w:ilvl w:val="0"/>
          <w:numId w:val="120"/>
        </w:numPr>
        <w:spacing w:after="60"/>
        <w:ind w:left="1440"/>
        <w:rPr>
          <w:rFonts w:cs="Tahoma"/>
        </w:rPr>
      </w:pPr>
      <w:r w:rsidRPr="00EB4D74">
        <w:rPr>
          <w:rFonts w:cs="Tahoma"/>
          <w:lang w:val="pt-BR"/>
        </w:rPr>
        <w:t>System Center 2012 Datacenter</w:t>
      </w:r>
    </w:p>
    <w:p w:rsidR="008B1196" w:rsidRPr="00EB4D74" w:rsidRDefault="008B1196" w:rsidP="008B1196">
      <w:pPr>
        <w:spacing w:after="60"/>
        <w:ind w:left="720"/>
        <w:rPr>
          <w:rFonts w:cs="Tahoma"/>
        </w:rPr>
      </w:pPr>
      <w:r w:rsidRPr="00EB4D74">
        <w:rPr>
          <w:rFonts w:cs="Tahoma"/>
          <w:b/>
          <w:lang w:val="pt-BR"/>
        </w:rPr>
        <w:lastRenderedPageBreak/>
        <w:t>Oferta de Renovação de Software Assurance para Clientes do Windows Server Datacenter e System Center Datacenter</w:t>
      </w:r>
    </w:p>
    <w:p w:rsidR="008B1196" w:rsidRPr="00EB4D74" w:rsidRDefault="008B1196" w:rsidP="008B1196">
      <w:pPr>
        <w:ind w:left="720"/>
        <w:rPr>
          <w:rFonts w:cs="Tahoma"/>
        </w:rPr>
      </w:pPr>
      <w:r w:rsidRPr="00EB4D74">
        <w:rPr>
          <w:rFonts w:cs="Tahoma"/>
          <w:lang w:val="pt-BR"/>
        </w:rPr>
        <w:t>Os clientes que possuírem licenças com Software Assurance ativo para todos os produtos da Tabela C poderão, na ocasião do término dessa cobertura, adquirir o Software Assurance para o Core Infrastructure Server Suite Datacenter sem adquirir as licenças do Core Infrastructure Server Suite Datacenter.</w:t>
      </w:r>
    </w:p>
    <w:p w:rsidR="008B1196" w:rsidRPr="00EB4D74" w:rsidRDefault="008B1196" w:rsidP="008B1196">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8B1196" w:rsidRPr="00EB4D74" w:rsidTr="00EA30FC">
        <w:tc>
          <w:tcPr>
            <w:tcW w:w="4788" w:type="dxa"/>
            <w:shd w:val="clear" w:color="auto" w:fill="FABF8F"/>
          </w:tcPr>
          <w:p w:rsidR="008B1196" w:rsidRPr="00EB4D74" w:rsidRDefault="008B1196" w:rsidP="00EA30FC">
            <w:pPr>
              <w:spacing w:after="200" w:line="276" w:lineRule="auto"/>
              <w:jc w:val="center"/>
              <w:rPr>
                <w:rFonts w:eastAsia="Times New Roman" w:cs="Tahoma"/>
                <w:b/>
                <w:szCs w:val="18"/>
              </w:rPr>
            </w:pPr>
            <w:r w:rsidRPr="00EB4D74">
              <w:rPr>
                <w:rFonts w:eastAsia="Times New Roman" w:cs="Tahoma"/>
                <w:b/>
                <w:szCs w:val="18"/>
                <w:lang w:val="pt-BR"/>
              </w:rPr>
              <w:t>Tabela C</w:t>
            </w:r>
          </w:p>
        </w:tc>
      </w:tr>
      <w:tr w:rsidR="008B1196" w:rsidRPr="00EB4D74" w:rsidTr="00EA30FC">
        <w:tc>
          <w:tcPr>
            <w:tcW w:w="4788" w:type="dxa"/>
            <w:vAlign w:val="center"/>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Windows Server Datacenter</w:t>
            </w:r>
          </w:p>
        </w:tc>
      </w:tr>
      <w:tr w:rsidR="008B1196" w:rsidRPr="00EB4D74" w:rsidTr="00EA30FC">
        <w:tc>
          <w:tcPr>
            <w:tcW w:w="4788" w:type="dxa"/>
            <w:vAlign w:val="center"/>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System Center Datacenter</w:t>
            </w:r>
          </w:p>
        </w:tc>
      </w:tr>
    </w:tbl>
    <w:p w:rsidR="008B1196" w:rsidRPr="00EB4D74" w:rsidRDefault="008B1196" w:rsidP="008B1196">
      <w:pPr>
        <w:ind w:left="547"/>
        <w:rPr>
          <w:rFonts w:cs="Tahoma"/>
        </w:rPr>
      </w:pPr>
    </w:p>
    <w:p w:rsidR="008B1196" w:rsidRPr="00EB4D74" w:rsidRDefault="008B1196" w:rsidP="008B1196">
      <w:pPr>
        <w:ind w:left="720"/>
        <w:rPr>
          <w:rFonts w:cs="Tahoma"/>
          <w:lang w:val="it-IT"/>
        </w:rPr>
      </w:pPr>
      <w:r w:rsidRPr="00EB4D74">
        <w:rPr>
          <w:rFonts w:cs="Tahoma"/>
          <w:color w:val="000000"/>
          <w:lang w:val="pt-BR"/>
        </w:rPr>
        <w:t>Para cada conjunto composto de uma licença de qualificação do Windows Server Datacenter e uma licença de qualificação do System Center Datacenter, os clientes poderão adquirir o Software Assurance para uma licença de Core Infrastructure Server Suite Datacenter. Os clientes que licenciam e usam o Core Infrastructure Server Suite Datacenter sob esta oferta não poderão mais usar o software sob as licenças de qualificação. As Licenças e o Software Assurance adquiridos sob um contrato de assinatura não estão qualificados para essa oferta.</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lang w:val="pt-BR"/>
        </w:rPr>
        <w:t>Step-up do Windows Server Datacenter ou System Center Datacenter para o Core Infrastructure Server Suite Datacenter</w:t>
      </w:r>
    </w:p>
    <w:p w:rsidR="008B1196" w:rsidRPr="00EB4D74" w:rsidRDefault="008B1196" w:rsidP="008B1196">
      <w:pPr>
        <w:ind w:left="720"/>
        <w:rPr>
          <w:rFonts w:cs="Tahoma"/>
        </w:rPr>
      </w:pPr>
      <w:r w:rsidRPr="00EB4D74">
        <w:rPr>
          <w:rFonts w:cs="Tahoma"/>
          <w:lang w:val="pt-BR"/>
        </w:rPr>
        <w:t>Os clientes podem fazer step-up do Windows Server Datacenter ou System Center Datacenter para o Core Infrastructure Server Suite Datacenter pela aquisição da licença de Step-up adequada do Core Infrastructure Server Suite Datacenter. Os clientes devem ter o Software Assurance ativo para a licença do Windows Server Datacenter ou System Center Datacenter para adquirir essa licença de Step-up.</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Para cada licença de qualificação do Windows Server Datacenter que o cliente tiver, ele poderá adquirir uma licença de Step-up do Core Infrastructure Server Suite Datacenter.</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eastAsia="Times New Roman" w:cs="Tahoma"/>
          <w:szCs w:val="18"/>
          <w:lang w:val="pt-BR"/>
        </w:rPr>
        <w:t>Para cada licença de qualificação do Systems Center Datacenter que o cliente tiver, ele poderá adquirir uma licença de Step-up do Core Infrastructure Server Suite Datacenter.</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lang w:val="pt-BR"/>
        </w:rPr>
        <w:t>O direito de uso do software pelos clientes sob a licença do Core Infrastructure Server Suite Datacenter está condicionado ao cumprimento pelos clientes de qualquer obrigação de pagamento remanescente da licença do produto qualificado. A licença do Core Infrastructure Server Suite Datacenter dos clientes suplanta e substitui a licença básica do produto qualificado.</w:t>
      </w:r>
    </w:p>
    <w:p w:rsidR="008B1196" w:rsidRPr="00EB4D74" w:rsidRDefault="008B1196" w:rsidP="008B1196">
      <w:pPr>
        <w:ind w:left="720"/>
        <w:rPr>
          <w:rFonts w:cs="Tahoma"/>
          <w:lang w:val="it-IT"/>
        </w:rPr>
      </w:pPr>
    </w:p>
    <w:tbl>
      <w:tblPr>
        <w:tblW w:w="7740" w:type="dxa"/>
        <w:tblInd w:w="1200"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8B1196" w:rsidRPr="00EB4D74" w:rsidTr="00EA30FC">
        <w:trPr>
          <w:tblHeader/>
        </w:trPr>
        <w:tc>
          <w:tcPr>
            <w:tcW w:w="3870" w:type="dxa"/>
            <w:tcBorders>
              <w:top w:val="single" w:sz="12" w:space="0" w:color="auto"/>
            </w:tcBorders>
            <w:shd w:val="clear" w:color="auto" w:fill="FABF8F"/>
            <w:tcMar>
              <w:top w:w="0" w:type="dxa"/>
              <w:left w:w="108" w:type="dxa"/>
              <w:bottom w:w="0" w:type="dxa"/>
              <w:right w:w="108" w:type="dxa"/>
            </w:tcMar>
          </w:tcPr>
          <w:p w:rsidR="008B1196" w:rsidRPr="00EB4D74" w:rsidRDefault="008B1196" w:rsidP="00EA30FC">
            <w:pPr>
              <w:spacing w:after="200" w:line="276" w:lineRule="auto"/>
              <w:jc w:val="center"/>
              <w:rPr>
                <w:rFonts w:eastAsia="Times New Roman" w:cs="Tahoma"/>
                <w:b/>
                <w:szCs w:val="18"/>
              </w:rPr>
            </w:pPr>
            <w:r w:rsidRPr="00EB4D74">
              <w:rPr>
                <w:rFonts w:eastAsia="Times New Roman" w:cs="Tahoma"/>
                <w:b/>
                <w:szCs w:val="18"/>
                <w:lang w:val="pt-BR"/>
              </w:rPr>
              <w:t>Produto Qualificado</w:t>
            </w:r>
          </w:p>
        </w:tc>
        <w:tc>
          <w:tcPr>
            <w:tcW w:w="3870" w:type="dxa"/>
            <w:tcBorders>
              <w:top w:val="single" w:sz="12" w:space="0" w:color="auto"/>
            </w:tcBorders>
            <w:shd w:val="clear" w:color="auto" w:fill="FABF8F"/>
            <w:tcMar>
              <w:top w:w="0" w:type="dxa"/>
              <w:left w:w="108" w:type="dxa"/>
              <w:bottom w:w="0" w:type="dxa"/>
              <w:right w:w="108" w:type="dxa"/>
            </w:tcMar>
          </w:tcPr>
          <w:p w:rsidR="008B1196" w:rsidRPr="00EB4D74" w:rsidRDefault="008B1196" w:rsidP="00EA30FC">
            <w:pPr>
              <w:spacing w:after="200" w:line="276" w:lineRule="auto"/>
              <w:jc w:val="center"/>
              <w:rPr>
                <w:rFonts w:eastAsia="Times New Roman" w:cs="Tahoma"/>
                <w:b/>
                <w:szCs w:val="18"/>
              </w:rPr>
            </w:pPr>
            <w:r w:rsidRPr="00EB4D74">
              <w:rPr>
                <w:rFonts w:eastAsia="Times New Roman" w:cs="Tahoma"/>
                <w:b/>
                <w:szCs w:val="18"/>
                <w:lang w:val="pt-BR"/>
              </w:rPr>
              <w:t>Step-up para</w:t>
            </w:r>
          </w:p>
        </w:tc>
      </w:tr>
      <w:tr w:rsidR="008B1196" w:rsidRPr="00EB4D74" w:rsidTr="00EA30FC">
        <w:tc>
          <w:tcPr>
            <w:tcW w:w="3870" w:type="dxa"/>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Windows Server Datacenter</w:t>
            </w:r>
          </w:p>
        </w:tc>
        <w:tc>
          <w:tcPr>
            <w:tcW w:w="3870" w:type="dxa"/>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lang w:val="fr-FR"/>
              </w:rPr>
            </w:pPr>
            <w:r w:rsidRPr="00EB4D74">
              <w:rPr>
                <w:rFonts w:eastAsia="Times New Roman" w:cs="Tahoma"/>
                <w:szCs w:val="18"/>
                <w:lang w:val="pt-BR"/>
              </w:rPr>
              <w:t>Core Infrastructure Server Suite Datacenter</w:t>
            </w:r>
          </w:p>
        </w:tc>
      </w:tr>
      <w:tr w:rsidR="008B1196" w:rsidRPr="00EB4D74" w:rsidTr="00EA30FC">
        <w:tc>
          <w:tcPr>
            <w:tcW w:w="3870" w:type="dxa"/>
            <w:tcBorders>
              <w:bottom w:val="single" w:sz="12" w:space="0" w:color="auto"/>
            </w:tcBorders>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rPr>
            </w:pPr>
            <w:r w:rsidRPr="00EB4D74">
              <w:rPr>
                <w:rFonts w:cs="Tahoma"/>
                <w:lang w:val="pt-BR"/>
              </w:rPr>
              <w:t>System Center Datacenter</w:t>
            </w:r>
          </w:p>
        </w:tc>
        <w:tc>
          <w:tcPr>
            <w:tcW w:w="3870" w:type="dxa"/>
            <w:tcBorders>
              <w:bottom w:val="single" w:sz="12" w:space="0" w:color="auto"/>
            </w:tcBorders>
            <w:tcMar>
              <w:top w:w="0" w:type="dxa"/>
              <w:left w:w="108" w:type="dxa"/>
              <w:bottom w:w="0" w:type="dxa"/>
              <w:right w:w="108" w:type="dxa"/>
            </w:tcMar>
          </w:tcPr>
          <w:p w:rsidR="008B1196" w:rsidRPr="00EB4D74" w:rsidRDefault="008B1196" w:rsidP="00EA30FC">
            <w:pPr>
              <w:spacing w:after="200" w:line="276" w:lineRule="auto"/>
              <w:rPr>
                <w:rFonts w:eastAsia="Times New Roman" w:cs="Tahoma"/>
                <w:szCs w:val="18"/>
                <w:lang w:val="fr-FR"/>
              </w:rPr>
            </w:pPr>
            <w:r w:rsidRPr="00EB4D74">
              <w:rPr>
                <w:rFonts w:eastAsia="Times New Roman" w:cs="Tahoma"/>
                <w:szCs w:val="18"/>
                <w:lang w:val="pt-BR"/>
              </w:rPr>
              <w:t>Core Infrastructure Server Suite Datacenter</w:t>
            </w:r>
          </w:p>
        </w:tc>
      </w:tr>
    </w:tbl>
    <w:p w:rsidR="008B1196" w:rsidRPr="00EB4D74" w:rsidRDefault="008B1196" w:rsidP="008B1196">
      <w:pPr>
        <w:ind w:left="907"/>
        <w:rPr>
          <w:rFonts w:cs="Tahoma"/>
        </w:rPr>
      </w:pPr>
      <w:bookmarkStart w:id="1216" w:name="Srv_38DynCRMWorkProEnt"/>
    </w:p>
    <w:p w:rsidR="008B1196" w:rsidRPr="00EB4D74" w:rsidRDefault="008B1196" w:rsidP="008B1196">
      <w:pPr>
        <w:ind w:left="907"/>
        <w:rPr>
          <w:rFonts w:cs="Tahoma"/>
        </w:rPr>
      </w:pPr>
    </w:p>
    <w:p w:rsidR="008B1196" w:rsidRPr="00EB4D74" w:rsidRDefault="008B1196" w:rsidP="008B1196">
      <w:pPr>
        <w:pStyle w:val="Heading3"/>
        <w:rPr>
          <w:rFonts w:ascii="Tahoma" w:hAnsi="Tahoma" w:cs="Tahoma"/>
        </w:rPr>
      </w:pPr>
      <w:bookmarkStart w:id="1217" w:name="_Toc336338299"/>
      <w:bookmarkStart w:id="1218" w:name="_Toc342914933"/>
      <w:bookmarkStart w:id="1219" w:name="Srv_41DataWarehouseConsApp2012"/>
      <w:bookmarkEnd w:id="1216"/>
      <w:bookmarkEnd w:id="1217"/>
      <w:r w:rsidRPr="00EB4D74">
        <w:rPr>
          <w:rFonts w:ascii="Tahoma" w:hAnsi="Tahoma" w:cs="Tahoma"/>
          <w:caps/>
          <w:color w:val="F66400"/>
          <w:sz w:val="22"/>
          <w:vertAlign w:val="superscript"/>
          <w:lang w:val="pt-BR"/>
        </w:rPr>
        <w:t>38</w:t>
      </w:r>
      <w:r w:rsidRPr="00EB4D74">
        <w:rPr>
          <w:rFonts w:ascii="Tahoma" w:hAnsi="Tahoma" w:cs="Tahoma"/>
          <w:color w:val="F66400"/>
          <w:sz w:val="22"/>
          <w:lang w:val="pt-BR"/>
        </w:rPr>
        <w:t xml:space="preserve"> Data Warehouse Appliance 2012</w:t>
      </w:r>
      <w:bookmarkEnd w:id="1218"/>
    </w:p>
    <w:bookmarkEnd w:id="1219"/>
    <w:p w:rsidR="008B1196" w:rsidRPr="00EB4D74" w:rsidRDefault="008B1196" w:rsidP="008B1196">
      <w:pPr>
        <w:ind w:left="720"/>
        <w:rPr>
          <w:rFonts w:cs="Tahoma"/>
        </w:rPr>
      </w:pPr>
    </w:p>
    <w:p w:rsidR="008B1196" w:rsidRPr="00EB4D74" w:rsidRDefault="008B1196" w:rsidP="008B1196">
      <w:pPr>
        <w:ind w:left="720"/>
        <w:rPr>
          <w:rFonts w:cs="Tahoma"/>
          <w:lang w:val="pt-BR"/>
        </w:rPr>
      </w:pPr>
      <w:r w:rsidRPr="00EB4D74">
        <w:rPr>
          <w:rFonts w:cs="Tahoma"/>
          <w:szCs w:val="18"/>
          <w:lang w:val="pt-BR"/>
        </w:rPr>
        <w:t xml:space="preserve">O software Data Warehouse Appliance 2012, que incorpora o SQL Server 2008 R2, está disponível somente nas configurações de hardware e software aprovadas pela Microsoft. Não há suporte para o uso do software em outras configurações e, nesse caso, o desempenho poderá afetado. </w:t>
      </w:r>
      <w:bookmarkStart w:id="1220" w:name="Srv_38DynamicsCRMOnline"/>
      <w:bookmarkStart w:id="1221" w:name="Srv_37DynamicsCRMOnline"/>
      <w:bookmarkStart w:id="1222" w:name="Srv_37EntCALSuite"/>
      <w:bookmarkEnd w:id="1220"/>
      <w:bookmarkEnd w:id="1221"/>
      <w:bookmarkEnd w:id="1222"/>
      <w:r w:rsidRPr="00EB4D74">
        <w:rPr>
          <w:rFonts w:cs="Tahoma"/>
          <w:lang w:val="pt-BR"/>
        </w:rPr>
        <w:t xml:space="preserve">Para obter mais informações, visite o site </w:t>
      </w:r>
      <w:hyperlink r:id="rId32" w:tooltip="http://www.microsoft.com/sqlserver/en/us/get-sql-server/how-to-buy.aspx" w:history="1">
        <w:r w:rsidRPr="00EB4D74">
          <w:rPr>
            <w:rStyle w:val="Hyperlink"/>
            <w:rFonts w:cs="Tahoma"/>
            <w:lang w:val="pt-BR"/>
          </w:rPr>
          <w:t>http://www.microsoft.com/sqlserver/en/us/get-sql-server/how-to-buy.aspx</w:t>
        </w:r>
      </w:hyperlink>
      <w:r w:rsidRPr="00EB4D74">
        <w:rPr>
          <w:rFonts w:cs="Tahoma"/>
          <w:lang w:val="pt-BR"/>
        </w:rPr>
        <w:t>.</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3"/>
        <w:rPr>
          <w:rFonts w:ascii="Tahoma" w:hAnsi="Tahoma" w:cs="Tahoma"/>
        </w:rPr>
      </w:pPr>
      <w:bookmarkStart w:id="1223" w:name="_40_Dynamics_CRM"/>
      <w:bookmarkStart w:id="1224" w:name="_40_39_Dynamics"/>
      <w:bookmarkStart w:id="1225" w:name="_Toc336338300"/>
      <w:bookmarkStart w:id="1226" w:name="_39_Dynamics_CRM"/>
      <w:bookmarkStart w:id="1227" w:name="_Toc342914934"/>
      <w:bookmarkEnd w:id="1223"/>
      <w:bookmarkEnd w:id="1224"/>
      <w:bookmarkEnd w:id="1225"/>
      <w:bookmarkEnd w:id="1226"/>
      <w:r w:rsidRPr="00EB4D74">
        <w:rPr>
          <w:rFonts w:ascii="Tahoma" w:hAnsi="Tahoma" w:cs="Tahoma"/>
          <w:caps/>
          <w:color w:val="F66400"/>
          <w:sz w:val="22"/>
          <w:vertAlign w:val="superscript"/>
          <w:lang w:val="pt-BR"/>
        </w:rPr>
        <w:lastRenderedPageBreak/>
        <w:t>39</w:t>
      </w:r>
      <w:r w:rsidRPr="00EB4D74">
        <w:rPr>
          <w:rFonts w:ascii="Tahoma" w:hAnsi="Tahoma" w:cs="Tahoma"/>
          <w:color w:val="F66400"/>
          <w:sz w:val="22"/>
          <w:lang w:val="pt-BR"/>
        </w:rPr>
        <w:t xml:space="preserve"> Dynamics CRM Online</w:t>
      </w:r>
      <w:bookmarkEnd w:id="1227"/>
    </w:p>
    <w:p w:rsidR="008B1196" w:rsidRPr="00EB4D74" w:rsidRDefault="008B1196" w:rsidP="008B1196">
      <w:pPr>
        <w:pStyle w:val="Heading3"/>
        <w:rPr>
          <w:rFonts w:ascii="Tahoma" w:hAnsi="Tahoma" w:cs="Tahoma"/>
        </w:rPr>
      </w:pPr>
    </w:p>
    <w:p w:rsidR="008B1196" w:rsidRPr="00EB4D74" w:rsidRDefault="008B1196" w:rsidP="008B1196">
      <w:pPr>
        <w:ind w:left="720"/>
        <w:rPr>
          <w:rFonts w:cs="Tahoma"/>
        </w:rPr>
      </w:pPr>
      <w:r w:rsidRPr="00EB4D74">
        <w:rPr>
          <w:rFonts w:cs="Tahoma"/>
          <w:b/>
          <w:color w:val="000000"/>
          <w:lang w:val="pt-BR"/>
        </w:rPr>
        <w:t>Países em que o Dynamics CRM Online está Disponível</w:t>
      </w:r>
    </w:p>
    <w:p w:rsidR="008B1196" w:rsidRPr="00EB4D74" w:rsidRDefault="008B1196" w:rsidP="008B1196">
      <w:pPr>
        <w:ind w:left="540"/>
        <w:rPr>
          <w:rFonts w:cs="Tahoma"/>
        </w:rPr>
      </w:pPr>
    </w:p>
    <w:tbl>
      <w:tblPr>
        <w:tblW w:w="8020" w:type="dxa"/>
        <w:tblInd w:w="1458" w:type="dxa"/>
        <w:tblCellMar>
          <w:left w:w="0" w:type="dxa"/>
          <w:right w:w="0" w:type="dxa"/>
        </w:tblCellMar>
        <w:tblLook w:val="04A0" w:firstRow="1" w:lastRow="0" w:firstColumn="1" w:lastColumn="0" w:noHBand="0" w:noVBand="1"/>
      </w:tblPr>
      <w:tblGrid>
        <w:gridCol w:w="2680"/>
        <w:gridCol w:w="2670"/>
        <w:gridCol w:w="2670"/>
      </w:tblGrid>
      <w:tr w:rsidR="008B1196" w:rsidRPr="00EB4D74" w:rsidTr="00EA30FC">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B1196" w:rsidRPr="00EB4D74" w:rsidRDefault="008B1196" w:rsidP="00EA30FC">
            <w:pPr>
              <w:jc w:val="center"/>
              <w:rPr>
                <w:rFonts w:cs="Tahoma"/>
                <w:b/>
                <w:bCs/>
                <w:szCs w:val="20"/>
              </w:rPr>
            </w:pPr>
            <w:r w:rsidRPr="00EB4D74">
              <w:rPr>
                <w:rFonts w:cs="Tahoma"/>
                <w:b/>
                <w:bCs/>
                <w:szCs w:val="20"/>
                <w:lang w:val="pt-BR"/>
              </w:rPr>
              <w:t>Américas</w:t>
            </w:r>
          </w:p>
        </w:tc>
        <w:tc>
          <w:tcPr>
            <w:tcW w:w="2670" w:type="dxa"/>
            <w:tcBorders>
              <w:top w:val="single" w:sz="8" w:space="0" w:color="000000"/>
              <w:left w:val="nil"/>
              <w:bottom w:val="single" w:sz="8" w:space="0" w:color="000000"/>
              <w:right w:val="single" w:sz="4" w:space="0" w:color="auto"/>
            </w:tcBorders>
            <w:shd w:val="clear" w:color="auto" w:fill="FABF8F"/>
          </w:tcPr>
          <w:p w:rsidR="008B1196" w:rsidRPr="00EB4D74" w:rsidRDefault="008B1196" w:rsidP="00EA30FC">
            <w:pPr>
              <w:jc w:val="center"/>
              <w:rPr>
                <w:rFonts w:cs="Tahoma"/>
                <w:b/>
                <w:bCs/>
                <w:szCs w:val="20"/>
              </w:rPr>
            </w:pPr>
            <w:r w:rsidRPr="00EB4D74">
              <w:rPr>
                <w:rFonts w:cs="Tahoma"/>
                <w:b/>
                <w:bCs/>
                <w:szCs w:val="20"/>
                <w:lang w:val="pt-BR"/>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8B1196" w:rsidRPr="00EB4D74" w:rsidRDefault="008B1196" w:rsidP="00EA30FC">
            <w:pPr>
              <w:jc w:val="center"/>
              <w:rPr>
                <w:rFonts w:cs="Tahoma"/>
                <w:b/>
                <w:bCs/>
                <w:szCs w:val="20"/>
              </w:rPr>
            </w:pPr>
            <w:r w:rsidRPr="00EB4D74">
              <w:rPr>
                <w:rFonts w:cs="Tahoma"/>
                <w:b/>
                <w:bCs/>
                <w:szCs w:val="20"/>
                <w:lang w:val="pt-BR"/>
              </w:rPr>
              <w:t>Ásia-Pacífico</w:t>
            </w:r>
          </w:p>
        </w:tc>
      </w:tr>
      <w:tr w:rsidR="008B1196" w:rsidRPr="00EB4D74" w:rsidTr="00EA30FC">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color w:val="000000"/>
                <w:szCs w:val="20"/>
              </w:rPr>
            </w:pPr>
            <w:r w:rsidRPr="00EB4D74">
              <w:rPr>
                <w:rFonts w:cs="Tahoma"/>
                <w:lang w:val="pt-BR"/>
              </w:rPr>
              <w:t>Brasil</w:t>
            </w:r>
          </w:p>
        </w:tc>
        <w:tc>
          <w:tcPr>
            <w:tcW w:w="2670" w:type="dxa"/>
            <w:tcBorders>
              <w:top w:val="nil"/>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Áustria</w:t>
            </w:r>
          </w:p>
        </w:tc>
        <w:tc>
          <w:tcPr>
            <w:tcW w:w="2670" w:type="dxa"/>
            <w:tcBorders>
              <w:top w:val="nil"/>
              <w:left w:val="single" w:sz="4" w:space="0" w:color="auto"/>
              <w:bottom w:val="single" w:sz="4" w:space="0" w:color="000000"/>
              <w:right w:val="single" w:sz="8"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Austrália</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color w:val="000000"/>
                <w:szCs w:val="20"/>
              </w:rPr>
            </w:pPr>
            <w:r w:rsidRPr="00EB4D74">
              <w:rPr>
                <w:rFonts w:cs="Tahoma"/>
                <w:lang w:val="pt-BR"/>
              </w:rPr>
              <w:t>Canadá</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Bélgica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Hong Kong</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color w:val="000000"/>
                <w:szCs w:val="20"/>
              </w:rPr>
            </w:pPr>
            <w:r w:rsidRPr="00EB4D74">
              <w:rPr>
                <w:rFonts w:cs="Tahoma"/>
                <w:lang w:val="pt-BR"/>
              </w:rPr>
              <w:t>Colômbia</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Chipre</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Índia</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Costa Rica</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República Tcheca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Japão</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Chile</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Dinamarca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Coreia</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México</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Finlândia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Malásia</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Peru</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França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Nova Zelândia</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Porto Rico</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Alemanha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r w:rsidRPr="00EB4D74">
              <w:rPr>
                <w:rFonts w:ascii="Tahoma" w:hAnsi="Tahoma" w:cs="Tahoma"/>
                <w:color w:val="000000"/>
                <w:sz w:val="18"/>
                <w:szCs w:val="20"/>
                <w:lang w:val="pt-BR"/>
              </w:rPr>
              <w:t>Cingapura</w:t>
            </w: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Trinidad e Tobago</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Grécia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jc w:val="center"/>
              <w:rPr>
                <w:rFonts w:cs="Tahoma"/>
              </w:rPr>
            </w:pPr>
            <w:r w:rsidRPr="00EB4D74">
              <w:rPr>
                <w:rFonts w:cs="Tahoma"/>
                <w:lang w:val="pt-BR"/>
              </w:rPr>
              <w:t>Estados Unidos</w:t>
            </w: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color w:val="000000"/>
                <w:sz w:val="18"/>
                <w:szCs w:val="18"/>
              </w:rPr>
            </w:pPr>
            <w:r w:rsidRPr="00EB4D74">
              <w:rPr>
                <w:rFonts w:ascii="Tahoma" w:hAnsi="Tahoma" w:cs="Tahoma"/>
                <w:sz w:val="18"/>
                <w:lang w:val="pt-BR"/>
              </w:rPr>
              <w:t>Hungria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Irlanda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Israel</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Itália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Luxemburgo</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Países Baixos</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Noruega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Polônia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Portugal</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Romênia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lang w:val="pt-BR"/>
              </w:rPr>
              <w:t>Rússia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Espanha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Suécia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Suíça</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r w:rsidR="008B1196" w:rsidRPr="00EB4D74" w:rsidTr="00EA30FC">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8B1196" w:rsidRPr="00EB4D74" w:rsidRDefault="008B1196" w:rsidP="00EA30FC">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8B1196" w:rsidRPr="00EB4D74" w:rsidRDefault="008B1196" w:rsidP="00EA30FC">
            <w:pPr>
              <w:pStyle w:val="ColorfulList-Accent11"/>
              <w:spacing w:line="276" w:lineRule="auto"/>
              <w:ind w:left="0"/>
              <w:jc w:val="center"/>
              <w:rPr>
                <w:rFonts w:ascii="Tahoma" w:hAnsi="Tahoma" w:cs="Tahoma"/>
                <w:sz w:val="18"/>
                <w:szCs w:val="18"/>
              </w:rPr>
            </w:pPr>
            <w:r w:rsidRPr="00EB4D74">
              <w:rPr>
                <w:rFonts w:ascii="Tahoma" w:hAnsi="Tahoma" w:cs="Tahoma"/>
                <w:sz w:val="18"/>
                <w:szCs w:val="18"/>
                <w:lang w:val="pt-BR"/>
              </w:rPr>
              <w:t>Reino Unido</w:t>
            </w:r>
          </w:p>
        </w:tc>
        <w:tc>
          <w:tcPr>
            <w:tcW w:w="2670" w:type="dxa"/>
            <w:tcBorders>
              <w:top w:val="single" w:sz="4" w:space="0" w:color="000000"/>
              <w:left w:val="single" w:sz="4" w:space="0" w:color="auto"/>
              <w:bottom w:val="single" w:sz="4" w:space="0" w:color="000000"/>
              <w:right w:val="single" w:sz="4" w:space="0" w:color="000000"/>
            </w:tcBorders>
          </w:tcPr>
          <w:p w:rsidR="008B1196" w:rsidRPr="00EB4D74" w:rsidRDefault="008B1196" w:rsidP="00EA30FC">
            <w:pPr>
              <w:pStyle w:val="ColorfulList-Accent11"/>
              <w:spacing w:line="276" w:lineRule="auto"/>
              <w:ind w:left="540"/>
              <w:jc w:val="center"/>
              <w:rPr>
                <w:rFonts w:ascii="Tahoma" w:hAnsi="Tahoma" w:cs="Tahoma"/>
                <w:color w:val="000000"/>
                <w:sz w:val="18"/>
                <w:szCs w:val="20"/>
              </w:rPr>
            </w:pPr>
          </w:p>
        </w:tc>
      </w:tr>
    </w:tbl>
    <w:p w:rsidR="008B1196" w:rsidRPr="00EB4D74" w:rsidRDefault="008B1196" w:rsidP="008B1196">
      <w:pPr>
        <w:spacing w:after="60"/>
        <w:ind w:left="720"/>
        <w:rPr>
          <w:rFonts w:cs="Tahoma"/>
          <w:b/>
          <w:color w:val="000000"/>
          <w:lang w:val="pt-BR"/>
        </w:rPr>
      </w:pPr>
    </w:p>
    <w:p w:rsidR="008B1196" w:rsidRPr="00EB4D74" w:rsidRDefault="008B1196" w:rsidP="008B1196">
      <w:pPr>
        <w:spacing w:after="60"/>
        <w:ind w:left="720"/>
        <w:rPr>
          <w:rFonts w:cs="Tahoma"/>
        </w:rPr>
      </w:pPr>
      <w:r w:rsidRPr="00EB4D74">
        <w:rPr>
          <w:rFonts w:cs="Tahoma"/>
          <w:b/>
          <w:color w:val="000000"/>
          <w:lang w:val="pt-BR"/>
        </w:rPr>
        <w:t>Contrato para Campus e School</w:t>
      </w:r>
    </w:p>
    <w:p w:rsidR="008B1196" w:rsidRPr="00EB4D74" w:rsidRDefault="008B1196" w:rsidP="008B1196">
      <w:pPr>
        <w:ind w:left="720"/>
        <w:rPr>
          <w:rFonts w:cs="Tahoma"/>
          <w:lang w:val="pt-BR"/>
        </w:rPr>
      </w:pPr>
      <w:r w:rsidRPr="00EB4D74">
        <w:rPr>
          <w:rFonts w:cs="Tahoma"/>
          <w:color w:val="000000"/>
          <w:lang w:val="pt-BR"/>
        </w:rPr>
        <w:t xml:space="preserve">As licenças de assinatura do Dynamics CRM Online vendidas sob o CASA poderão ser adquiridas para toda a Instituição ou não extensivas a toda a Instituição. As licenças de assinatura deverão ser licenciadas para cada usuário. </w:t>
      </w:r>
      <w:bookmarkStart w:id="1228" w:name="Srv_41DuetEnterpriseforOfficeandSAP"/>
      <w:r w:rsidRPr="00EB4D74">
        <w:rPr>
          <w:rFonts w:cs="Tahoma"/>
          <w:color w:val="000000"/>
          <w:lang w:val="pt-BR"/>
        </w:rPr>
        <w:t>Caso sejam necessárias Licenças de Assinatura de Usuário adicionais para acessar o Dynamics CRM, um número igual de Licenças de Assinatura de Usuário deverá ser solicitado.</w:t>
      </w:r>
    </w:p>
    <w:bookmarkEnd w:id="1228"/>
    <w:p w:rsidR="008B1196" w:rsidRPr="00EB4D74" w:rsidRDefault="008B1196" w:rsidP="008B1196">
      <w:pPr>
        <w:pStyle w:val="EndnoteText"/>
        <w:ind w:left="720"/>
        <w:rPr>
          <w:rFonts w:ascii="Tahoma" w:hAnsi="Tahoma" w:cs="Tahoma"/>
          <w:sz w:val="18"/>
          <w:szCs w:val="18"/>
          <w:lang w:val="pt-BR"/>
        </w:rPr>
      </w:pPr>
    </w:p>
    <w:p w:rsidR="008B1196" w:rsidRPr="00EB4D74" w:rsidRDefault="008B1196" w:rsidP="008B1196">
      <w:pPr>
        <w:ind w:left="720"/>
        <w:rPr>
          <w:rFonts w:cs="Tahoma"/>
          <w:lang w:val="pt-BR"/>
        </w:rPr>
      </w:pPr>
    </w:p>
    <w:p w:rsidR="008B1196" w:rsidRPr="00EB4D74" w:rsidRDefault="008B1196" w:rsidP="008B1196">
      <w:pPr>
        <w:pStyle w:val="Heading3"/>
        <w:ind w:left="261" w:hanging="261"/>
        <w:rPr>
          <w:rFonts w:ascii="Tahoma" w:hAnsi="Tahoma" w:cs="Tahoma"/>
          <w:lang w:val="pt-BR"/>
        </w:rPr>
      </w:pPr>
      <w:bookmarkStart w:id="1229" w:name="_Toc336338303"/>
      <w:bookmarkStart w:id="1230" w:name="Srv_38EntCALSuite"/>
      <w:bookmarkStart w:id="1231" w:name="Srv_45EntCALBridgeWinIntune"/>
      <w:bookmarkStart w:id="1232" w:name="_Toc342914935"/>
      <w:bookmarkEnd w:id="1229"/>
      <w:bookmarkEnd w:id="1230"/>
      <w:bookmarkEnd w:id="1231"/>
      <w:r w:rsidRPr="00EB4D74">
        <w:rPr>
          <w:rFonts w:ascii="Tahoma" w:hAnsi="Tahoma" w:cs="Tahoma"/>
          <w:caps/>
          <w:color w:val="F66400"/>
          <w:sz w:val="22"/>
          <w:vertAlign w:val="superscript"/>
          <w:lang w:val="pt-BR"/>
        </w:rPr>
        <w:t>40</w:t>
      </w:r>
      <w:r w:rsidRPr="00EB4D74">
        <w:rPr>
          <w:rFonts w:ascii="Tahoma" w:hAnsi="Tahoma" w:cs="Tahoma"/>
          <w:color w:val="F66400"/>
          <w:sz w:val="22"/>
          <w:lang w:val="pt-BR"/>
        </w:rPr>
        <w:t xml:space="preserve"> Bridge do Pacote de CALs Empresariais para Office 365, Bridge do Pacote de CALs Empresariais para Office 365 e Windows Intune e Bridge do Pacote de CALs Empresariais para Windows Intune</w:t>
      </w:r>
      <w:bookmarkEnd w:id="1232"/>
    </w:p>
    <w:p w:rsidR="008B1196" w:rsidRPr="00EB4D74" w:rsidRDefault="008B1196" w:rsidP="008B1196">
      <w:pPr>
        <w:rPr>
          <w:rFonts w:cs="Tahoma"/>
          <w:lang w:val="pt-BR"/>
        </w:rPr>
      </w:pPr>
    </w:p>
    <w:p w:rsidR="008B1196" w:rsidRPr="00EB4D74" w:rsidRDefault="008B1196" w:rsidP="008B1196">
      <w:pPr>
        <w:spacing w:after="60"/>
        <w:ind w:left="720"/>
        <w:rPr>
          <w:rFonts w:cs="Tahoma"/>
          <w:lang w:val="it-IT"/>
        </w:rPr>
      </w:pPr>
      <w:r w:rsidRPr="00EB4D74">
        <w:rPr>
          <w:rFonts w:cs="Tahoma"/>
          <w:b/>
          <w:lang w:val="pt-BR"/>
        </w:rPr>
        <w:t>Definição</w:t>
      </w:r>
    </w:p>
    <w:p w:rsidR="008B1196" w:rsidRPr="00EB4D74" w:rsidRDefault="008B1196" w:rsidP="008B1196">
      <w:pPr>
        <w:ind w:left="720"/>
        <w:rPr>
          <w:rFonts w:cs="Tahoma"/>
          <w:lang w:val="it-IT"/>
        </w:rPr>
      </w:pPr>
      <w:r w:rsidRPr="00EB4D74">
        <w:rPr>
          <w:rFonts w:cs="Tahoma"/>
          <w:szCs w:val="18"/>
          <w:lang w:val="pt-BR"/>
        </w:rPr>
        <w:t>“Transição” significa a conversão de uma Licença com o Software Assurance atual para ou de uma licença de assinatura.</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Direitos de Uso Aplicáveis</w:t>
      </w:r>
    </w:p>
    <w:p w:rsidR="008B1196" w:rsidRPr="00EB4D74" w:rsidRDefault="008B1196" w:rsidP="008B1196">
      <w:pPr>
        <w:ind w:left="720"/>
        <w:rPr>
          <w:rFonts w:cs="Tahoma"/>
          <w:lang w:val="it-IT"/>
        </w:rPr>
      </w:pPr>
      <w:r w:rsidRPr="00EB4D74">
        <w:rPr>
          <w:rFonts w:cs="Tahoma"/>
          <w:lang w:val="pt-BR"/>
        </w:rPr>
        <w:t>O Bridge do Pacote de CALs é independente da versão e os Direitos de Uso de Produto são determinados pelo status da cobertura do Software Assurance sobre ele. Se a cobertura for interrompida, os direitos de acesso sob as Licenças perpétuas serão determinados com base nos Direitos de Uso de Produto em vigor antes da interrupção. A Licença para um Bridge do Pacote de CALs é uma licença individual que deverá ser cedida a um único usuário ou dispositivo.</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lastRenderedPageBreak/>
        <w:t>Exigências</w:t>
      </w:r>
    </w:p>
    <w:p w:rsidR="008B1196" w:rsidRPr="00EB4D74" w:rsidRDefault="008B1196" w:rsidP="008B1196">
      <w:pPr>
        <w:ind w:left="720"/>
        <w:rPr>
          <w:rFonts w:cs="Tahoma"/>
          <w:lang w:val="pt-BR"/>
        </w:rPr>
      </w:pPr>
      <w:r w:rsidRPr="00EB4D74">
        <w:rPr>
          <w:rFonts w:cs="Tahoma"/>
          <w:lang w:val="pt-BR"/>
        </w:rPr>
        <w:t>Um Bridge do Pacote de CALs poderá ser solicitado durante a Transição de um Pacote de CALs para uma combinação de Produto e Serviço Online comparáveis. Quando uma Transição requerer um Brigde do Pacote de CALs e a Licença de qualificação tiver sido paga integralmente pelo Cliente, não será necessário comprar nenhuma Licença do Bridge do Pacote de CALs. Em vez disso, o Software Assurance poderá ser comprado para o Bridge do Pacote de CALs no aniversário do Registro em que a Transição entrar em vigor. Nessas circunstâncias, a relação de Transição poderá ser de um Bridge do Pacote de CALs com Software Assurance para um Pacote de CALs com Software Assurance e para a mesma Licença de usuário ou dispositivo como o Pacote de CALs qualificado.</w:t>
      </w:r>
    </w:p>
    <w:p w:rsidR="008B1196" w:rsidRPr="00EB4D74" w:rsidRDefault="008B1196" w:rsidP="008B1196">
      <w:pPr>
        <w:ind w:left="720"/>
        <w:rPr>
          <w:rFonts w:cs="Tahoma"/>
          <w:lang w:val="pt-BR"/>
        </w:rPr>
      </w:pPr>
    </w:p>
    <w:p w:rsidR="008B1196" w:rsidRPr="00EB4D74" w:rsidRDefault="008B1196" w:rsidP="008B1196">
      <w:pPr>
        <w:ind w:left="720"/>
        <w:rPr>
          <w:rFonts w:cs="Tahoma"/>
          <w:lang w:val="it-IT"/>
        </w:rPr>
      </w:pPr>
      <w:r w:rsidRPr="00EB4D74">
        <w:rPr>
          <w:rFonts w:cs="Tahoma"/>
          <w:lang w:val="pt-BR"/>
        </w:rPr>
        <w:t>Um Bridge do Pacote de CALs é um Produto Enterprise e pode ser licenciado em conjunto com o Serviço Online qualificado para atender os requisitos para toda a empresa desse Bridge do Pacote de CALs ou do Pacote de CALs pai.</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tbl>
      <w:tblPr>
        <w:tblW w:w="4350" w:type="pct"/>
        <w:jc w:val="center"/>
        <w:tblCellMar>
          <w:left w:w="0" w:type="dxa"/>
          <w:right w:w="0" w:type="dxa"/>
        </w:tblCellMar>
        <w:tblLook w:val="04A0" w:firstRow="1" w:lastRow="0" w:firstColumn="1" w:lastColumn="0" w:noHBand="0" w:noVBand="1"/>
      </w:tblPr>
      <w:tblGrid>
        <w:gridCol w:w="2641"/>
        <w:gridCol w:w="2703"/>
        <w:gridCol w:w="2817"/>
      </w:tblGrid>
      <w:tr w:rsidR="008B1196" w:rsidRPr="00EB4D74" w:rsidTr="00EA30FC">
        <w:trPr>
          <w:tblHeader/>
          <w:jc w:val="center"/>
        </w:trPr>
        <w:tc>
          <w:tcPr>
            <w:tcW w:w="1618" w:type="pct"/>
            <w:tcBorders>
              <w:top w:val="single" w:sz="8" w:space="0" w:color="auto"/>
              <w:left w:val="single" w:sz="8" w:space="0" w:color="auto"/>
              <w:bottom w:val="single" w:sz="8" w:space="0" w:color="auto"/>
              <w:right w:val="single" w:sz="8" w:space="0" w:color="auto"/>
            </w:tcBorders>
            <w:shd w:val="clear" w:color="auto" w:fill="FABF8F"/>
            <w:vAlign w:val="center"/>
          </w:tcPr>
          <w:p w:rsidR="008B1196" w:rsidRPr="00EB4D74" w:rsidRDefault="008B1196" w:rsidP="00EA30FC">
            <w:pPr>
              <w:spacing w:before="80" w:after="200" w:line="276" w:lineRule="auto"/>
              <w:ind w:left="175"/>
              <w:rPr>
                <w:rFonts w:eastAsia="Times New Roman" w:cs="Tahoma"/>
                <w:b/>
                <w:bCs/>
                <w:color w:val="000000"/>
                <w:szCs w:val="18"/>
                <w:lang w:eastAsia="ja-JP"/>
              </w:rPr>
            </w:pPr>
            <w:r w:rsidRPr="00EB4D74">
              <w:rPr>
                <w:rFonts w:cs="Tahoma"/>
                <w:b/>
                <w:lang w:val="pt-BR"/>
              </w:rPr>
              <w:t>Bridge do Pacote de CALs</w:t>
            </w:r>
          </w:p>
        </w:tc>
        <w:tc>
          <w:tcPr>
            <w:tcW w:w="1656" w:type="pct"/>
            <w:tcBorders>
              <w:top w:val="single" w:sz="8" w:space="0" w:color="auto"/>
              <w:left w:val="nil"/>
              <w:bottom w:val="single" w:sz="8" w:space="0" w:color="auto"/>
              <w:right w:val="single" w:sz="8" w:space="0" w:color="auto"/>
            </w:tcBorders>
            <w:shd w:val="clear" w:color="auto" w:fill="FABF8F"/>
            <w:vAlign w:val="center"/>
          </w:tcPr>
          <w:p w:rsidR="008B1196" w:rsidRPr="00EB4D74" w:rsidRDefault="008B1196" w:rsidP="00EA30FC">
            <w:pPr>
              <w:spacing w:before="80" w:after="200" w:line="276" w:lineRule="auto"/>
              <w:ind w:left="180"/>
              <w:rPr>
                <w:rFonts w:eastAsia="Times New Roman" w:cs="Tahoma"/>
                <w:b/>
                <w:bCs/>
                <w:color w:val="000000"/>
                <w:szCs w:val="18"/>
                <w:lang w:eastAsia="ja-JP"/>
              </w:rPr>
            </w:pPr>
            <w:r w:rsidRPr="00EB4D74">
              <w:rPr>
                <w:rFonts w:cs="Tahoma"/>
                <w:b/>
                <w:lang w:val="pt-BR"/>
              </w:rPr>
              <w:t>Pacote de CALs Pai</w:t>
            </w:r>
          </w:p>
        </w:tc>
        <w:tc>
          <w:tcPr>
            <w:tcW w:w="1726" w:type="pct"/>
            <w:tcBorders>
              <w:top w:val="single" w:sz="8" w:space="0" w:color="auto"/>
              <w:left w:val="nil"/>
              <w:bottom w:val="single" w:sz="8" w:space="0" w:color="auto"/>
              <w:right w:val="single" w:sz="8" w:space="0" w:color="auto"/>
            </w:tcBorders>
            <w:shd w:val="clear" w:color="auto" w:fill="FABF8F"/>
          </w:tcPr>
          <w:p w:rsidR="008B1196" w:rsidRPr="00EB4D74" w:rsidRDefault="008B1196" w:rsidP="00EA30FC">
            <w:pPr>
              <w:spacing w:before="80" w:after="200" w:line="276" w:lineRule="auto"/>
              <w:ind w:left="180" w:right="247"/>
              <w:jc w:val="center"/>
              <w:rPr>
                <w:rFonts w:eastAsia="Times New Roman" w:cs="Tahoma"/>
                <w:b/>
                <w:bCs/>
                <w:color w:val="000000"/>
                <w:szCs w:val="18"/>
                <w:lang w:eastAsia="ja-JP"/>
              </w:rPr>
            </w:pPr>
            <w:r w:rsidRPr="00EB4D74">
              <w:rPr>
                <w:rFonts w:cs="Tahoma"/>
                <w:b/>
                <w:lang w:val="pt-BR"/>
              </w:rPr>
              <w:t>Serviços Online Qualificados</w:t>
            </w:r>
          </w:p>
        </w:tc>
      </w:tr>
      <w:tr w:rsidR="008B1196" w:rsidRPr="00EB4D74" w:rsidTr="00EA30FC">
        <w:trPr>
          <w:trHeight w:val="576"/>
          <w:jc w:val="center"/>
        </w:trPr>
        <w:tc>
          <w:tcPr>
            <w:tcW w:w="1618" w:type="pct"/>
            <w:tcBorders>
              <w:top w:val="nil"/>
              <w:left w:val="single" w:sz="8" w:space="0" w:color="auto"/>
              <w:bottom w:val="single" w:sz="8" w:space="0" w:color="auto"/>
              <w:right w:val="single" w:sz="8" w:space="0" w:color="auto"/>
            </w:tcBorders>
          </w:tcPr>
          <w:p w:rsidR="008B1196" w:rsidRPr="00EB4D74" w:rsidRDefault="008B1196" w:rsidP="00EA30FC">
            <w:pPr>
              <w:numPr>
                <w:ilvl w:val="0"/>
                <w:numId w:val="86"/>
              </w:numPr>
              <w:spacing w:before="60" w:after="60" w:line="276" w:lineRule="auto"/>
              <w:ind w:left="535" w:right="180"/>
              <w:rPr>
                <w:rFonts w:eastAsia="Times New Roman" w:cs="Tahoma"/>
                <w:szCs w:val="18"/>
              </w:rPr>
            </w:pPr>
            <w:r w:rsidRPr="00EB4D74">
              <w:rPr>
                <w:rFonts w:cs="Tahoma"/>
                <w:color w:val="000000"/>
                <w:lang w:val="pt-BR"/>
              </w:rPr>
              <w:t>Bridge do Pacote de CALs Empresariais para Office 365</w:t>
            </w:r>
          </w:p>
        </w:tc>
        <w:tc>
          <w:tcPr>
            <w:tcW w:w="1656" w:type="pct"/>
            <w:tcBorders>
              <w:top w:val="nil"/>
              <w:left w:val="nil"/>
              <w:bottom w:val="single" w:sz="8" w:space="0" w:color="auto"/>
              <w:right w:val="single" w:sz="8" w:space="0" w:color="auto"/>
            </w:tcBorders>
          </w:tcPr>
          <w:p w:rsidR="008B1196" w:rsidRPr="00EB4D74" w:rsidRDefault="008B1196" w:rsidP="00EA30FC">
            <w:pPr>
              <w:numPr>
                <w:ilvl w:val="0"/>
                <w:numId w:val="87"/>
              </w:numPr>
              <w:spacing w:before="80" w:after="200" w:line="276" w:lineRule="auto"/>
              <w:ind w:left="449" w:hanging="270"/>
              <w:jc w:val="both"/>
              <w:rPr>
                <w:rFonts w:eastAsia="Times New Roman" w:cs="Tahoma"/>
                <w:szCs w:val="18"/>
              </w:rPr>
            </w:pPr>
            <w:r w:rsidRPr="00EB4D74">
              <w:rPr>
                <w:rFonts w:cs="Tahoma"/>
                <w:color w:val="000000"/>
                <w:lang w:val="pt-BR"/>
              </w:rPr>
              <w:t>Enterprise CAL Suite</w:t>
            </w:r>
          </w:p>
        </w:tc>
        <w:tc>
          <w:tcPr>
            <w:tcW w:w="1726" w:type="pct"/>
            <w:tcBorders>
              <w:top w:val="nil"/>
              <w:left w:val="nil"/>
              <w:bottom w:val="single" w:sz="8" w:space="0" w:color="auto"/>
              <w:right w:val="single" w:sz="8" w:space="0" w:color="auto"/>
            </w:tcBorders>
          </w:tcPr>
          <w:p w:rsidR="008B1196" w:rsidRPr="00EB4D74" w:rsidRDefault="008B1196" w:rsidP="00EA30FC">
            <w:pPr>
              <w:numPr>
                <w:ilvl w:val="0"/>
                <w:numId w:val="88"/>
              </w:numPr>
              <w:spacing w:before="80" w:after="200" w:line="276" w:lineRule="auto"/>
              <w:ind w:left="630"/>
              <w:rPr>
                <w:rFonts w:cs="Tahoma"/>
              </w:rPr>
            </w:pPr>
            <w:r w:rsidRPr="00EB4D74">
              <w:rPr>
                <w:rFonts w:cs="Tahoma"/>
                <w:color w:val="000000"/>
                <w:lang w:val="pt-BR"/>
              </w:rPr>
              <w:t>Office 365 Plano E3 ou</w:t>
            </w:r>
          </w:p>
          <w:p w:rsidR="008B1196" w:rsidRPr="00EB4D74" w:rsidRDefault="008B1196" w:rsidP="00EA30FC">
            <w:pPr>
              <w:numPr>
                <w:ilvl w:val="0"/>
                <w:numId w:val="88"/>
              </w:numPr>
              <w:spacing w:before="80" w:after="200" w:line="276" w:lineRule="auto"/>
              <w:ind w:left="630"/>
              <w:rPr>
                <w:rFonts w:eastAsia="Times New Roman" w:cs="Tahoma"/>
                <w:color w:val="000000"/>
                <w:szCs w:val="18"/>
              </w:rPr>
            </w:pPr>
            <w:r w:rsidRPr="00EB4D74">
              <w:rPr>
                <w:rFonts w:eastAsia="Times New Roman" w:cs="Tahoma"/>
                <w:color w:val="000000"/>
                <w:szCs w:val="18"/>
                <w:lang w:val="pt-BR"/>
              </w:rPr>
              <w:t>Office 365 Plano E4</w:t>
            </w:r>
          </w:p>
        </w:tc>
      </w:tr>
      <w:tr w:rsidR="008B1196" w:rsidRPr="00EB4D74" w:rsidTr="00EA30FC">
        <w:trPr>
          <w:trHeight w:val="576"/>
          <w:jc w:val="center"/>
        </w:trPr>
        <w:tc>
          <w:tcPr>
            <w:tcW w:w="1618" w:type="pct"/>
            <w:tcBorders>
              <w:top w:val="nil"/>
              <w:left w:val="single" w:sz="8" w:space="0" w:color="auto"/>
              <w:bottom w:val="single" w:sz="8" w:space="0" w:color="auto"/>
              <w:right w:val="single" w:sz="8" w:space="0" w:color="auto"/>
            </w:tcBorders>
          </w:tcPr>
          <w:p w:rsidR="008B1196" w:rsidRPr="00EB4D74" w:rsidRDefault="008B1196" w:rsidP="00EA30FC">
            <w:pPr>
              <w:numPr>
                <w:ilvl w:val="0"/>
                <w:numId w:val="86"/>
              </w:numPr>
              <w:spacing w:before="60" w:after="60" w:line="276" w:lineRule="auto"/>
              <w:ind w:left="535" w:right="180"/>
              <w:rPr>
                <w:rFonts w:eastAsia="Times New Roman" w:cs="Tahoma"/>
                <w:szCs w:val="18"/>
              </w:rPr>
            </w:pPr>
            <w:r w:rsidRPr="00EB4D74">
              <w:rPr>
                <w:rFonts w:cs="Tahoma"/>
                <w:color w:val="000000"/>
                <w:lang w:val="pt-BR"/>
              </w:rPr>
              <w:t>Bridge do Pacote de CALs Empresariais para Office 365 e Windows Intune</w:t>
            </w:r>
          </w:p>
        </w:tc>
        <w:tc>
          <w:tcPr>
            <w:tcW w:w="1656" w:type="pct"/>
            <w:tcBorders>
              <w:top w:val="nil"/>
              <w:left w:val="nil"/>
              <w:bottom w:val="single" w:sz="8" w:space="0" w:color="auto"/>
              <w:right w:val="single" w:sz="8" w:space="0" w:color="auto"/>
            </w:tcBorders>
          </w:tcPr>
          <w:p w:rsidR="008B1196" w:rsidRPr="00EB4D74" w:rsidRDefault="008B1196" w:rsidP="00EA30FC">
            <w:pPr>
              <w:numPr>
                <w:ilvl w:val="0"/>
                <w:numId w:val="87"/>
              </w:numPr>
              <w:spacing w:before="80" w:after="200" w:line="276" w:lineRule="auto"/>
              <w:ind w:left="449" w:hanging="270"/>
              <w:jc w:val="both"/>
              <w:rPr>
                <w:rFonts w:eastAsia="Times New Roman" w:cs="Tahoma"/>
                <w:szCs w:val="18"/>
              </w:rPr>
            </w:pPr>
            <w:r w:rsidRPr="00EB4D74">
              <w:rPr>
                <w:rFonts w:cs="Tahoma"/>
                <w:color w:val="000000"/>
                <w:lang w:val="pt-BR"/>
              </w:rPr>
              <w:t>Enterprise CAL Suite</w:t>
            </w:r>
          </w:p>
        </w:tc>
        <w:tc>
          <w:tcPr>
            <w:tcW w:w="1726" w:type="pct"/>
            <w:tcBorders>
              <w:top w:val="nil"/>
              <w:left w:val="nil"/>
              <w:bottom w:val="single" w:sz="8" w:space="0" w:color="auto"/>
              <w:right w:val="single" w:sz="8" w:space="0" w:color="auto"/>
            </w:tcBorders>
          </w:tcPr>
          <w:p w:rsidR="008B1196" w:rsidRPr="00EB4D74" w:rsidRDefault="008B1196" w:rsidP="00EA30FC">
            <w:pPr>
              <w:numPr>
                <w:ilvl w:val="0"/>
                <w:numId w:val="88"/>
              </w:numPr>
              <w:spacing w:before="80" w:after="200" w:line="276" w:lineRule="auto"/>
              <w:ind w:left="630"/>
              <w:rPr>
                <w:rFonts w:cs="Tahoma"/>
              </w:rPr>
            </w:pPr>
            <w:r w:rsidRPr="00EB4D74">
              <w:rPr>
                <w:rFonts w:cs="Tahoma"/>
                <w:color w:val="000000"/>
                <w:lang w:val="pt-BR"/>
              </w:rPr>
              <w:t>Office 365 Plano E3 e Windows Intune ou</w:t>
            </w:r>
          </w:p>
          <w:p w:rsidR="008B1196" w:rsidRPr="00EB4D74" w:rsidRDefault="008B1196" w:rsidP="00EA30FC">
            <w:pPr>
              <w:numPr>
                <w:ilvl w:val="0"/>
                <w:numId w:val="88"/>
              </w:numPr>
              <w:spacing w:before="80" w:after="200" w:line="276" w:lineRule="auto"/>
              <w:ind w:left="630"/>
              <w:rPr>
                <w:rFonts w:eastAsia="Times New Roman" w:cs="Tahoma"/>
                <w:color w:val="000000"/>
                <w:szCs w:val="18"/>
                <w:lang w:val="it-IT"/>
              </w:rPr>
            </w:pPr>
            <w:r w:rsidRPr="00EB4D74">
              <w:rPr>
                <w:rFonts w:eastAsia="Times New Roman" w:cs="Tahoma"/>
                <w:color w:val="000000"/>
                <w:szCs w:val="18"/>
                <w:lang w:val="pt-BR"/>
              </w:rPr>
              <w:t>Office 365 Plano E4 e Windows Intune</w:t>
            </w:r>
          </w:p>
        </w:tc>
      </w:tr>
      <w:tr w:rsidR="008B1196" w:rsidRPr="00EB4D74" w:rsidTr="00EA30FC">
        <w:trPr>
          <w:trHeight w:val="576"/>
          <w:jc w:val="center"/>
        </w:trPr>
        <w:tc>
          <w:tcPr>
            <w:tcW w:w="1618" w:type="pct"/>
            <w:tcBorders>
              <w:top w:val="nil"/>
              <w:left w:val="single" w:sz="8" w:space="0" w:color="auto"/>
              <w:bottom w:val="single" w:sz="8" w:space="0" w:color="auto"/>
              <w:right w:val="single" w:sz="8" w:space="0" w:color="auto"/>
            </w:tcBorders>
          </w:tcPr>
          <w:p w:rsidR="008B1196" w:rsidRPr="00EB4D74" w:rsidRDefault="008B1196" w:rsidP="00EA30FC">
            <w:pPr>
              <w:numPr>
                <w:ilvl w:val="0"/>
                <w:numId w:val="86"/>
              </w:numPr>
              <w:spacing w:before="60" w:after="60" w:line="276" w:lineRule="auto"/>
              <w:ind w:left="535" w:right="180"/>
              <w:rPr>
                <w:rFonts w:eastAsia="Times New Roman" w:cs="Tahoma"/>
                <w:color w:val="000000"/>
                <w:szCs w:val="18"/>
                <w:lang w:eastAsia="ja-JP"/>
              </w:rPr>
            </w:pPr>
            <w:r w:rsidRPr="00EB4D74">
              <w:rPr>
                <w:rFonts w:cs="Tahoma"/>
                <w:lang w:val="pt-BR"/>
              </w:rPr>
              <w:t>Bridge do Pacote de CALs Empresariais para Windows Intune</w:t>
            </w:r>
          </w:p>
        </w:tc>
        <w:tc>
          <w:tcPr>
            <w:tcW w:w="1656" w:type="pct"/>
            <w:tcBorders>
              <w:top w:val="nil"/>
              <w:left w:val="nil"/>
              <w:bottom w:val="single" w:sz="8" w:space="0" w:color="auto"/>
              <w:right w:val="single" w:sz="8" w:space="0" w:color="auto"/>
            </w:tcBorders>
          </w:tcPr>
          <w:p w:rsidR="008B1196" w:rsidRPr="00EB4D74" w:rsidRDefault="008B1196" w:rsidP="00EA30FC">
            <w:pPr>
              <w:numPr>
                <w:ilvl w:val="0"/>
                <w:numId w:val="87"/>
              </w:numPr>
              <w:spacing w:before="80" w:after="200" w:line="276" w:lineRule="auto"/>
              <w:ind w:left="449" w:hanging="270"/>
              <w:jc w:val="both"/>
              <w:rPr>
                <w:rFonts w:eastAsia="Times New Roman" w:cs="Tahoma"/>
                <w:color w:val="000000"/>
                <w:szCs w:val="18"/>
                <w:lang w:eastAsia="ja-JP"/>
              </w:rPr>
            </w:pPr>
            <w:r w:rsidRPr="00EB4D74">
              <w:rPr>
                <w:rFonts w:cs="Tahoma"/>
                <w:lang w:val="pt-BR"/>
              </w:rPr>
              <w:t>Enterprise CAL Suite</w:t>
            </w:r>
          </w:p>
        </w:tc>
        <w:tc>
          <w:tcPr>
            <w:tcW w:w="1726" w:type="pct"/>
            <w:tcBorders>
              <w:top w:val="nil"/>
              <w:left w:val="nil"/>
              <w:bottom w:val="single" w:sz="8" w:space="0" w:color="auto"/>
              <w:right w:val="single" w:sz="8" w:space="0" w:color="auto"/>
            </w:tcBorders>
          </w:tcPr>
          <w:p w:rsidR="008B1196" w:rsidRPr="00EB4D74" w:rsidRDefault="008B1196" w:rsidP="00EA30FC">
            <w:pPr>
              <w:numPr>
                <w:ilvl w:val="0"/>
                <w:numId w:val="88"/>
              </w:numPr>
              <w:spacing w:before="80" w:after="200" w:line="276" w:lineRule="auto"/>
              <w:ind w:left="630"/>
              <w:rPr>
                <w:rFonts w:cs="Tahoma"/>
                <w:color w:val="000000"/>
                <w:szCs w:val="18"/>
              </w:rPr>
            </w:pPr>
            <w:r w:rsidRPr="00EB4D74">
              <w:rPr>
                <w:rFonts w:cs="Tahoma"/>
                <w:color w:val="000000"/>
                <w:lang w:val="pt-BR"/>
              </w:rPr>
              <w:t>Windows Intune</w:t>
            </w:r>
          </w:p>
        </w:tc>
      </w:tr>
    </w:tbl>
    <w:p w:rsidR="008B1196" w:rsidRPr="00EB4D74" w:rsidRDefault="008B1196" w:rsidP="008B1196">
      <w:pPr>
        <w:pStyle w:val="Heading3"/>
        <w:rPr>
          <w:rFonts w:ascii="Tahoma" w:hAnsi="Tahoma" w:cs="Tahoma"/>
        </w:rPr>
      </w:pPr>
      <w:bookmarkStart w:id="1233" w:name="_Toc336338304"/>
      <w:bookmarkStart w:id="1234" w:name="Srv_43EnterpriseCALSuite"/>
    </w:p>
    <w:p w:rsidR="008B1196" w:rsidRPr="00EB4D74" w:rsidRDefault="008B1196" w:rsidP="008B1196"/>
    <w:p w:rsidR="008B1196" w:rsidRPr="00EB4D74" w:rsidRDefault="008B1196" w:rsidP="008B1196">
      <w:pPr>
        <w:pStyle w:val="Heading3"/>
        <w:rPr>
          <w:rFonts w:ascii="Tahoma" w:hAnsi="Tahoma" w:cs="Tahoma"/>
        </w:rPr>
      </w:pPr>
      <w:bookmarkStart w:id="1235" w:name="_41_Pacote_de"/>
      <w:bookmarkStart w:id="1236" w:name="_Toc342914936"/>
      <w:bookmarkEnd w:id="1233"/>
      <w:bookmarkEnd w:id="1235"/>
      <w:r w:rsidRPr="00EB4D74">
        <w:rPr>
          <w:rFonts w:ascii="Tahoma" w:hAnsi="Tahoma" w:cs="Tahoma"/>
          <w:caps/>
          <w:color w:val="F66400"/>
          <w:sz w:val="22"/>
          <w:vertAlign w:val="superscript"/>
          <w:lang w:val="pt-BR"/>
        </w:rPr>
        <w:t>41</w:t>
      </w:r>
      <w:r w:rsidRPr="00EB4D74">
        <w:rPr>
          <w:rFonts w:ascii="Tahoma" w:hAnsi="Tahoma" w:cs="Tahoma"/>
          <w:color w:val="F66400"/>
          <w:sz w:val="22"/>
          <w:lang w:val="pt-BR"/>
        </w:rPr>
        <w:t xml:space="preserve"> Pacote de CALs Empresariais</w:t>
      </w:r>
      <w:bookmarkEnd w:id="1236"/>
    </w:p>
    <w:bookmarkEnd w:id="1234"/>
    <w:p w:rsidR="008B1196" w:rsidRPr="00EB4D74" w:rsidRDefault="008B1196" w:rsidP="008B1196">
      <w:pPr>
        <w:rPr>
          <w:rFonts w:cs="Tahoma"/>
        </w:rPr>
      </w:pPr>
    </w:p>
    <w:p w:rsidR="008B1196" w:rsidRPr="00EB4D74" w:rsidRDefault="008B1196" w:rsidP="008B1196">
      <w:pPr>
        <w:ind w:left="720"/>
        <w:rPr>
          <w:rFonts w:cs="Tahoma"/>
          <w:lang w:val="it-IT"/>
        </w:rPr>
      </w:pPr>
      <w:r w:rsidRPr="00EB4D74">
        <w:rPr>
          <w:rFonts w:cs="Tahoma"/>
          <w:szCs w:val="20"/>
          <w:lang w:val="pt-BR"/>
        </w:rPr>
        <w:t xml:space="preserve">O Enterprise CAL Suite é independente da versão e os direitos de uso de produto são determinados pelo status da cobertura do Software Assurance para o Enterprise CAL Suite. Se a cobertura for interrompida, os direitos de acesso sob as licenças perpétuas serão determinados com base nos direitos de uso de produto em vigor antes da interrupção. Os direitos associados a ofertas de Serviços Online expirarão em caso de interrupção da cobertura do Software Assurance, seja o Enterprise CAL Suite perpétuo ou não. </w:t>
      </w:r>
      <w:r w:rsidRPr="00EB4D74">
        <w:rPr>
          <w:rFonts w:cs="Tahoma"/>
          <w:lang w:val="pt-BR"/>
        </w:rPr>
        <w:t xml:space="preserve">A partir de 1° de dezembro de 2012, uma licença para o Enterprise CAL Suite com cobertura do Software Assurance ativa concede direitos equivalentes aos seguintes: Todos os componentes atuais do Pacote de CALs Principais, CAL Empresarial do Exchange Server 2013, CAL Empresarial do SharePoint Server 2013, CAL Empresarial do Lync Server 2013, CAL dos Serviços de Gerenciamento de Direitos do Windows Server 2012 e todos os componentes atuais do System Center 2012 Client Management Suite. </w:t>
      </w:r>
      <w:r w:rsidRPr="00EB4D74">
        <w:rPr>
          <w:rFonts w:cs="Tahoma"/>
          <w:color w:val="000000"/>
          <w:lang w:val="pt-BR"/>
        </w:rPr>
        <w:t xml:space="preserve">Para obter uma lista de componentes de uma licença do Pacote de CALs Empresariais adquirida antes de 1º de dezembro de 2012, consulte a Lista de produtos em vigor no momento da aquisição ou durante o prazo da cobertura do Software Assurance. </w:t>
      </w:r>
      <w:r w:rsidRPr="00EB4D74">
        <w:rPr>
          <w:rFonts w:cs="Tahoma"/>
          <w:lang w:val="pt-BR"/>
        </w:rPr>
        <w:t>Uma licença para o Enterprise CAL Suite é uma licença individual que deverá ser cedida a um único usuário ou dispositivo. Conforme disposto no contrato da licença por volume, os clientes não poderão separar os direitos sob o Enterprise CAL Suite para permitir que dois ou mais usuários ou dispositivos acessem seus diversos componentes ao mesmo tempo.</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color w:val="000000"/>
          <w:lang w:val="pt-BR"/>
        </w:rPr>
        <w:lastRenderedPageBreak/>
        <w:t>Direitos de Adequação (“True-up”)</w:t>
      </w:r>
    </w:p>
    <w:p w:rsidR="008B1196" w:rsidRPr="00EB4D74" w:rsidRDefault="008B1196" w:rsidP="008B1196">
      <w:pPr>
        <w:ind w:left="720"/>
        <w:rPr>
          <w:rFonts w:cs="Tahoma"/>
          <w:spacing w:val="-2"/>
          <w:lang w:val="pt-BR"/>
        </w:rPr>
      </w:pPr>
      <w:r w:rsidRPr="00EB4D74">
        <w:rPr>
          <w:rFonts w:cs="Tahoma"/>
          <w:spacing w:val="-2"/>
          <w:szCs w:val="18"/>
          <w:lang w:val="pt-BR"/>
        </w:rPr>
        <w:t>Não obstante qualquer outra disposição em contrário nos Direitos de Uso do Produto</w:t>
      </w:r>
      <w:r w:rsidRPr="00EB4D74">
        <w:rPr>
          <w:rFonts w:cs="Tahoma"/>
          <w:color w:val="000000"/>
          <w:spacing w:val="-2"/>
          <w:lang w:val="pt-BR"/>
        </w:rPr>
        <w:t>para Forefront Unified Access Gateway 2010 a partir de 1º de dezembro de 2012 para Clientes Qualificados, as licenças do Pacote de CALs Empresariais adquiridas sob os direitos de true-up depois de 1º de dezembro de 2012 permitem o acesso ao Forefront Unified Access Gateway 2010. “Clientes Qualificados” são clientes do Registro Enterprise ou do Registro Enterprise Subscription, Open Value Subscription (OVS) ou Enrollment for Education Solutions que adquiriram primeiro o Pacote de CALs Empresariais antes de 1º de dezembro de 2012 e que têm o direito sob o mesmo registro ou prazo de contrato do OVS de adquirir licenças adicionais depois de 1º de dezembro de 2012 mediante adequação (“true-up”). Essa exceção se aplica somente a licenças adquiridas sob os direitos de adequação (“true-up”) antes da primeira renovação do Cliente Qualificado após 1º de dezembro de 2012. Consulte a seção “Direitos de Uso Estendidos para produtos Forefront” abaixo para obter os direitos de uso estendidos sob o Pacote de CALs Empresariais para componentes do Forefront Protection Suite (parte do Pacote de CALs Empresariais até 30 de novembro de 2012).</w:t>
      </w:r>
    </w:p>
    <w:p w:rsidR="008B1196" w:rsidRPr="00EB4D74" w:rsidRDefault="008B1196" w:rsidP="008B1196">
      <w:pPr>
        <w:ind w:left="720"/>
        <w:rPr>
          <w:rFonts w:cs="Tahoma"/>
          <w:lang w:val="pt-BR"/>
        </w:rPr>
      </w:pPr>
    </w:p>
    <w:p w:rsidR="008B1196" w:rsidRPr="00EB4D74" w:rsidRDefault="008B1196" w:rsidP="008B1196">
      <w:pPr>
        <w:ind w:left="720"/>
        <w:rPr>
          <w:rFonts w:cs="Tahoma"/>
        </w:rPr>
      </w:pPr>
      <w:r w:rsidRPr="00EB4D74">
        <w:rPr>
          <w:rFonts w:cs="Tahoma"/>
          <w:color w:val="000000"/>
          <w:lang w:val="pt-BR"/>
        </w:rPr>
        <w:t>Renovação do Software Assurance para Forefront Unified Access Gateway fora do Pacote de CALs Empresariais</w:t>
      </w:r>
    </w:p>
    <w:p w:rsidR="008B1196" w:rsidRPr="00EB4D74" w:rsidRDefault="008B1196" w:rsidP="008B1196">
      <w:pPr>
        <w:ind w:left="720"/>
        <w:rPr>
          <w:rFonts w:cs="Tahoma"/>
          <w:lang w:val="pt-BR"/>
        </w:rPr>
      </w:pPr>
      <w:r w:rsidRPr="00EB4D74">
        <w:rPr>
          <w:rFonts w:cs="Tahoma"/>
          <w:color w:val="000000"/>
          <w:lang w:val="pt-BR"/>
        </w:rPr>
        <w:t>Os clientes licenciados a usar as licenças do Forefront Unified Access Gateway sob o Pacote de CALs Empresariais coberto com Software Assurance (sob as licenças adquiridas antes de 1º de dezembro de 2012 ou direitos de adequação (“true-up”) (conforme descrito acima)), mediante a primeira renovação da cobertura em ou depois de 1º de dezembro de 2012, têm a opção de adquirir a cobertura de Software Assurance para Forefront Unified Access Gateway fora do Pacote de CALs Empresariais sem primeiro adquirir uma licença separada do Forefront Unified Access Gateway. Esta oferta para adquirir o Forefront Unified Access Gateway é válida para uma série de licenças até o número total de licenças do Pacote de CALs Empresariais com Software Assurance imediatamente antes da renovação.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r w:rsidRPr="00EB4D74">
        <w:rPr>
          <w:rFonts w:cs="Tahoma"/>
          <w:b/>
          <w:color w:val="000000"/>
          <w:lang w:val="pt-BR"/>
        </w:rPr>
        <w:t>Direitos de Uso Estendidos para produtos Forefront</w:t>
      </w:r>
    </w:p>
    <w:p w:rsidR="008B1196" w:rsidRPr="00EB4D74" w:rsidRDefault="008B1196" w:rsidP="008B1196">
      <w:pPr>
        <w:ind w:left="720"/>
        <w:rPr>
          <w:rFonts w:cs="Tahoma"/>
          <w:spacing w:val="-2"/>
          <w:lang w:val="it-IT"/>
        </w:rPr>
      </w:pPr>
      <w:r w:rsidRPr="00EB4D74">
        <w:rPr>
          <w:rFonts w:cs="Tahoma"/>
          <w:color w:val="000000"/>
          <w:spacing w:val="-2"/>
          <w:lang w:val="pt-BR"/>
        </w:rPr>
        <w:t>Os Clientes com cobertura do Software Assurance ativa para o Pacote de CALs Empresariais a partir de 30 de novembro de 2012 podem continuar usando os serviços de componentes do Forefront Protection Suite (anteriormente parte do Pacote de CALs Empresariais) até o término e/ou renovação desta cobertura. Esses clientes também podem continuar a usar os componentes do Forefront para Office Communications Server, Forefront Protection 2010 para Exchange Server, Forefront Threat Management Gateway Web Protection Service e Forefront Protection 2010 para SharePoint Server do pacote até 31 de dezembro de 2015. Esses termos também se aplicam a licenças do Pacote de CALs Empresariais adquiridas por esses clientes antes de 31 de dezembro de 2015. O uso contínuo dos serviços online de componentes permanece sujeito aos termos e às condições do Contrato de Licenciamento por Volume do cliente, dos direitos de uso de produto para os serviços online e dos termos e das condições aqui.</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color w:val="000000"/>
          <w:lang w:val="pt-BR"/>
        </w:rPr>
        <w:t>Forefront Protection Suite</w:t>
      </w:r>
    </w:p>
    <w:p w:rsidR="008B1196" w:rsidRPr="00EB4D74" w:rsidRDefault="008B1196" w:rsidP="008B1196">
      <w:pPr>
        <w:ind w:left="720"/>
        <w:rPr>
          <w:rFonts w:cs="Tahoma"/>
        </w:rPr>
      </w:pPr>
      <w:r w:rsidRPr="00EB4D74">
        <w:rPr>
          <w:rFonts w:cs="Tahoma"/>
          <w:color w:val="000000"/>
          <w:szCs w:val="20"/>
          <w:lang w:val="pt-BR"/>
        </w:rPr>
        <w:t xml:space="preserve">Uma assinatura do Forefront Protection Suite consiste nos seguintes serviços online: </w:t>
      </w:r>
      <w:r w:rsidRPr="00EB4D74">
        <w:rPr>
          <w:rFonts w:cs="Tahoma"/>
          <w:color w:val="000000"/>
          <w:lang w:val="pt-BR"/>
        </w:rPr>
        <w:t>System Center 2012 Endpoint Protection, Forefront para Office Communications Server (anteriormente, Antigen para Serviço de Mensagens Instantâneas), Forefront Online Protection para Exchange (anteriormente, Exchange Hosted Filtering), Forefront Protection 2010 para Exchange Server, Forefront Threat Management Gateway Web Protection Service e Forefront Protection 2010 para SharePoint Server.</w:t>
      </w:r>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CALs Somente para Aluno (Licença Academic Open e Academic Select)</w:t>
      </w:r>
    </w:p>
    <w:p w:rsidR="008B1196" w:rsidRPr="00EB4D74" w:rsidRDefault="008B1196" w:rsidP="008B1196">
      <w:pPr>
        <w:ind w:left="720"/>
        <w:rPr>
          <w:rFonts w:cs="Tahoma"/>
        </w:rPr>
      </w:pPr>
      <w:r w:rsidRPr="00EB4D74">
        <w:rPr>
          <w:rFonts w:cs="Tahoma"/>
          <w:lang w:val="pt-BR"/>
        </w:rPr>
        <w:t>As CALs Somente para Aluno estão restritas a PCs de propriedade de um aluno ou de uma instituição licenciados dedicados a um aluno individual e NÃO se destinam ao uso em laboratórios ou salas de aula.</w:t>
      </w:r>
    </w:p>
    <w:p w:rsidR="008B1196" w:rsidRPr="00EB4D74" w:rsidRDefault="008B1196" w:rsidP="008B1196">
      <w:pPr>
        <w:ind w:left="540"/>
        <w:rPr>
          <w:rFonts w:cs="Tahoma"/>
        </w:rPr>
      </w:pPr>
    </w:p>
    <w:p w:rsidR="008B1196" w:rsidRPr="00EB4D74" w:rsidRDefault="008B1196" w:rsidP="008B1196">
      <w:pPr>
        <w:ind w:left="540"/>
        <w:rPr>
          <w:rFonts w:cs="Tahoma"/>
        </w:rPr>
      </w:pPr>
    </w:p>
    <w:p w:rsidR="008B1196" w:rsidRPr="00EB4D74" w:rsidRDefault="008B1196" w:rsidP="008B1196">
      <w:pPr>
        <w:pStyle w:val="Heading2"/>
        <w:ind w:left="270" w:hanging="270"/>
        <w:rPr>
          <w:rFonts w:ascii="Tahoma" w:hAnsi="Tahoma" w:cs="Tahoma"/>
        </w:rPr>
      </w:pPr>
      <w:bookmarkStart w:id="1237" w:name="_Toc336338305"/>
      <w:bookmarkStart w:id="1238" w:name="Srv_45ExchOnlineArchivingUserSL"/>
      <w:bookmarkStart w:id="1239" w:name="_Toc342914937"/>
      <w:bookmarkEnd w:id="1237"/>
      <w:bookmarkEnd w:id="1238"/>
      <w:r w:rsidRPr="00EB4D74">
        <w:rPr>
          <w:rFonts w:ascii="Tahoma" w:hAnsi="Tahoma" w:cs="Tahoma"/>
          <w:color w:val="F26200"/>
          <w:sz w:val="20"/>
          <w:vertAlign w:val="superscript"/>
          <w:lang w:val="pt-BR"/>
        </w:rPr>
        <w:t>42</w:t>
      </w:r>
      <w:r w:rsidRPr="00EB4D74">
        <w:rPr>
          <w:rFonts w:ascii="Tahoma" w:hAnsi="Tahoma" w:cs="Tahoma"/>
          <w:color w:val="F26200"/>
          <w:sz w:val="20"/>
          <w:lang w:val="pt-BR"/>
        </w:rPr>
        <w:t xml:space="preserve"> </w:t>
      </w:r>
      <w:r w:rsidRPr="00EB4D74">
        <w:rPr>
          <w:rFonts w:ascii="Tahoma" w:hAnsi="Tahoma" w:cs="Tahoma"/>
          <w:color w:val="F26200"/>
          <w:sz w:val="22"/>
          <w:lang w:val="pt-BR"/>
        </w:rPr>
        <w:t>Exchange Online Archiving (SL de Usuário)</w:t>
      </w:r>
      <w:bookmarkEnd w:id="1239"/>
    </w:p>
    <w:p w:rsidR="008B1196" w:rsidRPr="00EB4D74" w:rsidRDefault="008B1196" w:rsidP="008B1196">
      <w:pPr>
        <w:ind w:left="900"/>
        <w:rPr>
          <w:rFonts w:cs="Tahoma"/>
        </w:rPr>
      </w:pPr>
    </w:p>
    <w:p w:rsidR="008B1196" w:rsidRPr="00EB4D74" w:rsidRDefault="008B1196" w:rsidP="008B1196">
      <w:pPr>
        <w:pStyle w:val="ListParagraph"/>
        <w:rPr>
          <w:rFonts w:ascii="Tahoma" w:hAnsi="Tahoma" w:cs="Tahoma"/>
        </w:rPr>
      </w:pPr>
      <w:r w:rsidRPr="00EB4D74">
        <w:rPr>
          <w:rFonts w:ascii="Tahoma" w:hAnsi="Tahoma" w:cs="Tahoma"/>
          <w:color w:val="000000"/>
          <w:sz w:val="18"/>
        </w:rPr>
        <w:t>O Exchange Online Archiving é um serviço online sucessor do Exchange Hosted Archive.</w:t>
      </w:r>
    </w:p>
    <w:p w:rsidR="008B1196" w:rsidRPr="00EB4D74" w:rsidRDefault="008B1196" w:rsidP="008B1196">
      <w:pPr>
        <w:pStyle w:val="ListParagraph"/>
        <w:rPr>
          <w:rFonts w:ascii="Tahoma" w:hAnsi="Tahoma" w:cs="Tahoma"/>
          <w:sz w:val="18"/>
          <w:szCs w:val="18"/>
        </w:rPr>
      </w:pPr>
    </w:p>
    <w:p w:rsidR="008B1196" w:rsidRPr="00EB4D74" w:rsidRDefault="008B1196" w:rsidP="008B1196">
      <w:pPr>
        <w:ind w:left="720"/>
        <w:rPr>
          <w:rFonts w:cs="Tahoma"/>
        </w:rPr>
      </w:pPr>
      <w:r w:rsidRPr="00EB4D74">
        <w:rPr>
          <w:rFonts w:cs="Tahoma"/>
          <w:color w:val="000000"/>
          <w:lang w:val="pt-BR"/>
        </w:rPr>
        <w:t>Se você renovar a partir do Exchange Hosted Archive no Exchange Online Archiving e ainda não tiver migrado para o Exchange Online Archiving, seus usuários licenciados poderão continuar usando o serviço Exchange Hosted Archive sujeito aos termos do PUR de março de 2011 antes da migração para o Exchange Online Archiving e a expiração da sua assinatura do Exchange Online Archiving.</w:t>
      </w:r>
    </w:p>
    <w:p w:rsidR="008B1196" w:rsidRPr="00EB4D74" w:rsidRDefault="008B1196" w:rsidP="008B1196">
      <w:pPr>
        <w:ind w:left="720"/>
        <w:rPr>
          <w:rFonts w:cs="Tahoma"/>
        </w:rPr>
      </w:pPr>
    </w:p>
    <w:p w:rsidR="008B1196" w:rsidRPr="00EB4D74" w:rsidRDefault="008B1196" w:rsidP="008B1196">
      <w:pPr>
        <w:spacing w:after="60"/>
        <w:ind w:left="720"/>
        <w:rPr>
          <w:rFonts w:cs="Tahoma"/>
          <w:lang w:val="it-IT"/>
        </w:rPr>
      </w:pPr>
      <w:r w:rsidRPr="00EB4D74">
        <w:rPr>
          <w:rFonts w:cs="Tahoma"/>
          <w:b/>
          <w:color w:val="000000"/>
          <w:lang w:val="pt-BR"/>
        </w:rPr>
        <w:lastRenderedPageBreak/>
        <w:t>Nuvem da Comunidade do Governo (apenas para os Estados Unidos):</w:t>
      </w:r>
    </w:p>
    <w:p w:rsidR="008B1196" w:rsidRPr="00EB4D74" w:rsidRDefault="008B1196" w:rsidP="008B1196">
      <w:pPr>
        <w:ind w:left="720"/>
        <w:rPr>
          <w:rFonts w:cs="Tahoma"/>
          <w:lang w:val="it-IT"/>
        </w:rPr>
      </w:pPr>
      <w:r w:rsidRPr="00EB4D74">
        <w:rPr>
          <w:rFonts w:eastAsia="Times New Roman" w:cs="Tahoma"/>
          <w:color w:val="000000"/>
          <w:szCs w:val="18"/>
          <w:lang w:val="pt-BR"/>
        </w:rPr>
        <w:t xml:space="preserve">Alguns serviços online na família de produtos do Office 365 (incluindo Exchange Online Archiving) são oferecidos como serviços de nuvem da comunidade do governo e serviços de nuvem da comunidade não governamental. Os clientes podem ser provisionados como um ou outro, mas não com uma mistura dos dois. </w:t>
      </w:r>
      <w:r w:rsidRPr="00EB4D74">
        <w:rPr>
          <w:rFonts w:cs="Tahoma"/>
          <w:color w:val="000000"/>
          <w:lang w:val="pt-BR"/>
        </w:rPr>
        <w:t>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color w:val="000000"/>
          <w:lang w:val="pt-BR"/>
        </w:rPr>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 Os serviços de nuvem da comunidade do governo não estão qualificados para Transições e Reserva de Licença neste momento.</w:t>
      </w:r>
    </w:p>
    <w:p w:rsidR="008B1196" w:rsidRPr="00EB4D74" w:rsidRDefault="008B1196" w:rsidP="008B1196">
      <w:pPr>
        <w:ind w:left="540"/>
        <w:rPr>
          <w:rFonts w:cs="Tahoma"/>
          <w:lang w:val="it-IT"/>
        </w:rPr>
      </w:pPr>
    </w:p>
    <w:p w:rsidR="008B1196" w:rsidRPr="00EB4D74" w:rsidRDefault="008B1196" w:rsidP="008B1196">
      <w:pPr>
        <w:pStyle w:val="Heading2"/>
        <w:ind w:left="0"/>
        <w:rPr>
          <w:rFonts w:ascii="Tahoma" w:hAnsi="Tahoma" w:cs="Tahoma"/>
          <w:sz w:val="18"/>
          <w:szCs w:val="18"/>
          <w:lang w:val="it-IT"/>
        </w:rPr>
      </w:pPr>
    </w:p>
    <w:p w:rsidR="008B1196" w:rsidRPr="00EB4D74" w:rsidRDefault="008B1196" w:rsidP="008B1196">
      <w:pPr>
        <w:pStyle w:val="Heading2"/>
        <w:ind w:left="234" w:hanging="234"/>
        <w:rPr>
          <w:rFonts w:ascii="Tahoma" w:hAnsi="Tahoma" w:cs="Tahoma"/>
        </w:rPr>
      </w:pPr>
      <w:bookmarkStart w:id="1240" w:name="_Toc336338306"/>
      <w:bookmarkStart w:id="1241" w:name="Srv_44ExchHostArchiveandStorage"/>
      <w:bookmarkStart w:id="1242" w:name="_Toc342914938"/>
      <w:bookmarkEnd w:id="1240"/>
      <w:bookmarkEnd w:id="1241"/>
      <w:r w:rsidRPr="00EB4D74">
        <w:rPr>
          <w:rFonts w:ascii="Tahoma" w:hAnsi="Tahoma" w:cs="Tahoma"/>
          <w:color w:val="F26200"/>
          <w:sz w:val="20"/>
          <w:szCs w:val="20"/>
          <w:vertAlign w:val="superscript"/>
          <w:lang w:val="pt-BR"/>
        </w:rPr>
        <w:t>43</w:t>
      </w:r>
      <w:r w:rsidRPr="00EB4D74">
        <w:rPr>
          <w:rFonts w:ascii="Tahoma" w:hAnsi="Tahoma" w:cs="Tahoma"/>
          <w:color w:val="F26200"/>
          <w:sz w:val="22"/>
          <w:szCs w:val="22"/>
          <w:lang w:val="pt-BR"/>
        </w:rPr>
        <w:t xml:space="preserve"> Exchange Hosted Archive (SL de Usuário), Exchange Hosted Archive Extra Storage (SL Complementar)</w:t>
      </w:r>
      <w:bookmarkEnd w:id="1242"/>
    </w:p>
    <w:p w:rsidR="008B1196" w:rsidRPr="00EB4D74" w:rsidRDefault="008B1196" w:rsidP="008B1196">
      <w:pPr>
        <w:ind w:left="900"/>
        <w:rPr>
          <w:rFonts w:cs="Tahoma"/>
        </w:rPr>
      </w:pPr>
    </w:p>
    <w:p w:rsidR="008B1196" w:rsidRPr="00EB4D74" w:rsidRDefault="008B1196" w:rsidP="008B1196">
      <w:pPr>
        <w:spacing w:after="60"/>
        <w:ind w:left="720"/>
        <w:rPr>
          <w:rFonts w:cs="Tahoma"/>
        </w:rPr>
      </w:pPr>
      <w:r w:rsidRPr="00EB4D74">
        <w:rPr>
          <w:rFonts w:cs="Tahoma"/>
          <w:b/>
          <w:color w:val="000000"/>
          <w:lang w:val="pt-BR"/>
        </w:rPr>
        <w:t>Outorga de Licença de 1º de maio de 2011 para Clientes do Exchange Hosted Archive</w:t>
      </w:r>
    </w:p>
    <w:p w:rsidR="008B1196" w:rsidRPr="00EB4D74" w:rsidRDefault="008B1196" w:rsidP="008B1196">
      <w:pPr>
        <w:ind w:left="720"/>
        <w:rPr>
          <w:rFonts w:cs="Tahoma"/>
          <w:lang w:val="pt-BR"/>
        </w:rPr>
      </w:pPr>
      <w:r w:rsidRPr="00EB4D74">
        <w:rPr>
          <w:rFonts w:cs="Tahoma"/>
          <w:color w:val="000000"/>
          <w:lang w:val="pt-BR"/>
        </w:rPr>
        <w:t>Os clientes receberão uma quantidade de licenças adicional (“licenças complementares”) igual a 15% do número de licenças do Exchange Hosted Archive (EHA) que eles compraram e que estarão ativos a partir de 1º de maio de 2011 (“licenças de qualificação”). Desde que a licenças de qualificação do cliente continuem ativas, suas licenças complementares permanecerão válidas até o final do prazo da assinatura que coincide com a migração dos clientes de EHA para um Serviço Online sucessor, conforme especificado na tabela de migração a seguir. Os clientes que desejam continuar usando o Serviço Online sucessor depois da expiração de suas licenças complementares precisarão solicitar uma série de licenças igual ao número total de usuários que acessarão ou usarão esse Serviço Online.</w:t>
      </w:r>
    </w:p>
    <w:p w:rsidR="008B1196" w:rsidRPr="00EB4D74" w:rsidRDefault="008B1196" w:rsidP="008B1196">
      <w:pPr>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Outorga de Licença de Migração para Clientes do Exchange Hosted Archive</w:t>
      </w:r>
    </w:p>
    <w:p w:rsidR="008B1196" w:rsidRPr="00EB4D74" w:rsidRDefault="008B1196" w:rsidP="008B1196">
      <w:pPr>
        <w:ind w:left="720"/>
        <w:rPr>
          <w:rFonts w:cs="Tahoma"/>
          <w:lang w:val="pt-BR"/>
        </w:rPr>
      </w:pPr>
      <w:r w:rsidRPr="00EB4D74">
        <w:rPr>
          <w:rFonts w:cs="Tahoma"/>
          <w:color w:val="000000"/>
          <w:lang w:val="pt-BR"/>
        </w:rPr>
        <w:t>Os clientes EHA que migram para os Serviços Online sucessores receberão um número total de licenças de reposição para os Serviços Online sucessores igual ao número total de licenças EHA qualificadas e complementares, como pode ser visto na tabela a seguir. Essas licenças de reposição expirarão no final do período de assinatura, coincidindo com a migração do cliente de EHA para os Serviços Online sucessores.</w:t>
      </w:r>
    </w:p>
    <w:p w:rsidR="008B1196" w:rsidRPr="00EB4D74" w:rsidRDefault="008B1196" w:rsidP="008B1196">
      <w:pPr>
        <w:ind w:left="720"/>
        <w:rPr>
          <w:rFonts w:cs="Tahoma"/>
          <w:lang w:val="it-IT"/>
        </w:rPr>
      </w:pPr>
      <w:r w:rsidRPr="00EB4D74">
        <w:rPr>
          <w:rFonts w:cs="Tahoma"/>
          <w:color w:val="000000"/>
          <w:lang w:val="pt-BR"/>
        </w:rPr>
        <w:t>As SLs de Usuário do Exchange Online Plano 2 concedidas sob esta oferta de migração deverão ser atribuídas ao usuário para os quais as SLs de Usuário do Exchange Online Standard, Exchange Online Plan 2, BPOS Standard, Office 365 Plano E1, BPOS Deskless, Exchange Online Deskless ou Quiosque do Exchange Online Kiosk são atribuídas. Se a SL de Usuário correspondente for reatribuída a um novo usuário, então o Exchange Online Plano 2 também deverá ser realocada para o mesmo novo usuário.</w:t>
      </w:r>
    </w:p>
    <w:p w:rsidR="008B1196" w:rsidRPr="00EB4D74" w:rsidRDefault="008B1196" w:rsidP="008B1196">
      <w:pPr>
        <w:rPr>
          <w:rFonts w:cs="Tahoma"/>
          <w:lang w:val="it-IT"/>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8B1196" w:rsidRPr="00EB4D74" w:rsidTr="00EA30FC">
        <w:tc>
          <w:tcPr>
            <w:tcW w:w="7740" w:type="dxa"/>
            <w:gridSpan w:val="2"/>
            <w:shd w:val="clear" w:color="auto" w:fill="FABF8F"/>
          </w:tcPr>
          <w:p w:rsidR="008B1196" w:rsidRPr="00EB4D74" w:rsidRDefault="008B1196" w:rsidP="00EA30FC">
            <w:pPr>
              <w:jc w:val="center"/>
              <w:rPr>
                <w:rFonts w:eastAsia="Times New Roman" w:cs="Tahoma"/>
                <w:b/>
                <w:iCs/>
                <w:color w:val="000000"/>
                <w:lang w:val="it-IT"/>
              </w:rPr>
            </w:pPr>
            <w:r w:rsidRPr="00EB4D74">
              <w:rPr>
                <w:rFonts w:eastAsia="Times New Roman" w:cs="Tahoma"/>
                <w:b/>
                <w:iCs/>
                <w:color w:val="000000"/>
                <w:lang w:val="pt-BR"/>
              </w:rPr>
              <w:t>Outorga da Licença de Migração</w:t>
            </w:r>
          </w:p>
        </w:tc>
      </w:tr>
      <w:tr w:rsidR="008B1196" w:rsidRPr="00EB4D74" w:rsidTr="00EA30FC">
        <w:tc>
          <w:tcPr>
            <w:tcW w:w="3960" w:type="dxa"/>
          </w:tcPr>
          <w:p w:rsidR="008B1196" w:rsidRPr="00EB4D74" w:rsidRDefault="008B1196" w:rsidP="00EA30FC">
            <w:pPr>
              <w:jc w:val="center"/>
              <w:rPr>
                <w:rFonts w:eastAsia="Times New Roman" w:cs="Tahoma"/>
                <w:iCs/>
                <w:color w:val="000000"/>
                <w:lang w:val="it-IT"/>
              </w:rPr>
            </w:pPr>
            <w:r w:rsidRPr="00EB4D74">
              <w:rPr>
                <w:rFonts w:eastAsia="Times New Roman" w:cs="Tahoma"/>
                <w:iCs/>
                <w:color w:val="000000"/>
                <w:lang w:val="pt-BR"/>
              </w:rPr>
              <w:t>Posição da licença de qualificação</w:t>
            </w:r>
          </w:p>
        </w:tc>
        <w:tc>
          <w:tcPr>
            <w:tcW w:w="3780" w:type="dxa"/>
          </w:tcPr>
          <w:p w:rsidR="008B1196" w:rsidRPr="00EB4D74" w:rsidRDefault="008B1196" w:rsidP="00EA30FC">
            <w:pPr>
              <w:jc w:val="center"/>
              <w:rPr>
                <w:rFonts w:eastAsia="Times New Roman" w:cs="Tahoma"/>
                <w:iCs/>
                <w:color w:val="000000"/>
              </w:rPr>
            </w:pPr>
            <w:r w:rsidRPr="00EB4D74">
              <w:rPr>
                <w:rFonts w:eastAsia="Times New Roman" w:cs="Tahoma"/>
                <w:iCs/>
                <w:color w:val="000000"/>
                <w:lang w:val="pt-BR"/>
              </w:rPr>
              <w:t>Outorga de Licença</w:t>
            </w:r>
          </w:p>
        </w:tc>
      </w:tr>
      <w:tr w:rsidR="008B1196" w:rsidRPr="00EB4D74" w:rsidTr="00EA30FC">
        <w:tc>
          <w:tcPr>
            <w:tcW w:w="3960" w:type="dxa"/>
          </w:tcPr>
          <w:p w:rsidR="008B1196" w:rsidRPr="00EB4D74" w:rsidRDefault="008B1196" w:rsidP="00EA30FC">
            <w:pPr>
              <w:ind w:left="720" w:right="342"/>
              <w:contextualSpacing/>
              <w:rPr>
                <w:rFonts w:cs="Tahoma"/>
              </w:rPr>
            </w:pPr>
          </w:p>
          <w:p w:rsidR="008B1196" w:rsidRPr="00EB4D74" w:rsidRDefault="008B1196" w:rsidP="00EA30FC">
            <w:pPr>
              <w:spacing w:after="60"/>
              <w:ind w:left="158" w:right="346"/>
              <w:rPr>
                <w:rFonts w:cs="Tahoma"/>
              </w:rPr>
            </w:pPr>
            <w:r w:rsidRPr="00EB4D74">
              <w:rPr>
                <w:rFonts w:cs="Tahoma"/>
                <w:color w:val="000000"/>
                <w:lang w:val="pt-BR"/>
              </w:rPr>
              <w:t>SL de Usuário EHA (usada junto com uma CAL do Exchange na instalação)</w:t>
            </w:r>
          </w:p>
          <w:p w:rsidR="008B1196" w:rsidRPr="00EB4D74" w:rsidRDefault="008B1196" w:rsidP="00EA30FC">
            <w:pPr>
              <w:spacing w:after="60"/>
              <w:ind w:left="158" w:right="346"/>
              <w:rPr>
                <w:rFonts w:cs="Tahoma"/>
              </w:rPr>
            </w:pPr>
            <w:r w:rsidRPr="00EB4D74">
              <w:rPr>
                <w:rFonts w:cs="Tahoma"/>
                <w:color w:val="000000"/>
                <w:lang w:val="pt-BR"/>
              </w:rPr>
              <w:t>A SL de Usuário do EHA (usada com SLs de Usuário para Exchange Online Standard, Exchange Online Plano</w:t>
            </w:r>
          </w:p>
          <w:p w:rsidR="008B1196" w:rsidRPr="00EB4D74" w:rsidRDefault="008B1196" w:rsidP="00EA30FC">
            <w:pPr>
              <w:spacing w:after="60"/>
              <w:ind w:left="158" w:right="346"/>
              <w:rPr>
                <w:rFonts w:eastAsia="Times New Roman" w:cs="Tahoma"/>
                <w:iCs/>
                <w:color w:val="000000"/>
              </w:rPr>
            </w:pPr>
            <w:r w:rsidRPr="00EB4D74">
              <w:rPr>
                <w:rFonts w:eastAsia="Times New Roman" w:cs="Tahoma"/>
                <w:iCs/>
                <w:color w:val="000000"/>
                <w:lang w:val="pt-BR"/>
              </w:rPr>
              <w:t>2, BPOS Standard, Office 365 E1, BPOS Deskless, Exchange Online Deskless ou Quiosque do Exchange Online)</w:t>
            </w:r>
          </w:p>
        </w:tc>
        <w:tc>
          <w:tcPr>
            <w:tcW w:w="3780" w:type="dxa"/>
          </w:tcPr>
          <w:p w:rsidR="008B1196" w:rsidRPr="00EB4D74" w:rsidRDefault="008B1196" w:rsidP="00EA30FC">
            <w:pPr>
              <w:ind w:left="720"/>
              <w:contextualSpacing/>
              <w:rPr>
                <w:rFonts w:cs="Tahoma"/>
              </w:rPr>
            </w:pPr>
          </w:p>
          <w:p w:rsidR="008B1196" w:rsidRPr="00EB4D74" w:rsidRDefault="008B1196" w:rsidP="00EA30FC">
            <w:pPr>
              <w:numPr>
                <w:ilvl w:val="0"/>
                <w:numId w:val="89"/>
              </w:numPr>
              <w:ind w:right="342"/>
              <w:contextualSpacing/>
              <w:rPr>
                <w:rFonts w:eastAsia="Times New Roman" w:cs="Tahoma"/>
                <w:iCs/>
                <w:color w:val="000000"/>
              </w:rPr>
            </w:pPr>
            <w:r w:rsidRPr="00EB4D74">
              <w:rPr>
                <w:rFonts w:eastAsia="Times New Roman" w:cs="Tahoma"/>
                <w:iCs/>
                <w:color w:val="000000"/>
                <w:lang w:val="pt-BR"/>
              </w:rPr>
              <w:t>SL de Usuário do Exchange Online Plano 2</w:t>
            </w:r>
          </w:p>
        </w:tc>
      </w:tr>
    </w:tbl>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lastRenderedPageBreak/>
        <w:t>Uso Contínuo do Exchange Hosted Archive (EHA) com Assinaturas Ativas para Business Productivity Online Subscription (BPOS) e Exchange Online Standard</w:t>
      </w:r>
    </w:p>
    <w:p w:rsidR="008B1196" w:rsidRPr="00EB4D74" w:rsidRDefault="008B1196" w:rsidP="008B1196">
      <w:pPr>
        <w:ind w:left="720"/>
        <w:rPr>
          <w:rFonts w:cs="Tahoma"/>
          <w:lang w:val="it-IT"/>
        </w:rPr>
      </w:pPr>
      <w:r w:rsidRPr="00EB4D74">
        <w:rPr>
          <w:rFonts w:cs="Tahoma"/>
          <w:color w:val="000000"/>
          <w:lang w:val="pt-BR"/>
        </w:rPr>
        <w:t>Os clientes com assinaturas EHA que estão expirando que ainda não foram migrados para o Office 365 e que estão atualmente implementados no BPOS ou Exchange Online Standard podem continuar a usar o EHA depois da expiração de sua assinatura e até (i) sua migração para o Office 365 ou (ii) expiração de sua assinatura do BPOS ou Exchange Online Standard, o que acontecer primeiro. O uso dos clientes de EHA sob sua oferta está sujeito aos termos e às condições de seu contrato de Licenciamento por Volume e os termos de licença de EHA nos Direitos de Uso do Produto de janeiro de 2011. Considera-se que os clientes tenham uma licença de assinatura de dispositivo ou usuário EHA temporária para cada uma das suas licenças de assinatura de dispositivo ou usuário EHA expiradas. Essas licenças de assinatura de dispositivo ou usuário EHA temporárias podem ser designadas apenas a usuários e dispositivos para os quais ou cujas licenças de BPOS ou do Exchange Online Standard foram atribuídas. O EHA é licenciado no estado em que se encontra sem nenhum tipo de garantia.</w:t>
      </w:r>
    </w:p>
    <w:p w:rsidR="008B1196" w:rsidRPr="00EB4D74" w:rsidRDefault="008B1196" w:rsidP="008B1196">
      <w:pPr>
        <w:ind w:left="720"/>
        <w:rPr>
          <w:rFonts w:cs="Tahoma"/>
          <w:lang w:val="it-IT"/>
        </w:rPr>
      </w:pPr>
    </w:p>
    <w:p w:rsidR="008B1196" w:rsidRPr="00EB4D74" w:rsidRDefault="008B1196" w:rsidP="008B1196">
      <w:pPr>
        <w:pStyle w:val="Heading2"/>
        <w:rPr>
          <w:rFonts w:ascii="Tahoma" w:hAnsi="Tahoma" w:cs="Tahoma"/>
          <w:sz w:val="18"/>
          <w:szCs w:val="18"/>
          <w:lang w:val="it-IT"/>
        </w:rPr>
      </w:pPr>
    </w:p>
    <w:p w:rsidR="008B1196" w:rsidRPr="00EB4D74" w:rsidRDefault="008B1196" w:rsidP="008B1196">
      <w:pPr>
        <w:pStyle w:val="Heading2"/>
        <w:ind w:left="0"/>
        <w:rPr>
          <w:rFonts w:ascii="Tahoma" w:hAnsi="Tahoma" w:cs="Tahoma"/>
        </w:rPr>
      </w:pPr>
      <w:bookmarkStart w:id="1243" w:name="_Toc336338307"/>
      <w:bookmarkStart w:id="1244" w:name="Srv_39ExchangeOnDeskWork"/>
      <w:bookmarkStart w:id="1245" w:name="_Toc342914939"/>
      <w:bookmarkEnd w:id="1243"/>
      <w:bookmarkEnd w:id="1244"/>
      <w:r w:rsidRPr="00EB4D74">
        <w:rPr>
          <w:rFonts w:ascii="Tahoma" w:hAnsi="Tahoma" w:cs="Tahoma"/>
          <w:color w:val="E25B00"/>
          <w:sz w:val="22"/>
          <w:szCs w:val="22"/>
          <w:vertAlign w:val="superscript"/>
        </w:rPr>
        <w:t>44</w:t>
      </w:r>
      <w:r w:rsidRPr="00EB4D74">
        <w:rPr>
          <w:rFonts w:ascii="Tahoma" w:hAnsi="Tahoma" w:cs="Tahoma"/>
          <w:color w:val="E25B00"/>
          <w:sz w:val="22"/>
          <w:szCs w:val="22"/>
        </w:rPr>
        <w:t xml:space="preserve"> </w:t>
      </w:r>
      <w:r w:rsidRPr="00EB4D74">
        <w:rPr>
          <w:rFonts w:ascii="Tahoma" w:hAnsi="Tahoma" w:cs="Tahoma"/>
          <w:color w:val="E25B00"/>
          <w:sz w:val="22"/>
          <w:lang w:val="pt-BR"/>
        </w:rPr>
        <w:t>Exchange Hosted Encryption (SL de Usuário)</w:t>
      </w:r>
      <w:bookmarkEnd w:id="1245"/>
    </w:p>
    <w:p w:rsidR="008B1196" w:rsidRPr="00EB4D74" w:rsidRDefault="008B1196" w:rsidP="008B1196">
      <w:pPr>
        <w:ind w:left="900"/>
        <w:rPr>
          <w:rFonts w:cs="Tahoma"/>
        </w:rPr>
      </w:pPr>
    </w:p>
    <w:p w:rsidR="008B1196" w:rsidRPr="00EB4D74" w:rsidRDefault="008B1196" w:rsidP="008B1196">
      <w:pPr>
        <w:ind w:left="720"/>
        <w:rPr>
          <w:rFonts w:cs="Tahoma"/>
          <w:lang w:val="it-IT"/>
        </w:rPr>
      </w:pPr>
      <w:r w:rsidRPr="00EB4D74">
        <w:rPr>
          <w:rFonts w:cs="Tahoma"/>
          <w:lang w:val="pt-BR"/>
        </w:rPr>
        <w:t>Os clientes deverão usar o mesmo registro de contrato Select, registro de contrato Enterprise ou contrato Open Value ativo para fazer pedidos subsequentes ao pedido inicial.</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color w:val="000000"/>
          <w:lang w:val="pt-BR"/>
        </w:rPr>
        <w:t xml:space="preserve">Consulte a </w:t>
      </w:r>
      <w:hyperlink w:anchor="_Seção_5_–_1" w:history="1">
        <w:r w:rsidRPr="00EB4D74">
          <w:rPr>
            <w:rStyle w:val="Hyperlink"/>
            <w:rFonts w:cs="Tahoma"/>
            <w:lang w:val="pt-BR"/>
          </w:rPr>
          <w:t>Seção 5</w:t>
        </w:r>
      </w:hyperlink>
      <w:r w:rsidRPr="00EB4D74">
        <w:rPr>
          <w:rFonts w:cs="Tahoma"/>
          <w:color w:val="000000"/>
          <w:lang w:val="pt-BR"/>
        </w:rPr>
        <w:t xml:space="preserve"> para obter informações sobre os termos de pagamento e preços dos serviços online.</w:t>
      </w:r>
    </w:p>
    <w:p w:rsidR="008B1196" w:rsidRPr="00EB4D74" w:rsidRDefault="008B1196" w:rsidP="008B1196">
      <w:pPr>
        <w:ind w:left="900"/>
        <w:rPr>
          <w:rFonts w:cs="Tahoma"/>
          <w:lang w:val="it-IT"/>
        </w:rPr>
      </w:pPr>
    </w:p>
    <w:p w:rsidR="008B1196" w:rsidRPr="00EB4D74" w:rsidRDefault="008B1196" w:rsidP="008B1196">
      <w:pPr>
        <w:ind w:left="900"/>
        <w:rPr>
          <w:rFonts w:cs="Tahoma"/>
          <w:lang w:val="it-IT"/>
        </w:rPr>
      </w:pPr>
    </w:p>
    <w:p w:rsidR="008B1196" w:rsidRPr="00EB4D74" w:rsidRDefault="008B1196" w:rsidP="008B1196">
      <w:pPr>
        <w:pStyle w:val="Heading3"/>
        <w:rPr>
          <w:rFonts w:ascii="Tahoma" w:hAnsi="Tahoma" w:cs="Tahoma"/>
        </w:rPr>
      </w:pPr>
      <w:bookmarkStart w:id="1246" w:name="_Toc336338308"/>
      <w:bookmarkStart w:id="1247" w:name="_Toc342914940"/>
      <w:bookmarkStart w:id="1248" w:name="Srv_40ExchangeOnDeskWork"/>
      <w:bookmarkStart w:id="1249" w:name="Srv_45ExchangeOnDeskWork"/>
      <w:bookmarkEnd w:id="1246"/>
      <w:r w:rsidRPr="00EB4D74">
        <w:rPr>
          <w:rFonts w:ascii="Tahoma" w:hAnsi="Tahoma" w:cs="Tahoma"/>
          <w:caps/>
          <w:color w:val="F66400"/>
          <w:sz w:val="22"/>
          <w:vertAlign w:val="superscript"/>
          <w:lang w:val="pt-BR"/>
        </w:rPr>
        <w:t>45</w:t>
      </w:r>
      <w:r w:rsidRPr="00EB4D74">
        <w:rPr>
          <w:rFonts w:ascii="Tahoma" w:hAnsi="Tahoma" w:cs="Tahoma"/>
          <w:caps/>
          <w:color w:val="F66400"/>
          <w:sz w:val="22"/>
          <w:lang w:val="pt-BR"/>
        </w:rPr>
        <w:t xml:space="preserve"> </w:t>
      </w:r>
      <w:r w:rsidRPr="00EB4D74">
        <w:rPr>
          <w:rFonts w:ascii="Tahoma" w:hAnsi="Tahoma" w:cs="Tahoma"/>
          <w:color w:val="F66400"/>
          <w:sz w:val="22"/>
          <w:lang w:val="pt-BR"/>
        </w:rPr>
        <w:t>Quiosque do Exchange Online (SL de Usuário)</w:t>
      </w:r>
      <w:bookmarkEnd w:id="1247"/>
    </w:p>
    <w:bookmarkEnd w:id="1248"/>
    <w:bookmarkEnd w:id="1249"/>
    <w:p w:rsidR="008B1196" w:rsidRPr="00EB4D74" w:rsidRDefault="008B1196" w:rsidP="008B1196">
      <w:pPr>
        <w:pStyle w:val="EndnoteText"/>
        <w:rPr>
          <w:rFonts w:ascii="Tahoma" w:hAnsi="Tahoma" w:cs="Tahoma"/>
          <w:sz w:val="18"/>
          <w:szCs w:val="18"/>
        </w:rPr>
      </w:pPr>
    </w:p>
    <w:p w:rsidR="008B1196" w:rsidRPr="00EB4D74" w:rsidRDefault="008B1196" w:rsidP="008B1196">
      <w:pPr>
        <w:ind w:left="720"/>
        <w:rPr>
          <w:rFonts w:cs="Tahoma"/>
        </w:rPr>
      </w:pPr>
      <w:r w:rsidRPr="00EB4D74">
        <w:rPr>
          <w:rFonts w:cs="Tahoma"/>
          <w:color w:val="000000"/>
          <w:lang w:val="pt-BR"/>
        </w:rPr>
        <w:t>Não obstante quaisquer disposições em contrário nos contratos de licença dos clientes, entre os usuários qualificados não estão incluídos os usuários licenciados para o Quiosque do Exchange Online.</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t>O Quiosque do Exchange Online era conhecido anteriormente como Exchange Online Deskless Worker.</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u w:val="single"/>
          <w:lang w:val="pt-BR"/>
        </w:rPr>
        <w:t>Nuvem da Comunidade do Governo (apenas para os Estados Unidos)</w:t>
      </w:r>
      <w:r w:rsidRPr="00EB4D74">
        <w:rPr>
          <w:rFonts w:cs="Tahoma"/>
          <w:color w:val="000000"/>
          <w:lang w:val="pt-BR"/>
        </w:rPr>
        <w:t>:</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color w:val="000000"/>
          <w:lang w:val="pt-BR"/>
        </w:rPr>
        <w:t>Alguns serviços online na família de produtos do Office 365 (incluindo Quiosque do Exchange Online)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pt-BR"/>
        </w:rPr>
      </w:pPr>
      <w:r w:rsidRPr="00EB4D74">
        <w:rPr>
          <w:rFonts w:cs="Tahoma"/>
          <w:color w:val="000000"/>
          <w:lang w:val="pt-BR"/>
        </w:rPr>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w:t>
      </w:r>
    </w:p>
    <w:p w:rsidR="008B1196" w:rsidRPr="00EB4D74" w:rsidRDefault="008B1196" w:rsidP="008B1196">
      <w:pPr>
        <w:pStyle w:val="Heading2"/>
        <w:rPr>
          <w:rFonts w:ascii="Tahoma" w:hAnsi="Tahoma" w:cs="Tahoma"/>
          <w:sz w:val="18"/>
          <w:szCs w:val="18"/>
          <w:lang w:val="pt-BR"/>
        </w:rPr>
      </w:pPr>
    </w:p>
    <w:p w:rsidR="008B1196" w:rsidRPr="00EB4D74" w:rsidRDefault="008B1196" w:rsidP="008B1196">
      <w:pPr>
        <w:rPr>
          <w:rFonts w:cs="Tahoma"/>
          <w:lang w:val="pt-BR"/>
        </w:rPr>
      </w:pPr>
    </w:p>
    <w:p w:rsidR="008B1196" w:rsidRPr="00EB4D74" w:rsidRDefault="008B1196" w:rsidP="008B1196">
      <w:pPr>
        <w:pStyle w:val="Heading2"/>
        <w:ind w:left="0"/>
        <w:rPr>
          <w:rFonts w:ascii="Tahoma" w:hAnsi="Tahoma" w:cs="Tahoma"/>
          <w:lang w:val="pt-BR"/>
        </w:rPr>
      </w:pPr>
      <w:bookmarkStart w:id="1250" w:name="_Toc336338309"/>
      <w:bookmarkStart w:id="1251" w:name="_Toc342914941"/>
      <w:bookmarkStart w:id="1252" w:name="Srv_46ExhangeOnlinePlan1"/>
      <w:bookmarkEnd w:id="1250"/>
      <w:r w:rsidRPr="00EB4D74">
        <w:rPr>
          <w:rFonts w:ascii="Tahoma" w:hAnsi="Tahoma" w:cs="Tahoma"/>
          <w:caps/>
          <w:color w:val="F66400"/>
          <w:sz w:val="22"/>
          <w:vertAlign w:val="superscript"/>
          <w:lang w:val="pt-BR"/>
        </w:rPr>
        <w:t>46</w:t>
      </w:r>
      <w:r w:rsidRPr="00EB4D74">
        <w:rPr>
          <w:rFonts w:ascii="Tahoma" w:hAnsi="Tahoma" w:cs="Tahoma"/>
          <w:color w:val="F66400"/>
          <w:sz w:val="22"/>
          <w:lang w:val="pt-BR"/>
        </w:rPr>
        <w:t xml:space="preserve"> Exchange Online Plano 1</w:t>
      </w:r>
      <w:bookmarkEnd w:id="1251"/>
    </w:p>
    <w:bookmarkEnd w:id="1252"/>
    <w:p w:rsidR="008B1196" w:rsidRPr="00EB4D74" w:rsidRDefault="008B1196" w:rsidP="008B1196">
      <w:pPr>
        <w:outlineLvl w:val="2"/>
        <w:rPr>
          <w:rFonts w:cs="Tahoma"/>
          <w:lang w:val="pt-BR"/>
        </w:rPr>
      </w:pPr>
    </w:p>
    <w:p w:rsidR="008B1196" w:rsidRPr="00EB4D74" w:rsidRDefault="008B1196" w:rsidP="008B1196">
      <w:pPr>
        <w:ind w:left="720"/>
        <w:contextualSpacing/>
        <w:rPr>
          <w:rFonts w:cs="Tahoma"/>
          <w:lang w:val="pt-BR"/>
        </w:rPr>
      </w:pPr>
      <w:r w:rsidRPr="00EB4D74">
        <w:rPr>
          <w:rFonts w:cs="Tahoma"/>
          <w:lang w:val="pt-BR"/>
        </w:rPr>
        <w:t>O Exchange Online Plano 1 era conhecido anteriormente como Exchange Online Standard.</w:t>
      </w:r>
    </w:p>
    <w:p w:rsidR="008B1196" w:rsidRPr="00EB4D74" w:rsidRDefault="008B1196" w:rsidP="008B1196">
      <w:pPr>
        <w:contextualSpacing/>
        <w:rPr>
          <w:rFonts w:cs="Tahoma"/>
          <w:lang w:val="pt-BR"/>
        </w:rPr>
      </w:pPr>
    </w:p>
    <w:p w:rsidR="008B1196" w:rsidRPr="00EB4D74" w:rsidRDefault="008B1196" w:rsidP="008B1196">
      <w:pPr>
        <w:ind w:left="720"/>
        <w:rPr>
          <w:rFonts w:cs="Tahoma"/>
          <w:lang w:val="pt-BR"/>
        </w:rPr>
      </w:pPr>
      <w:r w:rsidRPr="00EB4D74">
        <w:rPr>
          <w:rFonts w:cs="Tahoma"/>
          <w:color w:val="000000"/>
          <w:lang w:val="pt-BR"/>
        </w:rPr>
        <w:t>Não obstante quaisquer disposições em contrário nos Direitos de Uso de Produto, uma SL de Usuário do Exchange Online Plano 1 comprada sob um Contrato para Campus e School não permite acesso ao Exchange Server.</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bookmarkStart w:id="1253" w:name="Srv_41ExchangeSvr07EntCAL"/>
      <w:bookmarkStart w:id="1254" w:name="Srv_42ExchangeSvr2010EntCAL"/>
      <w:bookmarkStart w:id="1255" w:name="Srv_47ExchangeSvr2010EntCAL"/>
      <w:bookmarkEnd w:id="1253"/>
      <w:bookmarkEnd w:id="1254"/>
      <w:bookmarkEnd w:id="1255"/>
      <w:r w:rsidRPr="00EB4D74">
        <w:rPr>
          <w:rFonts w:cs="Tahoma"/>
          <w:b/>
          <w:color w:val="000000"/>
          <w:lang w:val="pt-BR"/>
        </w:rPr>
        <w:lastRenderedPageBreak/>
        <w:t>Nuvem da Comunidade do Governo (Apenas para os Estados Unidos)</w:t>
      </w:r>
    </w:p>
    <w:p w:rsidR="008B1196" w:rsidRPr="00EB4D74" w:rsidRDefault="008B1196" w:rsidP="008B1196">
      <w:pPr>
        <w:ind w:left="720"/>
        <w:rPr>
          <w:rFonts w:cs="Tahoma"/>
          <w:lang w:val="it-IT"/>
        </w:rPr>
      </w:pPr>
      <w:r w:rsidRPr="00EB4D74">
        <w:rPr>
          <w:rFonts w:eastAsia="Times New Roman" w:cs="Tahoma"/>
          <w:color w:val="000000"/>
          <w:szCs w:val="18"/>
          <w:lang w:val="pt-BR"/>
        </w:rPr>
        <w:t xml:space="preserve">Alguns serviços online na família de produtos do Office 365 (incluindo Exchange Online Plano 1) são oferecidos como serviços de nuvem da comunidade do governo e serviços de nuvem da comunidade não governamental. Os clientes podem ser provisionados como um ou outro, mas não com uma mistura dos dois. </w:t>
      </w:r>
      <w:r w:rsidRPr="00EB4D74">
        <w:rPr>
          <w:rFonts w:cs="Tahoma"/>
          <w:color w:val="000000"/>
          <w:lang w:val="pt-BR"/>
        </w:rPr>
        <w:t>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it-IT"/>
        </w:rPr>
      </w:pPr>
    </w:p>
    <w:p w:rsidR="008B1196" w:rsidRPr="00EB4D74" w:rsidRDefault="008B1196" w:rsidP="008B1196">
      <w:pPr>
        <w:ind w:left="720"/>
        <w:rPr>
          <w:rFonts w:cs="Tahoma"/>
          <w:lang w:val="pt-BR"/>
        </w:rPr>
      </w:pPr>
      <w:r w:rsidRPr="00EB4D74">
        <w:rPr>
          <w:rFonts w:cs="Tahoma"/>
          <w:color w:val="000000"/>
          <w:lang w:val="pt-BR"/>
        </w:rPr>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pStyle w:val="Heading2"/>
        <w:ind w:left="0"/>
        <w:rPr>
          <w:rFonts w:ascii="Tahoma" w:hAnsi="Tahoma" w:cs="Tahoma"/>
        </w:rPr>
      </w:pPr>
      <w:bookmarkStart w:id="1256" w:name="_Toc342914942"/>
      <w:bookmarkStart w:id="1257" w:name="Srv_50ExchangeOnlinePlan2"/>
      <w:r w:rsidRPr="00EB4D74">
        <w:rPr>
          <w:rFonts w:ascii="Tahoma" w:hAnsi="Tahoma" w:cs="Tahoma"/>
          <w:caps/>
          <w:color w:val="F66400"/>
          <w:sz w:val="22"/>
          <w:vertAlign w:val="superscript"/>
          <w:lang w:val="pt-BR"/>
        </w:rPr>
        <w:t>47</w:t>
      </w:r>
      <w:r w:rsidRPr="00EB4D74">
        <w:rPr>
          <w:rFonts w:ascii="Tahoma" w:hAnsi="Tahoma" w:cs="Tahoma"/>
          <w:color w:val="F66400"/>
          <w:sz w:val="22"/>
          <w:lang w:val="pt-BR"/>
        </w:rPr>
        <w:t xml:space="preserve"> Exchange Online Plano 2</w:t>
      </w:r>
      <w:bookmarkEnd w:id="1256"/>
    </w:p>
    <w:bookmarkEnd w:id="1257"/>
    <w:p w:rsidR="008B1196" w:rsidRPr="00EB4D74" w:rsidRDefault="008B1196" w:rsidP="008B1196">
      <w:pPr>
        <w:outlineLvl w:val="2"/>
        <w:rPr>
          <w:rFonts w:cs="Tahoma"/>
        </w:rPr>
      </w:pPr>
    </w:p>
    <w:p w:rsidR="008B1196" w:rsidRPr="00EB4D74" w:rsidRDefault="008B1196" w:rsidP="008B1196">
      <w:pPr>
        <w:pStyle w:val="ListParagraph"/>
        <w:rPr>
          <w:rFonts w:ascii="Tahoma" w:hAnsi="Tahoma" w:cs="Tahoma"/>
        </w:rPr>
      </w:pPr>
      <w:r w:rsidRPr="00EB4D74">
        <w:rPr>
          <w:rFonts w:ascii="Tahoma" w:hAnsi="Tahoma" w:cs="Tahoma"/>
          <w:color w:val="000000"/>
          <w:sz w:val="18"/>
        </w:rPr>
        <w:t>O Exchange Online Plan 2 é um serviço online sucessor do Exchange Hosted Archive.</w:t>
      </w:r>
    </w:p>
    <w:p w:rsidR="008B1196" w:rsidRPr="00EB4D74" w:rsidRDefault="008B1196" w:rsidP="008B1196">
      <w:pPr>
        <w:pStyle w:val="ListParagraph"/>
        <w:rPr>
          <w:rFonts w:ascii="Tahoma" w:hAnsi="Tahoma" w:cs="Tahoma"/>
          <w:sz w:val="18"/>
          <w:szCs w:val="18"/>
        </w:rPr>
      </w:pPr>
    </w:p>
    <w:p w:rsidR="008B1196" w:rsidRPr="00EB4D74" w:rsidRDefault="008B1196" w:rsidP="008B1196">
      <w:pPr>
        <w:ind w:left="720"/>
        <w:rPr>
          <w:rFonts w:cs="Tahoma"/>
        </w:rPr>
      </w:pPr>
      <w:r w:rsidRPr="00EB4D74">
        <w:rPr>
          <w:rFonts w:cs="Tahoma"/>
          <w:color w:val="000000"/>
          <w:lang w:val="pt-BR"/>
        </w:rPr>
        <w:t>Se você renovar a partir do Exchange Hosted Archive no Exchange Online Plano 2 e ainda não tiver migrado para o Exchange Online Plano 2, seus usuários licenciados poderão continuar usando o serviço Exchange Hosted Archive sujeito aos termos do PUR de março de 2011 antes da migração para o Exchange Online Plano 2 e a expiração da sua assinatura do Exchange Online Plano 2.</w:t>
      </w:r>
    </w:p>
    <w:p w:rsidR="008B1196" w:rsidRPr="00EB4D74" w:rsidRDefault="008B1196" w:rsidP="008B1196">
      <w:pPr>
        <w:ind w:left="720"/>
        <w:rPr>
          <w:rFonts w:cs="Tahoma"/>
        </w:rPr>
      </w:pPr>
    </w:p>
    <w:p w:rsidR="008B1196" w:rsidRPr="00EB4D74" w:rsidRDefault="008B1196" w:rsidP="008B1196">
      <w:pPr>
        <w:spacing w:after="60"/>
        <w:ind w:left="720"/>
        <w:rPr>
          <w:rFonts w:cs="Tahoma"/>
          <w:lang w:val="it-IT"/>
        </w:rPr>
      </w:pPr>
      <w:r w:rsidRPr="00EB4D74">
        <w:rPr>
          <w:rFonts w:cs="Tahoma"/>
          <w:b/>
          <w:color w:val="000000"/>
          <w:lang w:val="pt-BR"/>
        </w:rPr>
        <w:t>Nuvem da Comunidade do Governo (Apenas para os Estados Unidos)</w:t>
      </w:r>
    </w:p>
    <w:p w:rsidR="008B1196" w:rsidRPr="00EB4D74" w:rsidRDefault="008B1196" w:rsidP="008B1196">
      <w:pPr>
        <w:ind w:left="720"/>
        <w:rPr>
          <w:rFonts w:cs="Tahoma"/>
          <w:lang w:val="it-IT"/>
        </w:rPr>
      </w:pPr>
      <w:r w:rsidRPr="00EB4D74">
        <w:rPr>
          <w:rFonts w:eastAsia="Times New Roman" w:cs="Tahoma"/>
          <w:color w:val="000000"/>
          <w:szCs w:val="18"/>
          <w:lang w:val="pt-BR"/>
        </w:rPr>
        <w:t xml:space="preserve">Alguns serviços online na família de produtos do Office 365 (incluindo Exchange Online Plano 2) são oferecidos como serviços de nuvem da comunidade do governo e serviços de nuvem da comunidade não governamental. Os clientes podem ser provisionados como um ou outro, mas não com uma mistura dos dois. </w:t>
      </w:r>
      <w:r w:rsidRPr="00EB4D74">
        <w:rPr>
          <w:rFonts w:cs="Tahoma"/>
          <w:color w:val="000000"/>
          <w:lang w:val="pt-BR"/>
        </w:rPr>
        <w:t>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it-IT"/>
        </w:rPr>
      </w:pPr>
    </w:p>
    <w:p w:rsidR="008B1196" w:rsidRPr="00EB4D74" w:rsidRDefault="008B1196" w:rsidP="008B1196">
      <w:pPr>
        <w:ind w:left="720"/>
        <w:rPr>
          <w:rFonts w:cs="Tahoma"/>
          <w:lang w:val="pt-BR"/>
        </w:rPr>
      </w:pPr>
      <w:r w:rsidRPr="00EB4D74">
        <w:rPr>
          <w:rFonts w:cs="Tahoma"/>
          <w:color w:val="000000"/>
          <w:lang w:val="pt-BR"/>
        </w:rPr>
        <w:t xml:space="preserve">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w:t>
      </w:r>
      <w:bookmarkStart w:id="1258" w:name="_51_Exchange_Server"/>
      <w:bookmarkEnd w:id="1258"/>
      <w:r w:rsidRPr="00EB4D74">
        <w:rPr>
          <w:rFonts w:cs="Tahoma"/>
          <w:color w:val="000000"/>
          <w:lang w:val="pt-BR"/>
        </w:rPr>
        <w:t>Os Direitos de Uso para serviços de nuvem da comunidade do governo são equivalentes àqueles dos seus diversos locatários padrão.</w:t>
      </w:r>
    </w:p>
    <w:p w:rsidR="008B1196" w:rsidRPr="00EB4D74" w:rsidRDefault="008B1196" w:rsidP="008B1196">
      <w:pPr>
        <w:pStyle w:val="EndnoteText"/>
        <w:ind w:hanging="900"/>
        <w:rPr>
          <w:rFonts w:ascii="Tahoma" w:hAnsi="Tahoma" w:cs="Tahoma"/>
          <w:sz w:val="18"/>
          <w:szCs w:val="18"/>
          <w:lang w:val="pt-BR"/>
        </w:rPr>
      </w:pPr>
      <w:bookmarkStart w:id="1259" w:name="Srv_43ExchangeSvr2010"/>
    </w:p>
    <w:p w:rsidR="008B1196" w:rsidRPr="00EB4D74" w:rsidRDefault="008B1196" w:rsidP="008B1196">
      <w:pPr>
        <w:pStyle w:val="Heading2"/>
        <w:ind w:left="0"/>
        <w:rPr>
          <w:rFonts w:ascii="Tahoma" w:hAnsi="Tahoma" w:cs="Tahoma"/>
        </w:rPr>
      </w:pPr>
      <w:bookmarkStart w:id="1260" w:name="_49_Exchange_Server"/>
      <w:bookmarkStart w:id="1261" w:name="_Toc336338311"/>
      <w:bookmarkStart w:id="1262" w:name="Srv_50ExchangeServer2010StdCAL"/>
      <w:bookmarkStart w:id="1263" w:name="_Toc342914943"/>
      <w:bookmarkEnd w:id="1259"/>
      <w:bookmarkEnd w:id="1260"/>
      <w:bookmarkEnd w:id="1261"/>
      <w:bookmarkEnd w:id="1262"/>
      <w:r w:rsidRPr="00EB4D74">
        <w:rPr>
          <w:rFonts w:ascii="Tahoma" w:hAnsi="Tahoma" w:cs="Tahoma"/>
          <w:caps/>
          <w:color w:val="FA6500"/>
          <w:sz w:val="22"/>
          <w:vertAlign w:val="superscript"/>
          <w:lang w:val="pt-BR"/>
        </w:rPr>
        <w:t>48</w:t>
      </w:r>
      <w:r w:rsidRPr="00EB4D74">
        <w:rPr>
          <w:rFonts w:ascii="Tahoma" w:hAnsi="Tahoma" w:cs="Tahoma"/>
          <w:b w:val="0"/>
          <w:caps/>
          <w:color w:val="FA6500"/>
          <w:sz w:val="22"/>
          <w:lang w:val="pt-BR"/>
        </w:rPr>
        <w:t xml:space="preserve"> </w:t>
      </w:r>
      <w:r w:rsidRPr="00EB4D74">
        <w:rPr>
          <w:rFonts w:ascii="Tahoma" w:hAnsi="Tahoma" w:cs="Tahoma"/>
          <w:color w:val="FA6500"/>
          <w:sz w:val="22"/>
          <w:lang w:val="pt-BR"/>
        </w:rPr>
        <w:t>Exchange Server 2013 Enterprise e Standard Editions</w:t>
      </w:r>
      <w:bookmarkEnd w:id="1263"/>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t>Exchange Server 2013 é a versão mais recente do Exchange Server.</w:t>
      </w:r>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t>Outorga de Licença para Clientes do External Connector do Exchange Server 2010</w:t>
      </w:r>
    </w:p>
    <w:p w:rsidR="008B1196" w:rsidRPr="00EB4D74" w:rsidRDefault="008B1196" w:rsidP="008B1196">
      <w:pPr>
        <w:ind w:left="720"/>
        <w:rPr>
          <w:rFonts w:cs="Tahoma"/>
          <w:lang w:val="pt-BR"/>
        </w:rPr>
      </w:pPr>
      <w:bookmarkStart w:id="1264" w:name="Srv_42ExchangeSvr07"/>
      <w:bookmarkStart w:id="1265" w:name="Srv_48ExchangeSvr2010"/>
      <w:bookmarkEnd w:id="1264"/>
      <w:bookmarkEnd w:id="1265"/>
      <w:r w:rsidRPr="00EB4D74">
        <w:rPr>
          <w:rFonts w:cs="Tahoma"/>
          <w:color w:val="000000"/>
          <w:lang w:val="pt-BR"/>
        </w:rPr>
        <w:t>A versão 2010 do External Connector License do Exchange Server 2010 é a versão final dessa licença. Tendo isso em vista, os clientes com External Connector Licenses do Exchange Server 2010 com cobertura do Software Assurance ativa a partir de 1º de dezembro de 2012 estarão qualificados para a outorga de licença a seguir.</w:t>
      </w:r>
    </w:p>
    <w:p w:rsidR="008B1196" w:rsidRPr="00EB4D74" w:rsidRDefault="008B1196" w:rsidP="008B1196">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B1196" w:rsidRPr="00EB4D74" w:rsidTr="00EA30FC">
        <w:trPr>
          <w:trHeight w:val="332"/>
        </w:trPr>
        <w:tc>
          <w:tcPr>
            <w:tcW w:w="4500" w:type="dxa"/>
            <w:shd w:val="clear" w:color="auto" w:fill="FABF8F"/>
          </w:tcPr>
          <w:p w:rsidR="008B1196" w:rsidRPr="00EB4D74" w:rsidRDefault="008B1196" w:rsidP="00EA30FC">
            <w:pPr>
              <w:rPr>
                <w:rFonts w:cs="Tahoma"/>
                <w:b/>
                <w:color w:val="000000"/>
                <w:szCs w:val="18"/>
              </w:rPr>
            </w:pPr>
            <w:r w:rsidRPr="00EB4D74">
              <w:rPr>
                <w:rFonts w:cs="Tahoma"/>
                <w:b/>
                <w:color w:val="000000"/>
                <w:szCs w:val="18"/>
                <w:lang w:val="pt-BR"/>
              </w:rPr>
              <w:t>Licença de Qualificação</w:t>
            </w:r>
          </w:p>
        </w:tc>
        <w:tc>
          <w:tcPr>
            <w:tcW w:w="3600" w:type="dxa"/>
            <w:shd w:val="clear" w:color="auto" w:fill="FABF8F"/>
          </w:tcPr>
          <w:p w:rsidR="008B1196" w:rsidRPr="00EB4D74" w:rsidRDefault="008B1196" w:rsidP="00EA30FC">
            <w:pPr>
              <w:rPr>
                <w:rFonts w:cs="Tahoma"/>
                <w:b/>
                <w:color w:val="000000"/>
                <w:szCs w:val="18"/>
              </w:rPr>
            </w:pPr>
            <w:r w:rsidRPr="00EB4D74">
              <w:rPr>
                <w:rFonts w:cs="Tahoma"/>
                <w:b/>
                <w:color w:val="000000"/>
                <w:lang w:val="pt-BR"/>
              </w:rPr>
              <w:t>Licença Complementar e Benefícios</w:t>
            </w:r>
          </w:p>
        </w:tc>
      </w:tr>
      <w:tr w:rsidR="008B1196" w:rsidRPr="00EB4D74" w:rsidTr="00EA30FC">
        <w:trPr>
          <w:trHeight w:val="70"/>
        </w:trPr>
        <w:tc>
          <w:tcPr>
            <w:tcW w:w="4500" w:type="dxa"/>
          </w:tcPr>
          <w:p w:rsidR="008B1196" w:rsidRPr="00EB4D74" w:rsidRDefault="008B1196" w:rsidP="00EA30FC">
            <w:pPr>
              <w:rPr>
                <w:rFonts w:cs="Tahoma"/>
                <w:color w:val="000000"/>
                <w:szCs w:val="18"/>
              </w:rPr>
            </w:pPr>
            <w:r w:rsidRPr="00EB4D74">
              <w:rPr>
                <w:rFonts w:cs="Tahoma"/>
                <w:color w:val="000000"/>
                <w:lang w:val="pt-BR"/>
              </w:rPr>
              <w:t>Conector Externo do Exchange Server 2010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lang w:val="pt-BR"/>
              </w:rPr>
              <w:t>Licença do Exchange Server 2013 Enterprise</w:t>
            </w:r>
          </w:p>
        </w:tc>
      </w:tr>
    </w:tbl>
    <w:p w:rsidR="008B1196" w:rsidRPr="00EB4D74" w:rsidRDefault="008B1196" w:rsidP="008B1196">
      <w:pPr>
        <w:rPr>
          <w:rFonts w:cs="Tahoma"/>
        </w:rPr>
      </w:pPr>
    </w:p>
    <w:p w:rsidR="008B1196" w:rsidRPr="00EB4D74" w:rsidRDefault="008B1196" w:rsidP="008B1196">
      <w:pPr>
        <w:ind w:left="720"/>
        <w:rPr>
          <w:rFonts w:cs="Tahoma"/>
          <w:lang w:val="it-IT"/>
        </w:rPr>
      </w:pPr>
      <w:r w:rsidRPr="00EB4D74">
        <w:rPr>
          <w:rFonts w:cs="Tahoma"/>
          <w:color w:val="000000"/>
          <w:lang w:val="pt-BR"/>
        </w:rPr>
        <w:lastRenderedPageBreak/>
        <w:t>Os termos e as condições a seguir se aplicam à outorga de licença acima:</w:t>
      </w:r>
    </w:p>
    <w:p w:rsidR="008B1196" w:rsidRPr="00EB4D74" w:rsidRDefault="008B1196" w:rsidP="008B1196">
      <w:pPr>
        <w:ind w:left="720"/>
        <w:rPr>
          <w:rFonts w:cs="Tahoma"/>
          <w:lang w:val="it-IT"/>
        </w:rPr>
      </w:pPr>
    </w:p>
    <w:p w:rsidR="008B1196" w:rsidRPr="00EB4D74" w:rsidRDefault="008B1196" w:rsidP="008B1196">
      <w:pPr>
        <w:numPr>
          <w:ilvl w:val="0"/>
          <w:numId w:val="118"/>
        </w:numPr>
        <w:spacing w:after="60"/>
        <w:ind w:left="1440"/>
        <w:rPr>
          <w:rFonts w:cs="Tahoma"/>
          <w:lang w:val="it-IT"/>
        </w:rPr>
      </w:pPr>
      <w:r w:rsidRPr="00EB4D74">
        <w:rPr>
          <w:rFonts w:cs="Tahoma"/>
          <w:color w:val="000000"/>
          <w:lang w:val="pt-BR"/>
        </w:rPr>
        <w:t>Caminho de Migração: os clientes com cobertura do Software Assurance ativa para uma determinada Licença de Qualificação a partir de 1º de dezembro de 2012 e mediante o lançamento do Exchange Server 2013 estão qualificados para atualizar e usar o software Exchange Server 2013 sob a Licença Complementar em vez do software Exchange Server 2010 sob a Licença de qualificação do Conector Externo correspondente.</w:t>
      </w:r>
    </w:p>
    <w:p w:rsidR="008B1196" w:rsidRPr="00EB4D74" w:rsidRDefault="008B1196" w:rsidP="008B1196">
      <w:pPr>
        <w:numPr>
          <w:ilvl w:val="0"/>
          <w:numId w:val="118"/>
        </w:numPr>
        <w:spacing w:after="60"/>
        <w:ind w:left="1440"/>
        <w:rPr>
          <w:rFonts w:cs="Tahoma"/>
          <w:lang w:val="it-IT"/>
        </w:rPr>
      </w:pPr>
      <w:r w:rsidRPr="00EB4D74">
        <w:rPr>
          <w:rFonts w:cs="Tahoma"/>
          <w:color w:val="000000"/>
          <w:lang w:val="pt-BR"/>
        </w:rPr>
        <w:t xml:space="preserve">Direitos de uso: </w:t>
      </w:r>
      <w:r w:rsidRPr="00EB4D74">
        <w:rPr>
          <w:rFonts w:cs="Tahoma"/>
          <w:color w:val="000000"/>
          <w:szCs w:val="18"/>
          <w:lang w:val="pt-BR"/>
        </w:rPr>
        <w:t xml:space="preserve">O direito de usar o software sob as Licenças Complementares nessa oferta expirará quando o direito de usar o software sob as Licenças de Qualificação expirar. </w:t>
      </w:r>
      <w:r w:rsidRPr="00EB4D74">
        <w:rPr>
          <w:rFonts w:cs="Tahoma"/>
          <w:color w:val="000000"/>
          <w:lang w:val="pt-BR"/>
        </w:rPr>
        <w:t>O uso desse software é regido pelos direitos de uso do software e pelos termos e condições do contrato de licenciamento por volume do cliente. Essa nota de condição do produto e a evidência do cliente da Licença de qualificação e do Software Assurance do cliente juntas comprovam o direito de usar o software sob a Licença Complementar nessa oferta.</w:t>
      </w:r>
    </w:p>
    <w:p w:rsidR="008B1196" w:rsidRPr="00EB4D74" w:rsidRDefault="008B1196" w:rsidP="008B1196">
      <w:pPr>
        <w:numPr>
          <w:ilvl w:val="0"/>
          <w:numId w:val="69"/>
        </w:numPr>
        <w:spacing w:after="60"/>
        <w:ind w:left="1440"/>
        <w:rPr>
          <w:rFonts w:cs="Tahoma"/>
          <w:lang w:val="it-IT"/>
        </w:rPr>
      </w:pPr>
      <w:r w:rsidRPr="00EB4D74">
        <w:rPr>
          <w:rFonts w:cs="Tahoma"/>
          <w:color w:val="000000"/>
          <w:lang w:val="pt-BR"/>
        </w:rPr>
        <w:t xml:space="preserve">Licença e Software Assurance (L&amp;SA): </w:t>
      </w:r>
      <w:r w:rsidRPr="00EB4D74">
        <w:rPr>
          <w:rFonts w:cs="Tahoma"/>
          <w:color w:val="000000"/>
          <w:szCs w:val="18"/>
          <w:lang w:val="pt-BR"/>
        </w:rPr>
        <w:t xml:space="preserve">A Licença Complementar inclui a cobertura do Software Assurance. A cobertura do Software Assurance sobre a Licença Complementar expirará quando a cobertura da Licença de Qualificação expirar. </w:t>
      </w:r>
      <w:r w:rsidRPr="00EB4D74">
        <w:rPr>
          <w:rFonts w:cs="Tahoma"/>
          <w:color w:val="000000"/>
          <w:lang w:val="pt-BR"/>
        </w:rPr>
        <w:t>No término da cobertura do Software Assurance para a Licença de Qualificação, o cliente poderá renovar o Software Assurance para a Licença Complementar sem precisar adquirir uma nova licença separadamente.</w:t>
      </w:r>
    </w:p>
    <w:p w:rsidR="008B1196" w:rsidRPr="00EB4D74" w:rsidRDefault="008B1196" w:rsidP="008B1196">
      <w:pPr>
        <w:numPr>
          <w:ilvl w:val="0"/>
          <w:numId w:val="11"/>
        </w:numPr>
        <w:spacing w:after="60"/>
        <w:ind w:left="1440"/>
        <w:rPr>
          <w:rFonts w:cs="Tahoma"/>
        </w:rPr>
      </w:pPr>
      <w:r w:rsidRPr="00EB4D74">
        <w:rPr>
          <w:rFonts w:cs="Tahoma"/>
          <w:color w:val="000000"/>
          <w:lang w:val="pt-BR"/>
        </w:rPr>
        <w:t>Adequações (“true-ups”): Para os clientes do Contrato Enterprise qualificados para essas licenças complementares e esses direitos conforme descrito acima, as licenças do Conector Externo do Exchange Server 2010 adquiridas como parte de um processo de adequação (“true-ups”) anuais do cliente também são Licenças Qualificadas.</w:t>
      </w:r>
    </w:p>
    <w:p w:rsidR="008B1196" w:rsidRPr="00EB4D74" w:rsidRDefault="008B1196" w:rsidP="008B1196">
      <w:pPr>
        <w:numPr>
          <w:ilvl w:val="0"/>
          <w:numId w:val="80"/>
        </w:numPr>
        <w:spacing w:after="60"/>
        <w:ind w:left="1440"/>
        <w:rPr>
          <w:rFonts w:cs="Tahoma"/>
          <w:lang w:val="it-IT"/>
        </w:rPr>
      </w:pPr>
      <w:r w:rsidRPr="00EB4D74">
        <w:rPr>
          <w:rFonts w:cs="Tahoma"/>
          <w:color w:val="000000"/>
          <w:lang w:val="pt-BR"/>
        </w:rPr>
        <w:t xml:space="preserve">Contratos Subscription: </w:t>
      </w:r>
      <w:r w:rsidRPr="00EB4D74">
        <w:rPr>
          <w:rFonts w:cs="Tahoma"/>
          <w:lang w:val="pt-BR"/>
        </w:rPr>
        <w:t xml:space="preserve">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 </w:t>
      </w:r>
      <w:bookmarkStart w:id="1266" w:name="_Toc336338313"/>
      <w:r w:rsidRPr="00EB4D74">
        <w:rPr>
          <w:rFonts w:cs="Tahoma"/>
          <w:color w:val="000000"/>
          <w:lang w:val="pt-BR"/>
        </w:rPr>
        <w:t>O cliente deverá manter uma cobertura contínua da assinatura. Esses direitos só se tornarão permanentes se a opção de compra (“buy-out”) for exercida e continuarão sujeitos a todos os termos e condições do contrato de licença do cliente.</w:t>
      </w:r>
    </w:p>
    <w:p w:rsidR="008B1196" w:rsidRPr="00EB4D74" w:rsidRDefault="008B1196" w:rsidP="008B1196">
      <w:pPr>
        <w:numPr>
          <w:ilvl w:val="0"/>
          <w:numId w:val="119"/>
        </w:numPr>
        <w:spacing w:after="60"/>
        <w:ind w:left="1440"/>
        <w:rPr>
          <w:rFonts w:cs="Tahoma"/>
          <w:lang w:val="it-IT"/>
        </w:rPr>
      </w:pPr>
      <w:r w:rsidRPr="00EB4D74">
        <w:rPr>
          <w:rFonts w:cs="Tahoma"/>
          <w:lang w:val="pt-BR"/>
        </w:rPr>
        <w:t>Transições do Contrato Campus e School: Para os clientes que estão fazendo transição a médio prazo dos contratos Campus e School para os contratos Enrollment for Education Solutions ou Open Value Subscription – Education Solutions enquanto mantêm a cobertura contínua de assinatura:</w:t>
      </w:r>
    </w:p>
    <w:p w:rsidR="008B1196" w:rsidRPr="00EB4D74" w:rsidRDefault="008B1196" w:rsidP="008B1196">
      <w:pPr>
        <w:pStyle w:val="ListParagraph"/>
        <w:numPr>
          <w:ilvl w:val="0"/>
          <w:numId w:val="105"/>
        </w:numPr>
        <w:spacing w:after="60"/>
        <w:ind w:left="1980"/>
        <w:contextualSpacing w:val="0"/>
        <w:rPr>
          <w:rFonts w:ascii="Tahoma" w:hAnsi="Tahoma" w:cs="Tahoma"/>
          <w:sz w:val="18"/>
          <w:szCs w:val="18"/>
        </w:rPr>
      </w:pPr>
      <w:r w:rsidRPr="00EB4D74">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8B1196" w:rsidRPr="00EB4D74" w:rsidRDefault="008B1196" w:rsidP="008B1196">
      <w:pPr>
        <w:pStyle w:val="ListParagraph"/>
        <w:numPr>
          <w:ilvl w:val="0"/>
          <w:numId w:val="105"/>
        </w:numPr>
        <w:spacing w:after="60"/>
        <w:ind w:left="1980"/>
        <w:contextualSpacing w:val="0"/>
        <w:rPr>
          <w:rFonts w:ascii="Tahoma" w:hAnsi="Tahoma" w:cs="Tahoma"/>
          <w:sz w:val="18"/>
          <w:szCs w:val="18"/>
          <w:lang w:val="it-IT"/>
        </w:rPr>
      </w:pPr>
      <w:r w:rsidRPr="00EB4D74">
        <w:rPr>
          <w:rFonts w:ascii="Tahoma" w:hAnsi="Tahoma" w:cs="Tahoma"/>
          <w:sz w:val="18"/>
          <w:szCs w:val="18"/>
          <w:lang w:val="it-IT"/>
        </w:rPr>
        <w:t>Esses direitos só se tornarão permanentes se a opção de compra (“buy-out”) for exercida e continuarão sujeitos a todos os termos e condições do contrato de licença do cliente.</w:t>
      </w:r>
    </w:p>
    <w:p w:rsidR="008B1196" w:rsidRPr="00EB4D74" w:rsidRDefault="008B1196" w:rsidP="008B1196">
      <w:pPr>
        <w:pStyle w:val="EndnoteText"/>
        <w:ind w:left="540"/>
        <w:rPr>
          <w:rFonts w:ascii="Tahoma" w:hAnsi="Tahoma" w:cs="Tahoma"/>
          <w:lang w:val="it-IT"/>
        </w:rPr>
      </w:pPr>
    </w:p>
    <w:p w:rsidR="008B1196" w:rsidRPr="00EB4D74" w:rsidRDefault="008B1196" w:rsidP="008B1196">
      <w:pPr>
        <w:pStyle w:val="EndnoteText"/>
        <w:ind w:left="540"/>
        <w:rPr>
          <w:rFonts w:ascii="Tahoma" w:hAnsi="Tahoma" w:cs="Tahoma"/>
          <w:lang w:val="it-IT"/>
        </w:rPr>
      </w:pPr>
    </w:p>
    <w:p w:rsidR="008B1196" w:rsidRPr="00EB4D74" w:rsidRDefault="008B1196" w:rsidP="008B1196">
      <w:pPr>
        <w:pStyle w:val="Heading3"/>
        <w:rPr>
          <w:rFonts w:ascii="Tahoma" w:hAnsi="Tahoma" w:cs="Tahoma"/>
        </w:rPr>
      </w:pPr>
      <w:bookmarkStart w:id="1267" w:name="_50_Exchange_Server"/>
      <w:bookmarkStart w:id="1268" w:name="_Toc342914944"/>
      <w:bookmarkEnd w:id="1266"/>
      <w:bookmarkEnd w:id="1267"/>
      <w:r w:rsidRPr="00EB4D74">
        <w:rPr>
          <w:rFonts w:ascii="Tahoma" w:hAnsi="Tahoma" w:cs="Tahoma"/>
          <w:caps/>
          <w:color w:val="F66400"/>
          <w:sz w:val="22"/>
          <w:vertAlign w:val="superscript"/>
          <w:lang w:val="pt-BR"/>
        </w:rPr>
        <w:t>49</w:t>
      </w:r>
      <w:r w:rsidRPr="00EB4D74">
        <w:rPr>
          <w:rFonts w:ascii="Tahoma" w:hAnsi="Tahoma" w:cs="Tahoma"/>
          <w:color w:val="F66400"/>
          <w:sz w:val="22"/>
          <w:lang w:val="pt-BR"/>
        </w:rPr>
        <w:t xml:space="preserve"> CAL do Exchange Server 2010 Standard</w:t>
      </w:r>
      <w:bookmarkEnd w:id="1268"/>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t>Pastas Padrão Gerenciadas licenciadas com a CAL do Exchange Server 2010 Standard</w:t>
      </w:r>
    </w:p>
    <w:p w:rsidR="008B1196" w:rsidRPr="00EB4D74" w:rsidRDefault="008B1196" w:rsidP="008B1196">
      <w:pPr>
        <w:ind w:left="720"/>
        <w:rPr>
          <w:rFonts w:cs="Tahoma"/>
          <w:lang w:val="it-IT"/>
        </w:rPr>
      </w:pPr>
      <w:r w:rsidRPr="00EB4D74">
        <w:rPr>
          <w:rFonts w:cs="Tahoma"/>
          <w:color w:val="000000"/>
          <w:szCs w:val="18"/>
          <w:lang w:val="pt-BR"/>
        </w:rPr>
        <w:t xml:space="preserve">O direito de acessar a funcionalidade de Pasta Padrão Gerenciada do Exchange Server 2010 é conferido sob a CAL do Exchange Server 2010 Standard e CALs equivalentes. Uma CAL do Exchange Server 2010 Enterprise ou equivalente é necessária para acessar a funcionalidade de Pasta Personalizada Gerenciada, mas não a de Pasta Padrão Gerenciada. </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color w:val="000000"/>
          <w:lang w:val="pt-BR"/>
        </w:rPr>
        <w:t>Pesquisa em Várias Caixas de Correio Licenciadas com a CAL Padrão do Exchange Server 2010</w:t>
      </w:r>
    </w:p>
    <w:p w:rsidR="008B1196" w:rsidRPr="00EB4D74" w:rsidRDefault="008B1196" w:rsidP="008B1196">
      <w:pPr>
        <w:ind w:left="720"/>
        <w:rPr>
          <w:rFonts w:cs="Tahoma"/>
        </w:rPr>
      </w:pPr>
      <w:r w:rsidRPr="00EB4D74">
        <w:rPr>
          <w:rFonts w:cs="Tahoma"/>
          <w:bCs/>
          <w:szCs w:val="20"/>
          <w:lang w:val="pt-BR"/>
        </w:rPr>
        <w:t xml:space="preserve">Estamos atualizando os direitos de uso do Exchange Server 2010 para refletir que o direito de acessar a funcionalidade de Pesquisa Cruzada em Caixa de Correio no Exchange Server 2010 é conferido de acordo com as CALs Padrão do Exchange Server 2010 e CALs equivalentes. </w:t>
      </w:r>
      <w:r w:rsidRPr="00EB4D74">
        <w:rPr>
          <w:rFonts w:cs="Tahoma"/>
          <w:lang w:val="pt-BR"/>
        </w:rPr>
        <w:t>Essa atualização é aplicável a todas as licenças do Exchange Server 2010.</w:t>
      </w: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lastRenderedPageBreak/>
        <w:t>CALs Somente para Aluno (Licença Academic Open e Academic Select)</w:t>
      </w:r>
    </w:p>
    <w:p w:rsidR="008B1196" w:rsidRPr="00EB4D74" w:rsidRDefault="008B1196" w:rsidP="008B1196">
      <w:pPr>
        <w:ind w:left="720"/>
        <w:rPr>
          <w:rFonts w:cs="Tahoma"/>
        </w:rPr>
      </w:pPr>
      <w:r w:rsidRPr="00EB4D74">
        <w:rPr>
          <w:rFonts w:cs="Tahoma"/>
          <w:lang w:val="pt-BR"/>
        </w:rPr>
        <w:t>As CALs Somente para Aluno estão restritas a PCs de propriedade de um aluno ou de uma instituição licenciados dedicados a um aluno individual e NÃO se destinam ao uso em laboratórios ou salas de aula.</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269" w:name="_Toc336338314"/>
      <w:bookmarkStart w:id="1270" w:name="_Toc342914945"/>
      <w:bookmarkStart w:id="1271" w:name="Srv_51ForfrontEndpointProtection"/>
      <w:bookmarkStart w:id="1272" w:name="Srv_50ForfrontEndpointProtection"/>
      <w:bookmarkEnd w:id="1269"/>
      <w:r w:rsidRPr="00EB4D74">
        <w:rPr>
          <w:rFonts w:ascii="Tahoma" w:hAnsi="Tahoma" w:cs="Tahoma"/>
          <w:caps/>
          <w:color w:val="F66400"/>
          <w:sz w:val="22"/>
          <w:vertAlign w:val="superscript"/>
          <w:lang w:val="pt-BR"/>
        </w:rPr>
        <w:t>50</w:t>
      </w:r>
      <w:r w:rsidRPr="00EB4D74">
        <w:rPr>
          <w:rFonts w:ascii="Tahoma" w:hAnsi="Tahoma" w:cs="Tahoma"/>
          <w:color w:val="F66400"/>
          <w:sz w:val="22"/>
          <w:lang w:val="pt-BR"/>
        </w:rPr>
        <w:t xml:space="preserve"> Forefront Endpoint Protection</w:t>
      </w:r>
      <w:bookmarkEnd w:id="1270"/>
    </w:p>
    <w:bookmarkEnd w:id="1271"/>
    <w:bookmarkEnd w:id="1272"/>
    <w:p w:rsidR="008B1196" w:rsidRPr="00EB4D74" w:rsidRDefault="008B1196" w:rsidP="008B1196">
      <w:pPr>
        <w:ind w:left="720"/>
        <w:rPr>
          <w:rFonts w:cs="Tahoma"/>
        </w:rPr>
      </w:pPr>
    </w:p>
    <w:p w:rsidR="008B1196" w:rsidRPr="00EB4D74" w:rsidRDefault="008B1196" w:rsidP="008B1196">
      <w:pPr>
        <w:tabs>
          <w:tab w:val="left" w:pos="1920"/>
        </w:tabs>
        <w:ind w:left="720"/>
        <w:rPr>
          <w:rFonts w:cs="Tahoma"/>
          <w:lang w:val="pt-BR"/>
        </w:rPr>
      </w:pPr>
      <w:r w:rsidRPr="00EB4D74">
        <w:rPr>
          <w:rFonts w:cs="Tahoma"/>
          <w:lang w:val="pt-BR"/>
        </w:rPr>
        <w:t>A partir de 1º de abril de 2012, o Forefront Endpoint Protection, como uma oferta para proteção do cliente, será substituído pelo System Center 2012 Endpoint Protection. O System Center 2012 Endpoint Protection, como uma oferta independente, confere direitos de uso apenas para proteger os dispositivos do cliente. Os direitos de uso para proteger dispositivos de servidor podem ser adquiridos somente por meio da aquisição das licenças de gerenciamento do System Center 2012 Standard ou Datacenter.</w:t>
      </w:r>
    </w:p>
    <w:p w:rsidR="008B1196" w:rsidRPr="00EB4D74" w:rsidRDefault="008B1196" w:rsidP="008B1196">
      <w:pPr>
        <w:tabs>
          <w:tab w:val="left" w:pos="1920"/>
        </w:tabs>
        <w:ind w:left="720"/>
        <w:rPr>
          <w:rFonts w:cs="Tahoma"/>
          <w:lang w:val="pt-BR"/>
        </w:rPr>
      </w:pPr>
    </w:p>
    <w:p w:rsidR="008B1196" w:rsidRPr="00EB4D74" w:rsidRDefault="008B1196" w:rsidP="008B1196">
      <w:pPr>
        <w:tabs>
          <w:tab w:val="left" w:pos="1920"/>
        </w:tabs>
        <w:ind w:left="720"/>
        <w:rPr>
          <w:rFonts w:cs="Tahoma"/>
        </w:rPr>
      </w:pPr>
      <w:r w:rsidRPr="00EB4D74">
        <w:rPr>
          <w:rFonts w:cs="Tahoma"/>
          <w:lang w:val="pt-BR"/>
        </w:rPr>
        <w:t>Os usuários com assinaturas do Forefront Endpoint Protection e que ajudam o serviço a proteger os dispositivos do cliente, podem fazer atualização para o System Center 2012 Endpoint Protection para a mesma finalidade.</w:t>
      </w:r>
    </w:p>
    <w:p w:rsidR="008B1196" w:rsidRPr="00EB4D74" w:rsidRDefault="008B1196" w:rsidP="008B1196">
      <w:pPr>
        <w:tabs>
          <w:tab w:val="left" w:pos="1920"/>
        </w:tabs>
        <w:ind w:left="720"/>
        <w:rPr>
          <w:rFonts w:cs="Tahoma"/>
        </w:rPr>
      </w:pPr>
    </w:p>
    <w:p w:rsidR="008B1196" w:rsidRPr="00EB4D74" w:rsidRDefault="008B1196" w:rsidP="008B1196">
      <w:pPr>
        <w:tabs>
          <w:tab w:val="left" w:pos="1920"/>
        </w:tabs>
        <w:ind w:left="720"/>
        <w:rPr>
          <w:rFonts w:cs="Tahoma"/>
        </w:rPr>
      </w:pPr>
      <w:r w:rsidRPr="00EB4D74">
        <w:rPr>
          <w:rFonts w:cs="Tahoma"/>
          <w:lang w:val="pt-BR"/>
        </w:rPr>
        <w:t>Os usuários com assinaturas ativas do Forefront Endpoint Protection e que ajudam o serviço a proteger os dispositivos do servidor, podem continuar usando o serviço Forefront Endpoint Protection.</w:t>
      </w:r>
    </w:p>
    <w:p w:rsidR="008B1196" w:rsidRPr="00EB4D74" w:rsidRDefault="008B1196" w:rsidP="008B1196">
      <w:pPr>
        <w:ind w:left="720"/>
        <w:rPr>
          <w:rFonts w:cs="Tahoma"/>
        </w:rPr>
      </w:pPr>
    </w:p>
    <w:p w:rsidR="008B1196" w:rsidRPr="00EB4D74" w:rsidRDefault="008B1196" w:rsidP="008B1196">
      <w:pPr>
        <w:ind w:left="720"/>
        <w:rPr>
          <w:rFonts w:cs="Tahoma"/>
          <w:lang w:val="pt-BR"/>
        </w:rPr>
      </w:pPr>
      <w:r w:rsidRPr="00EB4D74">
        <w:rPr>
          <w:rFonts w:cs="Tahoma"/>
          <w:lang w:val="pt-BR"/>
        </w:rPr>
        <w:t>O System Center Configuration Manager 2007 R2 ou R3 é o console de gerenciamento do Forefront Endpoint Protection 2010. Os Clientes devem ser licenciados para o System Center Configuration Manager 2007 R2 ou R3 para fornecer gerenciamento ao Forefront Endpoint Protection 2010. O Forefront Endpoint Protection 2010 pode ser usado de forma não gerenciada, sem necessidade de licenciamento do System Center Configuration Manager.</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bookmarkStart w:id="1273" w:name="Srv_43ExchangeSvr07StdCAL"/>
      <w:bookmarkStart w:id="1274" w:name="Srv_44ExchangeSvr2010StdCAL"/>
      <w:bookmarkStart w:id="1275" w:name="Srv_42ExchangeSvr07StdCAL"/>
      <w:bookmarkEnd w:id="1273"/>
      <w:bookmarkEnd w:id="1274"/>
      <w:bookmarkEnd w:id="1275"/>
      <w:r w:rsidRPr="00EB4D74">
        <w:rPr>
          <w:rFonts w:cs="Tahoma"/>
          <w:b/>
          <w:lang w:val="pt-BR"/>
        </w:rPr>
        <w:t>Uso Doméstico</w:t>
      </w:r>
    </w:p>
    <w:p w:rsidR="008B1196" w:rsidRPr="00EB4D74" w:rsidRDefault="008B1196" w:rsidP="008B1196">
      <w:pPr>
        <w:ind w:left="720"/>
        <w:rPr>
          <w:rFonts w:cs="Tahoma"/>
          <w:lang w:val="pt-BR"/>
        </w:rPr>
      </w:pPr>
      <w:r w:rsidRPr="00EB4D74">
        <w:rPr>
          <w:rFonts w:cs="Tahoma"/>
          <w:lang w:val="pt-BR"/>
        </w:rPr>
        <w:t>Os clientes com as Licenças de Assinatura do Usuário atuais para qualificação do Forefront Endpoint Protection 2010 como programa de Uso Doméstico.</w:t>
      </w:r>
    </w:p>
    <w:p w:rsidR="008B1196" w:rsidRPr="00EB4D74" w:rsidRDefault="008B1196" w:rsidP="008B1196">
      <w:pPr>
        <w:rPr>
          <w:rFonts w:cs="Tahoma"/>
          <w:lang w:val="pt-BR"/>
        </w:rPr>
      </w:pPr>
      <w:bookmarkStart w:id="1276" w:name="_Toc254758297"/>
    </w:p>
    <w:p w:rsidR="008B1196" w:rsidRPr="00EB4D74" w:rsidRDefault="008B1196" w:rsidP="008B1196">
      <w:pPr>
        <w:rPr>
          <w:rFonts w:cs="Tahoma"/>
          <w:lang w:val="pt-BR"/>
        </w:rPr>
      </w:pPr>
    </w:p>
    <w:p w:rsidR="008B1196" w:rsidRPr="00EB4D74" w:rsidRDefault="008B1196" w:rsidP="008B1196">
      <w:pPr>
        <w:pStyle w:val="Heading3"/>
        <w:rPr>
          <w:rFonts w:ascii="Tahoma" w:hAnsi="Tahoma" w:cs="Tahoma"/>
        </w:rPr>
      </w:pPr>
      <w:bookmarkStart w:id="1277" w:name="_Toc336338315"/>
      <w:bookmarkStart w:id="1278" w:name="Srv_44ForefrontOnSecforExch"/>
      <w:bookmarkStart w:id="1279" w:name="Srv_43ForefrontOnSecforExch"/>
      <w:bookmarkStart w:id="1280" w:name="Srv_43ForefrontIdMgr2010"/>
      <w:bookmarkStart w:id="1281" w:name="Srv_48ForefrontIdMgr2010"/>
      <w:bookmarkStart w:id="1282" w:name="Srv_45ForefrontIdMgr2010"/>
      <w:bookmarkStart w:id="1283" w:name="_Toc342914946"/>
      <w:bookmarkEnd w:id="1276"/>
      <w:bookmarkEnd w:id="1277"/>
      <w:bookmarkEnd w:id="1278"/>
      <w:bookmarkEnd w:id="1279"/>
      <w:bookmarkEnd w:id="1280"/>
      <w:bookmarkEnd w:id="1281"/>
      <w:bookmarkEnd w:id="1282"/>
      <w:r w:rsidRPr="00EB4D74">
        <w:rPr>
          <w:rFonts w:ascii="Tahoma" w:hAnsi="Tahoma" w:cs="Tahoma"/>
          <w:caps/>
          <w:color w:val="F66400"/>
          <w:sz w:val="22"/>
          <w:vertAlign w:val="superscript"/>
          <w:lang w:val="pt-BR"/>
        </w:rPr>
        <w:t>51</w:t>
      </w:r>
      <w:r w:rsidRPr="00EB4D74">
        <w:rPr>
          <w:rFonts w:ascii="Tahoma" w:hAnsi="Tahoma" w:cs="Tahoma"/>
          <w:color w:val="F66400"/>
          <w:sz w:val="22"/>
          <w:lang w:val="pt-BR"/>
        </w:rPr>
        <w:t xml:space="preserve"> Forefront Identity Manager 2010 R2</w:t>
      </w:r>
      <w:bookmarkEnd w:id="1283"/>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Versão</w:t>
      </w:r>
    </w:p>
    <w:p w:rsidR="008B1196" w:rsidRPr="00EB4D74" w:rsidRDefault="008B1196" w:rsidP="008B1196">
      <w:pPr>
        <w:ind w:left="720"/>
        <w:rPr>
          <w:rFonts w:cs="Tahoma"/>
        </w:rPr>
      </w:pPr>
      <w:r w:rsidRPr="00EB4D74">
        <w:rPr>
          <w:rFonts w:cs="Tahoma"/>
          <w:color w:val="000000"/>
          <w:lang w:val="pt-BR"/>
        </w:rPr>
        <w:t>O Forefront Identity Manager 2010 R2 é a próxima versão do Forefront Identity Manager 2010.</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rPr>
          <w:rFonts w:ascii="Tahoma" w:hAnsi="Tahoma" w:cs="Tahoma"/>
        </w:rPr>
      </w:pPr>
      <w:bookmarkStart w:id="1284" w:name="_Toc336338316"/>
      <w:bookmarkStart w:id="1285" w:name="Srv_54ForefrontIDMgrWinLiveEd"/>
      <w:bookmarkStart w:id="1286" w:name="_Toc342914947"/>
      <w:bookmarkEnd w:id="1284"/>
      <w:bookmarkEnd w:id="1285"/>
      <w:r w:rsidRPr="00EB4D74">
        <w:rPr>
          <w:rFonts w:ascii="Tahoma" w:hAnsi="Tahoma" w:cs="Tahoma"/>
          <w:caps/>
          <w:color w:val="F26200"/>
          <w:sz w:val="20"/>
          <w:vertAlign w:val="superscript"/>
          <w:lang w:val="pt-BR"/>
        </w:rPr>
        <w:t>52</w:t>
      </w:r>
      <w:r w:rsidRPr="00EB4D74">
        <w:rPr>
          <w:rFonts w:ascii="Tahoma" w:hAnsi="Tahoma" w:cs="Tahoma"/>
          <w:color w:val="F26200"/>
          <w:lang w:val="pt-BR"/>
        </w:rPr>
        <w:t xml:space="preserve"> </w:t>
      </w:r>
      <w:r w:rsidRPr="00BC039F">
        <w:rPr>
          <w:rFonts w:ascii="Tahoma" w:hAnsi="Tahoma" w:cs="Tahoma"/>
          <w:color w:val="F26200"/>
          <w:sz w:val="22"/>
          <w:szCs w:val="22"/>
          <w:lang w:val="pt-BR"/>
        </w:rPr>
        <w:t>Forefront Identity Manager 2010 – Windows Live Edition</w:t>
      </w:r>
      <w:bookmarkEnd w:id="1286"/>
    </w:p>
    <w:p w:rsidR="008B1196" w:rsidRPr="00EB4D74" w:rsidRDefault="008B1196" w:rsidP="008B1196">
      <w:pPr>
        <w:rPr>
          <w:rFonts w:cs="Tahoma"/>
        </w:rPr>
      </w:pPr>
    </w:p>
    <w:p w:rsidR="008B1196" w:rsidRPr="00EB4D74" w:rsidRDefault="008B1196" w:rsidP="008B1196">
      <w:pPr>
        <w:spacing w:after="60"/>
        <w:ind w:left="720"/>
        <w:rPr>
          <w:rFonts w:cs="Tahoma"/>
        </w:rPr>
      </w:pPr>
      <w:bookmarkStart w:id="1287" w:name="Srv_46ForefrontOnlineProforExch"/>
      <w:bookmarkEnd w:id="1287"/>
      <w:r w:rsidRPr="00EB4D74">
        <w:rPr>
          <w:rFonts w:cs="Tahoma"/>
          <w:b/>
          <w:color w:val="000000"/>
          <w:lang w:val="pt-BR"/>
        </w:rPr>
        <w:t>Versão</w:t>
      </w:r>
    </w:p>
    <w:p w:rsidR="008B1196" w:rsidRDefault="008B1196" w:rsidP="008B1196">
      <w:pPr>
        <w:ind w:left="720"/>
        <w:rPr>
          <w:rFonts w:cs="Tahoma"/>
          <w:color w:val="000000"/>
          <w:lang w:val="pt-BR"/>
        </w:rPr>
      </w:pPr>
      <w:r w:rsidRPr="00EB4D74">
        <w:rPr>
          <w:rFonts w:cs="Tahoma"/>
          <w:color w:val="000000"/>
          <w:lang w:val="pt-BR"/>
        </w:rPr>
        <w:t>O Forefront Identity Manager 2010 – Windows Live Edition é a próxima versão do Identity Lifecycle Manager 2007 – Windows Live Edition</w:t>
      </w:r>
      <w:r>
        <w:rPr>
          <w:rFonts w:cs="Tahoma"/>
          <w:color w:val="000000"/>
          <w:lang w:val="pt-BR"/>
        </w:rPr>
        <w:t>.</w:t>
      </w:r>
    </w:p>
    <w:p w:rsidR="008B1196" w:rsidRPr="00EB4D74" w:rsidRDefault="008B1196" w:rsidP="008B1196">
      <w:pPr>
        <w:ind w:left="720"/>
        <w:rPr>
          <w:rFonts w:cs="Tahoma"/>
        </w:rPr>
      </w:pPr>
    </w:p>
    <w:p w:rsidR="008B1196" w:rsidRPr="00EB4D74" w:rsidRDefault="008B1196" w:rsidP="008B1196">
      <w:pPr>
        <w:pStyle w:val="Heading3"/>
        <w:rPr>
          <w:rFonts w:ascii="Tahoma" w:hAnsi="Tahoma" w:cs="Tahoma"/>
        </w:rPr>
      </w:pPr>
      <w:bookmarkStart w:id="1288" w:name="_Toc336338317"/>
      <w:bookmarkStart w:id="1289" w:name="_53_Forefront_Online"/>
      <w:bookmarkStart w:id="1290" w:name="_Toc342914948"/>
      <w:bookmarkEnd w:id="1288"/>
      <w:bookmarkEnd w:id="1289"/>
      <w:r w:rsidRPr="00EB4D74">
        <w:rPr>
          <w:rFonts w:ascii="Tahoma" w:hAnsi="Tahoma" w:cs="Tahoma"/>
          <w:caps/>
          <w:color w:val="F66400"/>
          <w:sz w:val="22"/>
          <w:vertAlign w:val="superscript"/>
          <w:lang w:val="pt-BR"/>
        </w:rPr>
        <w:t>53</w:t>
      </w:r>
      <w:r w:rsidRPr="00EB4D74">
        <w:rPr>
          <w:rFonts w:ascii="Tahoma" w:hAnsi="Tahoma" w:cs="Tahoma"/>
          <w:color w:val="F66400"/>
          <w:sz w:val="22"/>
          <w:lang w:val="pt-BR"/>
        </w:rPr>
        <w:t xml:space="preserve"> Forefront Online Protection para Exchange (SL de Dispositivo e Usuário)</w:t>
      </w:r>
      <w:bookmarkEnd w:id="1290"/>
    </w:p>
    <w:p w:rsidR="008B1196" w:rsidRPr="00EB4D74" w:rsidRDefault="008B1196" w:rsidP="008B1196">
      <w:pPr>
        <w:pStyle w:val="EndnoteText"/>
        <w:tabs>
          <w:tab w:val="center" w:pos="5306"/>
        </w:tabs>
        <w:ind w:left="0"/>
        <w:rPr>
          <w:rFonts w:ascii="Tahoma" w:hAnsi="Tahoma" w:cs="Tahoma"/>
          <w:sz w:val="18"/>
          <w:szCs w:val="18"/>
        </w:rPr>
      </w:pPr>
    </w:p>
    <w:p w:rsidR="008B1196" w:rsidRPr="00EB4D74" w:rsidRDefault="008B1196" w:rsidP="008B1196">
      <w:pPr>
        <w:spacing w:after="200" w:line="276" w:lineRule="auto"/>
        <w:ind w:left="720"/>
        <w:rPr>
          <w:rFonts w:cs="Tahoma"/>
        </w:rPr>
      </w:pPr>
      <w:r w:rsidRPr="00EB4D74">
        <w:rPr>
          <w:rFonts w:cs="Tahoma"/>
          <w:color w:val="000000"/>
          <w:lang w:val="pt-BR"/>
        </w:rPr>
        <w:t>Para o Forefront Online Security para Exchange (anteriormente, Exchange Hosted Filtering), o</w:t>
      </w:r>
      <w:r w:rsidRPr="00EB4D74">
        <w:rPr>
          <w:rFonts w:cs="Tahoma"/>
          <w:lang w:val="pt-BR"/>
        </w:rPr>
        <w:t>s clientes deverão usar o mesmo registro de contrato Select, registro de contrato Enterprise ou contrato Open Value ativo para fazer pedidos subsequentes ao pedido inicial.</w:t>
      </w:r>
    </w:p>
    <w:p w:rsidR="008B1196" w:rsidRPr="00EB4D74" w:rsidRDefault="008B1196" w:rsidP="008B1196">
      <w:pPr>
        <w:ind w:left="720"/>
        <w:rPr>
          <w:rFonts w:cs="Tahoma"/>
          <w:lang w:val="it-IT"/>
        </w:rPr>
      </w:pPr>
      <w:r w:rsidRPr="00EB4D74">
        <w:rPr>
          <w:rFonts w:cs="Tahoma"/>
          <w:color w:val="000000"/>
          <w:lang w:val="pt-BR"/>
        </w:rPr>
        <w:t>Como esse serviço online é provisionado por domínio, todos os usuários (ou dispositivos) em qualquer domínio coberto precisarão de SLs de Usuário (ou Dispositivo). Os clientes que desejarem o serviço para um subconjunto de sua base de usuários (ou base de dispositivos) poderão criar subdomínios para um provisionamento mais direcionado. Somente os usuários (ou dispositivos) no subdomínio coberto precisarão de SLs de Usuário (ou Dispositivo).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PlainText"/>
        <w:ind w:left="720"/>
        <w:rPr>
          <w:rFonts w:ascii="Tahoma" w:hAnsi="Tahoma" w:cs="Tahoma"/>
          <w:sz w:val="18"/>
          <w:szCs w:val="18"/>
          <w:lang w:val="it-IT"/>
        </w:rPr>
      </w:pPr>
      <w:r w:rsidRPr="00EB4D74">
        <w:rPr>
          <w:rFonts w:ascii="Tahoma" w:hAnsi="Tahoma" w:cs="Tahoma"/>
          <w:color w:val="000000"/>
          <w:sz w:val="18"/>
          <w:lang w:val="pt-BR"/>
        </w:rPr>
        <w:t xml:space="preserve">Consulte a </w:t>
      </w:r>
      <w:hyperlink w:anchor="_Seção_5_–_1" w:history="1">
        <w:r w:rsidRPr="00EB4D74">
          <w:rPr>
            <w:rStyle w:val="Hyperlink"/>
            <w:rFonts w:ascii="Tahoma" w:hAnsi="Tahoma" w:cs="Tahoma"/>
            <w:sz w:val="18"/>
            <w:lang w:val="pt-BR"/>
          </w:rPr>
          <w:t>Seção 5</w:t>
        </w:r>
      </w:hyperlink>
      <w:r w:rsidRPr="00EB4D74">
        <w:rPr>
          <w:rFonts w:ascii="Tahoma" w:hAnsi="Tahoma" w:cs="Tahoma"/>
          <w:color w:val="000000"/>
          <w:sz w:val="18"/>
          <w:lang w:val="pt-BR"/>
        </w:rPr>
        <w:t xml:space="preserve"> para obter informações sobre os termos de pagamento e preços dos serviços online.</w:t>
      </w:r>
      <w:bookmarkStart w:id="1291" w:name="Srv_47ForefrontProforExcSvrandShare"/>
    </w:p>
    <w:bookmarkEnd w:id="1291"/>
    <w:p w:rsidR="008B1196" w:rsidRPr="00EB4D74" w:rsidRDefault="008B1196" w:rsidP="008B1196">
      <w:pPr>
        <w:pStyle w:val="EndnoteText"/>
        <w:ind w:left="0"/>
        <w:rPr>
          <w:rFonts w:ascii="Tahoma" w:hAnsi="Tahoma" w:cs="Tahoma"/>
          <w:sz w:val="18"/>
          <w:szCs w:val="18"/>
          <w:lang w:val="it-IT"/>
        </w:rPr>
      </w:pPr>
    </w:p>
    <w:p w:rsidR="008B1196" w:rsidRPr="00EB4D74" w:rsidRDefault="008B1196" w:rsidP="008B1196">
      <w:pPr>
        <w:pStyle w:val="Heading3"/>
        <w:ind w:left="270" w:hanging="270"/>
        <w:rPr>
          <w:rFonts w:ascii="Tahoma" w:hAnsi="Tahoma" w:cs="Tahoma"/>
          <w:lang w:val="it-IT"/>
        </w:rPr>
      </w:pPr>
      <w:bookmarkStart w:id="1292" w:name="_54_Forefront_Protection"/>
      <w:bookmarkStart w:id="1293" w:name="_Toc336338318"/>
      <w:bookmarkStart w:id="1294" w:name="Srv_48ForefrontProtectionSuite"/>
      <w:bookmarkStart w:id="1295" w:name="Srv_44ForefrontSecforExcSharep"/>
      <w:bookmarkStart w:id="1296" w:name="Srv_45ForefrontSecforExcSharep"/>
      <w:bookmarkStart w:id="1297" w:name="_Toc342914949"/>
      <w:bookmarkEnd w:id="1292"/>
      <w:bookmarkEnd w:id="1293"/>
      <w:bookmarkEnd w:id="1294"/>
      <w:bookmarkEnd w:id="1295"/>
      <w:bookmarkEnd w:id="1296"/>
      <w:r w:rsidRPr="00EB4D74">
        <w:rPr>
          <w:rFonts w:ascii="Tahoma" w:hAnsi="Tahoma" w:cs="Tahoma"/>
          <w:caps/>
          <w:color w:val="F66400"/>
          <w:sz w:val="22"/>
          <w:vertAlign w:val="superscript"/>
          <w:lang w:val="pt-BR"/>
        </w:rPr>
        <w:lastRenderedPageBreak/>
        <w:t>54</w:t>
      </w:r>
      <w:r w:rsidRPr="00EB4D74">
        <w:rPr>
          <w:rFonts w:ascii="Tahoma" w:hAnsi="Tahoma" w:cs="Tahoma"/>
          <w:color w:val="F66400"/>
          <w:sz w:val="22"/>
          <w:lang w:val="pt-BR"/>
        </w:rPr>
        <w:t xml:space="preserve"> Forefront Protection 2010 para Exchange Server (SL de Usuário e Dispositivo), Forefront Protection 2010 para SharePoint (SL de Usuário e Dispositivo) e Forefront Protection 2010 para Sites de Internet (SL Complementar)</w:t>
      </w:r>
      <w:bookmarkEnd w:id="1297"/>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lang w:val="pt-BR"/>
        </w:rPr>
        <w:t xml:space="preserve">Forefront Protection 2010 para SharePoint, Forefront Protection 2010 para Exchange Server e Forefront Protection 2010 para Sites de Internet não estarão mais disponíveis a partir de 1º de dezembro de 2012. Os clientes existentes com assinaturas ativas para os serviços online a partir de 30 de novembro de 2012 poderão continuar a usar os serviços online até 31 de dezembro de 2015. Os clientes existentes também poderão adicionar novos usuários, conforme necessário, sem qualquer exigência de pedidos de Licenças adicionais de Assinaturas do Usuário. </w:t>
      </w:r>
      <w:r w:rsidRPr="00EB4D74">
        <w:rPr>
          <w:rFonts w:cs="Tahoma"/>
          <w:color w:val="000000"/>
          <w:lang w:val="pt-BR"/>
        </w:rPr>
        <w:t>O uso contínuo dos serviços online permanece sujeito aos termos e às condições do Contrato de Licenciamento por Volume do cliente, dos direitos de uso do produto do serviço online e dos termos e das condições aqui.</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lang w:val="pt-BR"/>
        </w:rPr>
        <w:t>Direito de migração para o Forefront Protection 2010 for Exchange Server</w:t>
      </w:r>
    </w:p>
    <w:p w:rsidR="008B1196" w:rsidRPr="00EB4D74" w:rsidRDefault="008B1196" w:rsidP="008B1196">
      <w:pPr>
        <w:ind w:left="720"/>
        <w:rPr>
          <w:rFonts w:cs="Tahoma"/>
          <w:lang w:val="pt-BR"/>
        </w:rPr>
      </w:pPr>
      <w:r w:rsidRPr="00EB4D74">
        <w:rPr>
          <w:rFonts w:cs="Tahoma"/>
          <w:color w:val="000000"/>
          <w:lang w:val="pt-BR"/>
        </w:rPr>
        <w:t>Os clientes de licenças por volume que adquiriram uma licença para o Forefront Protection 2010 for Exchange Server estão qualificados para usar o Antigen para Exchange, o Antigen para Gateways SMTP e o Antigen Spam Manager no lugar do Forefront Protection 2010 for Exchange Server. O uso do Antigen para Exchange, do Antigen para Gateways SMTP e do Antigen Spam Manager está sujeito ao respectivo contrato de licença e aos direitos de uso do Forefront Protection 2010 for Exchange Server. * Os direitos dos clientes de usar o Antigen para Exchange, o Antigen para Gateways SMTP e o Antigen Spam Manager expirarão quando os direitos sob a licença do Forefront Protection 2010 for Exchange Server expirarem.</w:t>
      </w:r>
    </w:p>
    <w:p w:rsidR="008B1196" w:rsidRPr="00EB4D74" w:rsidRDefault="008B1196" w:rsidP="008B1196">
      <w:pPr>
        <w:ind w:left="720"/>
        <w:rPr>
          <w:rFonts w:cs="Tahoma"/>
          <w:lang w:val="pt-BR"/>
        </w:rPr>
      </w:pPr>
    </w:p>
    <w:p w:rsidR="008B1196" w:rsidRPr="00EB4D74" w:rsidRDefault="008B1196" w:rsidP="008B1196">
      <w:pPr>
        <w:ind w:left="720"/>
        <w:rPr>
          <w:rFonts w:cs="Tahoma"/>
          <w:spacing w:val="-2"/>
          <w:lang w:val="pt-BR"/>
        </w:rPr>
      </w:pPr>
      <w:r w:rsidRPr="00EB4D74">
        <w:rPr>
          <w:rFonts w:cs="Tahoma"/>
          <w:color w:val="000000"/>
          <w:spacing w:val="-2"/>
          <w:lang w:val="pt-BR"/>
        </w:rPr>
        <w:t xml:space="preserve">*O direito de usar o Antigen no lugar do Forefront Security não se aplica aos clientes que inicialmente adquirirem licenças para um ou mais dos serviços Antigen e migrarem para o Forefront Protection 2010 for Exchange Server. Por exemplo, os clientes que licenciaram o Antigen para Exchange não têm permissão para usar o Antigen para Gateways SMTP ou o Antigen Spam Manager sob suas licenças do Antigen para Exchange em virtude dos direitos de migração sob essa licença para o Forefront Protection 2010 for Exchange Server. </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rPr>
      </w:pPr>
      <w:r w:rsidRPr="00EB4D74">
        <w:rPr>
          <w:rFonts w:cs="Tahoma"/>
          <w:b/>
          <w:lang w:val="pt-BR"/>
        </w:rPr>
        <w:t>Direito de downgrade do Forefront Security for SharePoint</w:t>
      </w:r>
    </w:p>
    <w:p w:rsidR="008B1196" w:rsidRPr="00EB4D74" w:rsidRDefault="008B1196" w:rsidP="008B1196">
      <w:pPr>
        <w:ind w:left="720"/>
        <w:rPr>
          <w:rFonts w:cs="Tahoma"/>
        </w:rPr>
      </w:pPr>
      <w:r w:rsidRPr="00EB4D74">
        <w:rPr>
          <w:rFonts w:cs="Tahoma"/>
          <w:lang w:val="pt-BR"/>
        </w:rPr>
        <w:t>Os clientes de licenças por volume que adquiriram uma licença para o Forefront Protection 2010 for SharePoint estão qualificados para fazer downgrade para e usar o Antigen para SharePoint no lugar de suas licenças do Forefront Protection 2010 for SharePoint. O uso do Antigen para SharePoint está sujeito ao respectivo contrato de licença e aos direitos de uso do Forefront Protection 2010 for SharePoint. Os direitos dos clientes de usar o Antigen para SharePoint expirarão quando os direitos sob a licença do Forefront Protection 2010 for SharePoint expirarem.</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t>Todos os usuários (ou dispositivos) que acessarem um servidor protegido precisarão de SLs de Usuário (ou Dispositivo), a menos que estejam licenciados por meio do External Connector do Forefront for Exchange ou de SLs Complementares do Forefront Security para SharePoint para Internet Sites.</w:t>
      </w:r>
    </w:p>
    <w:p w:rsidR="008B1196" w:rsidRPr="00EB4D74" w:rsidRDefault="008B1196" w:rsidP="008B1196">
      <w:pPr>
        <w:pStyle w:val="EndnoteText"/>
        <w:ind w:left="720"/>
        <w:rPr>
          <w:rFonts w:ascii="Tahoma" w:hAnsi="Tahoma" w:cs="Tahoma"/>
          <w:sz w:val="18"/>
          <w:szCs w:val="18"/>
        </w:rPr>
      </w:pPr>
    </w:p>
    <w:p w:rsidR="008B1196" w:rsidRPr="00B73DA5" w:rsidRDefault="008B1196" w:rsidP="008B1196">
      <w:pPr>
        <w:pStyle w:val="EndnoteText"/>
        <w:ind w:left="720"/>
        <w:rPr>
          <w:rFonts w:ascii="Tahoma" w:hAnsi="Tahoma" w:cs="Tahoma"/>
          <w:color w:val="000000"/>
          <w:sz w:val="18"/>
          <w:szCs w:val="18"/>
          <w:lang w:val="it-IT"/>
        </w:rPr>
      </w:pPr>
      <w:r w:rsidRPr="00B73DA5">
        <w:rPr>
          <w:rFonts w:ascii="Tahoma" w:hAnsi="Tahoma" w:cs="Tahoma"/>
          <w:color w:val="000000"/>
          <w:sz w:val="18"/>
          <w:szCs w:val="18"/>
          <w:lang w:val="it-IT"/>
        </w:rPr>
        <w:t xml:space="preserve">Consulte a </w:t>
      </w:r>
      <w:hyperlink w:anchor="_Seção_5_–_1" w:history="1">
        <w:r w:rsidRPr="00B73DA5">
          <w:rPr>
            <w:rStyle w:val="Hyperlink"/>
            <w:rFonts w:ascii="Tahoma" w:hAnsi="Tahoma" w:cs="Tahoma"/>
            <w:sz w:val="18"/>
            <w:szCs w:val="18"/>
            <w:lang w:val="it-IT"/>
          </w:rPr>
          <w:t>Seção 5</w:t>
        </w:r>
      </w:hyperlink>
      <w:r w:rsidRPr="00B73DA5">
        <w:rPr>
          <w:rFonts w:ascii="Tahoma" w:hAnsi="Tahoma" w:cs="Tahoma"/>
          <w:color w:val="000000"/>
          <w:sz w:val="18"/>
          <w:szCs w:val="18"/>
          <w:lang w:val="it-IT"/>
        </w:rPr>
        <w:t xml:space="preserve"> para obter informações sobre os termos de pagamento e preços dos serviços online.</w:t>
      </w:r>
    </w:p>
    <w:p w:rsidR="008B1196" w:rsidRPr="00EB4D74" w:rsidRDefault="008B1196" w:rsidP="008B1196">
      <w:pPr>
        <w:pStyle w:val="EndnoteText"/>
        <w:ind w:left="720"/>
        <w:rPr>
          <w:rFonts w:ascii="Tahoma" w:hAnsi="Tahoma" w:cs="Tahoma"/>
          <w:color w:val="000000"/>
          <w:sz w:val="16"/>
          <w:szCs w:val="16"/>
          <w:lang w:val="it-IT"/>
        </w:rPr>
      </w:pPr>
    </w:p>
    <w:p w:rsidR="008B1196" w:rsidRPr="00EB4D74" w:rsidRDefault="008B1196" w:rsidP="008B1196">
      <w:pPr>
        <w:pStyle w:val="EndnoteText"/>
        <w:ind w:left="720"/>
        <w:rPr>
          <w:rFonts w:ascii="Tahoma" w:hAnsi="Tahoma" w:cs="Tahoma"/>
          <w:sz w:val="16"/>
          <w:szCs w:val="16"/>
          <w:lang w:val="it-IT"/>
        </w:rPr>
      </w:pPr>
    </w:p>
    <w:p w:rsidR="008B1196" w:rsidRPr="00EB4D74" w:rsidRDefault="008B1196" w:rsidP="008B1196">
      <w:pPr>
        <w:pStyle w:val="Heading3"/>
        <w:rPr>
          <w:rFonts w:ascii="Tahoma" w:hAnsi="Tahoma" w:cs="Tahoma"/>
          <w:lang w:val="it-IT"/>
        </w:rPr>
      </w:pPr>
      <w:bookmarkStart w:id="1298" w:name="_Toc336338319"/>
      <w:bookmarkStart w:id="1299" w:name="_55_Forefront_Protection"/>
      <w:bookmarkStart w:id="1300" w:name="_Toc342914950"/>
      <w:bookmarkEnd w:id="1298"/>
      <w:bookmarkEnd w:id="1299"/>
      <w:r w:rsidRPr="00EB4D74">
        <w:rPr>
          <w:rFonts w:ascii="Tahoma" w:hAnsi="Tahoma" w:cs="Tahoma"/>
          <w:caps/>
          <w:color w:val="F66400"/>
          <w:sz w:val="22"/>
          <w:vertAlign w:val="superscript"/>
          <w:lang w:val="pt-BR"/>
        </w:rPr>
        <w:t>55</w:t>
      </w:r>
      <w:r w:rsidRPr="00EB4D74">
        <w:rPr>
          <w:rFonts w:ascii="Tahoma" w:hAnsi="Tahoma" w:cs="Tahoma"/>
          <w:color w:val="F66400"/>
          <w:sz w:val="22"/>
          <w:lang w:val="pt-BR"/>
        </w:rPr>
        <w:t xml:space="preserve"> Forefront Protection Suite (Dispositivo e Usuário)</w:t>
      </w:r>
      <w:bookmarkEnd w:id="1300"/>
    </w:p>
    <w:p w:rsidR="008B1196" w:rsidRPr="00EB4D74" w:rsidRDefault="008B1196" w:rsidP="008B1196">
      <w:pPr>
        <w:rPr>
          <w:rFonts w:cs="Tahoma"/>
          <w:lang w:val="it-IT"/>
        </w:rPr>
      </w:pPr>
    </w:p>
    <w:p w:rsidR="008B1196" w:rsidRPr="00EB4D74" w:rsidRDefault="008B1196" w:rsidP="008B1196">
      <w:pPr>
        <w:ind w:left="720"/>
        <w:rPr>
          <w:rFonts w:cs="Tahoma"/>
          <w:spacing w:val="-2"/>
          <w:lang w:val="it-IT"/>
        </w:rPr>
      </w:pPr>
      <w:bookmarkStart w:id="1301" w:name="Srv_45ForefrontSecfoOffComm"/>
      <w:bookmarkStart w:id="1302" w:name="Srv_46ForefrontSecfoOffComm"/>
      <w:bookmarkEnd w:id="1301"/>
      <w:bookmarkEnd w:id="1302"/>
      <w:r w:rsidRPr="00EB4D74">
        <w:rPr>
          <w:rFonts w:cs="Tahoma"/>
          <w:color w:val="000000"/>
          <w:spacing w:val="-2"/>
          <w:lang w:val="pt-BR"/>
        </w:rPr>
        <w:t xml:space="preserve">O Forefront Protection Suite não estará mais disponível a partir de 1º de dezembro de 2012. Os Clientes com assinaturas ativas do serviço online a partir de 30 de novembro de 2012 podem continuar usando os serviços de componentes até o término de sua assinatura. </w:t>
      </w:r>
      <w:r w:rsidRPr="00EB4D74">
        <w:rPr>
          <w:rFonts w:cs="Tahoma"/>
          <w:spacing w:val="-2"/>
          <w:lang w:val="pt-BR"/>
        </w:rPr>
        <w:t xml:space="preserve">Esses clientes também podem continuar a usar os componentes do Forefront Security para Office Communications Server, Forefront Protection 2010 para Exchange Server, Forefront Threat Management Gateway Web Protection Service e Forefront Protection 2010 para SharePoint Server do pacote até 31 de dezembro de 2015. Os clientes existentes também poderão adicionar novos usuários conforme a necessidade para o Forefront Security para Office Communications Server, Forefront Protection 2010 para Exchange Server, Forefront Threat management Gateway Web Protection Service e Forefront Protection para SharePoint Server sem qualquer exigência de pedir Licenças adicionais de Assinatura do Usuário. </w:t>
      </w:r>
      <w:r w:rsidRPr="00EB4D74">
        <w:rPr>
          <w:rFonts w:cs="Tahoma"/>
          <w:color w:val="000000"/>
          <w:spacing w:val="-2"/>
          <w:lang w:val="pt-BR"/>
        </w:rPr>
        <w:t>O uso contínuo dos serviços online dos componentes permanece sujeito aos termos e às condições do Contrato de Licenciamento por Volume do cliente, dos direitos de uso do produto dos serviços online e dos termos e das condições aqui.</w:t>
      </w:r>
    </w:p>
    <w:p w:rsidR="008B1196" w:rsidRPr="00EB4D74" w:rsidRDefault="008B1196" w:rsidP="008B1196">
      <w:pPr>
        <w:ind w:left="720"/>
        <w:rPr>
          <w:rFonts w:cs="Tahoma"/>
        </w:rPr>
      </w:pPr>
      <w:r w:rsidRPr="00EB4D74">
        <w:rPr>
          <w:rFonts w:cs="Tahoma"/>
          <w:color w:val="000000"/>
          <w:lang w:val="pt-BR"/>
        </w:rPr>
        <w:lastRenderedPageBreak/>
        <w:t>Uma assinatura do Forefront Protection Suite consiste nos seguintes serviços online: Forefront Endpoint Protection, Forefront for Office Communications Server (anteriormente, Antigen para Serviço de Mensagens Instantâneas), Forefront Online Protection for Exchange (anteriormente, Exchange Hosted Filtering), Forefront Protection 2010 for Exchange Server, Forefront Threat Management Gateway Web Protection Service e Forefront Protection 2010 for SharePoint Server.</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lang w:val="pt-BR"/>
        </w:rPr>
        <w:t xml:space="preserve">Consulte a </w:t>
      </w:r>
      <w:hyperlink w:anchor="_Seção_5_–_1" w:history="1">
        <w:r w:rsidRPr="00EB4D74">
          <w:rPr>
            <w:rStyle w:val="Hyperlink"/>
            <w:rFonts w:cs="Tahoma"/>
            <w:lang w:val="pt-BR"/>
          </w:rPr>
          <w:t>Seção 5</w:t>
        </w:r>
      </w:hyperlink>
      <w:r w:rsidRPr="00EB4D74">
        <w:rPr>
          <w:rFonts w:cs="Tahoma"/>
          <w:lang w:val="pt-BR"/>
        </w:rPr>
        <w:t xml:space="preserve"> para obter informações sobre os termos de pagamento e preços dos serviços online.</w:t>
      </w: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p>
    <w:p w:rsidR="008B1196" w:rsidRPr="00EB4D74" w:rsidRDefault="008B1196" w:rsidP="008B1196">
      <w:pPr>
        <w:pStyle w:val="Heading3"/>
        <w:ind w:left="216" w:hanging="216"/>
        <w:rPr>
          <w:rFonts w:ascii="Tahoma" w:hAnsi="Tahoma" w:cs="Tahoma"/>
        </w:rPr>
      </w:pPr>
      <w:bookmarkStart w:id="1303" w:name="_Toc336338320"/>
      <w:bookmarkStart w:id="1304" w:name="Srv_49ForefrontSecfoOffComm"/>
      <w:bookmarkStart w:id="1305" w:name="_Toc342914951"/>
      <w:bookmarkEnd w:id="1303"/>
      <w:bookmarkEnd w:id="1304"/>
      <w:r w:rsidRPr="00EB4D74">
        <w:rPr>
          <w:rFonts w:ascii="Tahoma" w:hAnsi="Tahoma" w:cs="Tahoma"/>
          <w:caps/>
          <w:color w:val="F66400"/>
          <w:sz w:val="22"/>
          <w:vertAlign w:val="superscript"/>
          <w:lang w:val="pt-BR"/>
        </w:rPr>
        <w:t xml:space="preserve">56 </w:t>
      </w:r>
      <w:r w:rsidRPr="00EB4D74">
        <w:rPr>
          <w:rFonts w:ascii="Tahoma" w:hAnsi="Tahoma" w:cs="Tahoma"/>
          <w:color w:val="F66400"/>
          <w:sz w:val="22"/>
          <w:lang w:val="pt-BR"/>
        </w:rPr>
        <w:t>Forefront Security para Office Communications Server (SL de Usuário e Dispositivo)</w:t>
      </w:r>
      <w:bookmarkEnd w:id="1305"/>
    </w:p>
    <w:p w:rsidR="008B1196" w:rsidRPr="00EB4D74" w:rsidRDefault="008B1196" w:rsidP="008B1196">
      <w:pPr>
        <w:pStyle w:val="EndnoteText"/>
        <w:ind w:left="0"/>
        <w:rPr>
          <w:rFonts w:ascii="Tahoma" w:hAnsi="Tahoma" w:cs="Tahoma"/>
        </w:rPr>
      </w:pPr>
    </w:p>
    <w:p w:rsidR="008B1196" w:rsidRPr="00EB4D74" w:rsidRDefault="008B1196" w:rsidP="008B1196">
      <w:pPr>
        <w:ind w:left="720"/>
        <w:rPr>
          <w:rFonts w:cs="Tahoma"/>
          <w:lang w:val="it-IT"/>
        </w:rPr>
      </w:pPr>
      <w:r w:rsidRPr="00EB4D74">
        <w:rPr>
          <w:rFonts w:cs="Tahoma"/>
          <w:lang w:val="pt-BR"/>
        </w:rPr>
        <w:t xml:space="preserve">O Forefront Security para Office Communications Server não estará mais disponível a partir de 1º de dezembro de 2012. Os clientes com assinaturas ativas para o serviço online a partir de 30 de novembro de 2012 poderão continuar a usar o serviço online até 31 de dezembro de 2015. Os clientes existentes também poderão adicionar novos usuários, conforme necessário, sem qualquer exigência de pedidos de Licenças adicionais de Assinaturas do Usuário. </w:t>
      </w:r>
      <w:r w:rsidRPr="00EB4D74">
        <w:rPr>
          <w:rFonts w:cs="Tahoma"/>
          <w:color w:val="000000"/>
          <w:lang w:val="pt-BR"/>
        </w:rPr>
        <w:t>O uso contínuo do serviço online permanece sujeito aos termos e às condições do Contrato de Licenciamento por Volume do cliente, dos direitos de uso do produto do serviço online e dos termos e das condições aqui.</w:t>
      </w:r>
    </w:p>
    <w:p w:rsidR="008B1196" w:rsidRPr="00EB4D74" w:rsidRDefault="008B1196" w:rsidP="008B1196">
      <w:pPr>
        <w:ind w:left="720"/>
        <w:rPr>
          <w:rFonts w:cs="Tahoma"/>
          <w:lang w:val="it-IT"/>
        </w:rPr>
      </w:pPr>
    </w:p>
    <w:p w:rsidR="008B1196" w:rsidRPr="00EB4D74" w:rsidRDefault="008B1196" w:rsidP="008B1196">
      <w:pPr>
        <w:pStyle w:val="EndnoteText"/>
        <w:ind w:left="720"/>
        <w:rPr>
          <w:rFonts w:ascii="Tahoma" w:hAnsi="Tahoma" w:cs="Tahoma"/>
          <w:lang w:val="it-IT"/>
        </w:rPr>
      </w:pPr>
      <w:r w:rsidRPr="00EB4D74">
        <w:rPr>
          <w:rFonts w:ascii="Tahoma" w:hAnsi="Tahoma" w:cs="Tahoma"/>
          <w:bCs/>
          <w:color w:val="000000"/>
          <w:sz w:val="18"/>
          <w:lang w:val="it-IT"/>
        </w:rPr>
        <w:t>Todos os usuários (ou dispositivos) que acessarem um servidor protegido precisarão de SLs de Usuário (ou Dispositivo). Este serviço online era conhecido como Antigen para Mensagens Instantâneas.</w:t>
      </w:r>
    </w:p>
    <w:p w:rsidR="008B1196" w:rsidRPr="00EB4D74" w:rsidRDefault="008B1196" w:rsidP="008B1196">
      <w:pPr>
        <w:rPr>
          <w:rFonts w:cs="Tahoma"/>
          <w:sz w:val="16"/>
          <w:szCs w:val="20"/>
          <w:lang w:val="it-IT"/>
        </w:rPr>
      </w:pPr>
      <w:bookmarkStart w:id="1306" w:name="Srv_48ForefrontSvrSecMgmtConsole"/>
    </w:p>
    <w:p w:rsidR="008B1196" w:rsidRPr="00EB4D74" w:rsidRDefault="008B1196" w:rsidP="008B1196">
      <w:pPr>
        <w:rPr>
          <w:rFonts w:cs="Tahoma"/>
          <w:sz w:val="16"/>
          <w:szCs w:val="20"/>
          <w:lang w:val="it-IT"/>
        </w:rPr>
      </w:pPr>
      <w:bookmarkStart w:id="1307" w:name="_49_Forefront_Threat"/>
      <w:bookmarkEnd w:id="1306"/>
      <w:bookmarkEnd w:id="1307"/>
    </w:p>
    <w:p w:rsidR="008B1196" w:rsidRPr="00EB4D74" w:rsidRDefault="008B1196" w:rsidP="008B1196">
      <w:pPr>
        <w:pStyle w:val="Heading3"/>
        <w:rPr>
          <w:rFonts w:ascii="Tahoma" w:hAnsi="Tahoma" w:cs="Tahoma"/>
        </w:rPr>
      </w:pPr>
      <w:bookmarkStart w:id="1308" w:name="_50__Forefront"/>
      <w:bookmarkStart w:id="1309" w:name="_57_Forefront_Threat"/>
      <w:bookmarkStart w:id="1310" w:name="_Toc336338321"/>
      <w:bookmarkStart w:id="1311" w:name="Srv_51ForefrontThreatMgmtGtwy2010"/>
      <w:bookmarkStart w:id="1312" w:name="_Toc342914952"/>
      <w:bookmarkEnd w:id="1308"/>
      <w:bookmarkEnd w:id="1309"/>
      <w:bookmarkEnd w:id="1310"/>
      <w:bookmarkEnd w:id="1311"/>
      <w:r w:rsidRPr="00EB4D74">
        <w:rPr>
          <w:rFonts w:ascii="Tahoma" w:hAnsi="Tahoma" w:cs="Tahoma"/>
          <w:caps/>
          <w:color w:val="F66400"/>
          <w:sz w:val="22"/>
          <w:vertAlign w:val="superscript"/>
          <w:lang w:val="pt-BR"/>
        </w:rPr>
        <w:t xml:space="preserve">57 </w:t>
      </w:r>
      <w:r w:rsidRPr="00EB4D74">
        <w:rPr>
          <w:rFonts w:ascii="Tahoma" w:hAnsi="Tahoma" w:cs="Tahoma"/>
          <w:color w:val="F66400"/>
          <w:sz w:val="22"/>
          <w:lang w:val="pt-BR"/>
        </w:rPr>
        <w:t>Forefront Threat Management Gateway Web Protection Service</w:t>
      </w:r>
      <w:bookmarkEnd w:id="1312"/>
    </w:p>
    <w:p w:rsidR="008B1196" w:rsidRPr="00EB4D74" w:rsidRDefault="008B1196" w:rsidP="008B1196">
      <w:pPr>
        <w:rPr>
          <w:rFonts w:cs="Tahoma"/>
        </w:rPr>
      </w:pPr>
    </w:p>
    <w:p w:rsidR="008B1196" w:rsidRPr="00EB4D74" w:rsidRDefault="008B1196" w:rsidP="008B1196">
      <w:pPr>
        <w:ind w:left="720"/>
        <w:rPr>
          <w:rFonts w:cs="Tahoma"/>
          <w:lang w:val="it-IT"/>
        </w:rPr>
      </w:pPr>
      <w:bookmarkStart w:id="1313" w:name="Srv_52ForefrontUnifiedAccessGtwy2010"/>
      <w:bookmarkStart w:id="1314" w:name="Srv_56ForefrontUnifiedAccessGtwy2010"/>
      <w:bookmarkStart w:id="1315" w:name="_Toc336338322"/>
      <w:bookmarkEnd w:id="1313"/>
      <w:bookmarkEnd w:id="1314"/>
      <w:r w:rsidRPr="00EB4D74">
        <w:rPr>
          <w:rFonts w:cs="Tahoma"/>
          <w:lang w:val="pt-BR"/>
        </w:rPr>
        <w:t xml:space="preserve">O </w:t>
      </w:r>
      <w:r w:rsidRPr="00EB4D74">
        <w:rPr>
          <w:rFonts w:cs="Tahoma"/>
          <w:color w:val="000000"/>
          <w:lang w:val="pt-BR"/>
        </w:rPr>
        <w:t>Forefront Threat Management Gateway Web Protection Service</w:t>
      </w:r>
      <w:r w:rsidRPr="00EB4D74">
        <w:rPr>
          <w:rFonts w:cs="Tahoma"/>
          <w:lang w:val="pt-BR"/>
        </w:rPr>
        <w:t xml:space="preserve"> não estará mais disponível a partir de 1º de dezembro de 2012. Os clientes com assinaturas ativas para o serviço online a partir de 30 de novembro de 2012 poderão continuar a usar o serviço online até 31 de dezembro de 2015. Os clientes existentes também poderão adicionar novos usuários, conforme necessário, sem qualquer exigência de pedidos de Licenças adicionais de Assinaturas do Usuário. </w:t>
      </w:r>
      <w:r w:rsidRPr="00EB4D74">
        <w:rPr>
          <w:rFonts w:cs="Tahoma"/>
          <w:color w:val="000000"/>
          <w:lang w:val="pt-BR"/>
        </w:rPr>
        <w:t>O uso contínuo do serviço online permanece sujeito aos termos e às condições do Contrato de Licenciamento por Volume do cliente, dos direitos de uso do produto do serviço online e dos termos e das condições aqui.</w:t>
      </w:r>
    </w:p>
    <w:p w:rsidR="008B1196" w:rsidRPr="00EB4D74" w:rsidRDefault="008B1196" w:rsidP="008B1196">
      <w:pPr>
        <w:rPr>
          <w:rFonts w:cs="Tahoma"/>
          <w:sz w:val="16"/>
          <w:szCs w:val="20"/>
          <w:lang w:val="it-IT"/>
        </w:rPr>
      </w:pPr>
    </w:p>
    <w:p w:rsidR="008B1196" w:rsidRPr="00EB4D74" w:rsidRDefault="008B1196" w:rsidP="008B1196">
      <w:pPr>
        <w:rPr>
          <w:rFonts w:cs="Tahoma"/>
          <w:sz w:val="16"/>
          <w:szCs w:val="20"/>
          <w:lang w:val="it-IT"/>
        </w:rPr>
      </w:pPr>
    </w:p>
    <w:p w:rsidR="008B1196" w:rsidRPr="00EB4D74" w:rsidRDefault="008B1196" w:rsidP="008B1196">
      <w:pPr>
        <w:pStyle w:val="Heading3"/>
        <w:rPr>
          <w:rFonts w:ascii="Tahoma" w:hAnsi="Tahoma" w:cs="Tahoma"/>
        </w:rPr>
      </w:pPr>
      <w:bookmarkStart w:id="1316" w:name="_58_Forefront_Unified"/>
      <w:bookmarkStart w:id="1317" w:name="_Toc342914953"/>
      <w:bookmarkEnd w:id="1315"/>
      <w:bookmarkEnd w:id="1316"/>
      <w:r w:rsidRPr="00EB4D74">
        <w:rPr>
          <w:rFonts w:ascii="Tahoma" w:hAnsi="Tahoma" w:cs="Tahoma"/>
          <w:caps/>
          <w:color w:val="F66400"/>
          <w:sz w:val="22"/>
          <w:vertAlign w:val="superscript"/>
          <w:lang w:val="pt-BR"/>
        </w:rPr>
        <w:t xml:space="preserve">58 </w:t>
      </w:r>
      <w:r w:rsidRPr="00EB4D74">
        <w:rPr>
          <w:rFonts w:ascii="Tahoma" w:hAnsi="Tahoma" w:cs="Tahoma"/>
          <w:color w:val="F66400"/>
          <w:sz w:val="22"/>
          <w:lang w:val="pt-BR"/>
        </w:rPr>
        <w:t>Forefront Unified Access Gateway 2010</w:t>
      </w:r>
      <w:bookmarkEnd w:id="1317"/>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t>Versão</w:t>
      </w:r>
    </w:p>
    <w:p w:rsidR="008B1196" w:rsidRPr="00EB4D74" w:rsidRDefault="008B1196" w:rsidP="008B1196">
      <w:pPr>
        <w:ind w:left="720"/>
        <w:rPr>
          <w:rFonts w:cs="Tahoma"/>
        </w:rPr>
      </w:pPr>
      <w:r w:rsidRPr="00EB4D74">
        <w:rPr>
          <w:rFonts w:cs="Tahoma"/>
          <w:color w:val="000000"/>
          <w:lang w:val="pt-BR"/>
        </w:rPr>
        <w:t>O Forefront Unified Access Gateway 2010 é a próxima versão do Whale Intelligent Application Gateway 2007.</w:t>
      </w:r>
    </w:p>
    <w:p w:rsidR="008B1196" w:rsidRPr="00EB4D74" w:rsidRDefault="008B1196" w:rsidP="008B1196">
      <w:pPr>
        <w:ind w:left="720"/>
        <w:rPr>
          <w:rFonts w:cs="Tahoma"/>
          <w:sz w:val="16"/>
          <w:szCs w:val="20"/>
        </w:rPr>
      </w:pPr>
    </w:p>
    <w:p w:rsidR="008B1196" w:rsidRPr="00EB4D74" w:rsidRDefault="008B1196" w:rsidP="008B1196">
      <w:pPr>
        <w:ind w:left="720"/>
        <w:rPr>
          <w:rFonts w:cs="Tahoma"/>
          <w:sz w:val="16"/>
          <w:szCs w:val="20"/>
        </w:rPr>
      </w:pPr>
    </w:p>
    <w:p w:rsidR="008B1196" w:rsidRPr="00EB4D74" w:rsidRDefault="008B1196" w:rsidP="008B1196">
      <w:pPr>
        <w:pStyle w:val="Heading3"/>
        <w:rPr>
          <w:rFonts w:ascii="Tahoma" w:hAnsi="Tahoma" w:cs="Tahoma"/>
        </w:rPr>
      </w:pPr>
      <w:bookmarkStart w:id="1318" w:name="_51_High_Performance"/>
      <w:bookmarkStart w:id="1319" w:name="_Toc336338323"/>
      <w:bookmarkStart w:id="1320" w:name="Srv_48HighPerfComputingPack"/>
      <w:bookmarkStart w:id="1321" w:name="Srv_54HighPerfComputingPack"/>
      <w:bookmarkStart w:id="1322" w:name="Srv_49HighPerfComputingPack"/>
      <w:bookmarkStart w:id="1323" w:name="_Toc342914954"/>
      <w:bookmarkEnd w:id="1318"/>
      <w:bookmarkEnd w:id="1319"/>
      <w:bookmarkEnd w:id="1320"/>
      <w:bookmarkEnd w:id="1321"/>
      <w:bookmarkEnd w:id="1322"/>
      <w:r w:rsidRPr="00EB4D74">
        <w:rPr>
          <w:rFonts w:ascii="Tahoma" w:hAnsi="Tahoma" w:cs="Tahoma"/>
          <w:caps/>
          <w:color w:val="F66400"/>
          <w:sz w:val="22"/>
          <w:vertAlign w:val="superscript"/>
          <w:lang w:val="pt-BR"/>
        </w:rPr>
        <w:t>59</w:t>
      </w:r>
      <w:r w:rsidRPr="00EB4D74">
        <w:rPr>
          <w:rFonts w:ascii="Tahoma" w:hAnsi="Tahoma" w:cs="Tahoma"/>
          <w:color w:val="F66400"/>
          <w:sz w:val="22"/>
          <w:lang w:val="pt-BR"/>
        </w:rPr>
        <w:t xml:space="preserve"> HPC Pack 2008 R2 Enterprise</w:t>
      </w:r>
      <w:bookmarkEnd w:id="1323"/>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do HPC Pack Enterprise</w:t>
      </w:r>
    </w:p>
    <w:p w:rsidR="008B1196" w:rsidRPr="00EB4D74" w:rsidRDefault="008B1196" w:rsidP="008B1196">
      <w:pPr>
        <w:ind w:left="720"/>
        <w:rPr>
          <w:rFonts w:cs="Tahoma"/>
          <w:spacing w:val="-4"/>
          <w:lang w:val="pt-BR"/>
        </w:rPr>
      </w:pPr>
      <w:r w:rsidRPr="00EB4D74">
        <w:rPr>
          <w:rFonts w:cs="Tahoma"/>
          <w:color w:val="000000"/>
          <w:spacing w:val="-4"/>
          <w:lang w:val="pt-BR"/>
        </w:rPr>
        <w:t xml:space="preserve">O HPC Pack 2008 R2 Enterprise será a última versão do HPC Pack Enterprise vendido em Licenciamento porVolume. Versões futuras estarão disponíveis como download gratuito. </w:t>
      </w:r>
      <w:r w:rsidRPr="00EB4D74">
        <w:rPr>
          <w:rFonts w:cs="Tahoma"/>
          <w:spacing w:val="-4"/>
          <w:lang w:val="pt-BR"/>
        </w:rPr>
        <w:t>Os clientes de licenciamento por volume com Software Assurance ativo para licenças HPC Pack 2008 R2 Enterprise em 1º de setembro de 2012 ou a partir da data da primeira disponibilização do Windows Server 2012 para download no Volume Licensing Service Center (Centro de Atendimento de Licenciamento por Volume), o que ocorrer primeiro, (“Licenças Qualificadas”) poderão usar o software Windows Server 2012 Standard. Para facilitar tal uso, para cada duas Licenças de Qualificação que o cliente possui, ele terá uma licença do processador WindowsServer 2012 Standard mediante a disponibilização do Windows Server 2012.</w:t>
      </w:r>
    </w:p>
    <w:p w:rsidR="008B1196" w:rsidRPr="00EB4D74" w:rsidRDefault="008B1196" w:rsidP="008B1196">
      <w:pPr>
        <w:ind w:left="720"/>
        <w:rPr>
          <w:rFonts w:cs="Tahoma"/>
          <w:lang w:val="pt-BR"/>
        </w:rPr>
      </w:pPr>
    </w:p>
    <w:p w:rsidR="008B1196" w:rsidRPr="00EB4D74" w:rsidRDefault="008B1196" w:rsidP="008B1196">
      <w:pPr>
        <w:numPr>
          <w:ilvl w:val="0"/>
          <w:numId w:val="97"/>
        </w:numPr>
        <w:tabs>
          <w:tab w:val="clear" w:pos="360"/>
          <w:tab w:val="left" w:pos="1440"/>
        </w:tabs>
        <w:spacing w:after="60"/>
        <w:ind w:left="1440"/>
        <w:rPr>
          <w:rFonts w:cs="Tahoma"/>
          <w:szCs w:val="18"/>
        </w:rPr>
      </w:pPr>
      <w:r w:rsidRPr="00EB4D74">
        <w:rPr>
          <w:rFonts w:cs="Tahoma"/>
          <w:color w:val="000000"/>
          <w:szCs w:val="18"/>
          <w:lang w:val="pt-BR"/>
        </w:rPr>
        <w:t>Se um cliente tiver um número ímpar de licenças do HPC Pack Enterprise, o cliente precisará arredondar para cima para o próximo número par para determinar sua concessão. Por exemplo, um cliente que tenha três licenças do HPC Pack Enterprise receberá no total duas licenças do Windows Server 2012 Standard.</w:t>
      </w:r>
    </w:p>
    <w:p w:rsidR="008B1196" w:rsidRPr="00EB4D74" w:rsidRDefault="008B1196" w:rsidP="008B1196">
      <w:pPr>
        <w:pStyle w:val="ListParagraph"/>
        <w:numPr>
          <w:ilvl w:val="0"/>
          <w:numId w:val="97"/>
        </w:numPr>
        <w:tabs>
          <w:tab w:val="clear" w:pos="360"/>
          <w:tab w:val="left" w:pos="1440"/>
        </w:tabs>
        <w:spacing w:after="60"/>
        <w:ind w:left="1440"/>
        <w:contextualSpacing w:val="0"/>
        <w:rPr>
          <w:rFonts w:ascii="Tahoma" w:hAnsi="Tahoma" w:cs="Tahoma"/>
          <w:sz w:val="18"/>
          <w:szCs w:val="18"/>
          <w:lang w:val="it-IT"/>
        </w:rPr>
      </w:pPr>
      <w:r w:rsidRPr="00EB4D74">
        <w:rPr>
          <w:rFonts w:ascii="Tahoma" w:hAnsi="Tahoma" w:cs="Tahoma"/>
          <w:sz w:val="18"/>
          <w:szCs w:val="18"/>
        </w:rPr>
        <w:lastRenderedPageBreak/>
        <w:t xml:space="preserve">As licenças adquiridas sob esta concessão incluirão cobertura do Software Assurance. </w:t>
      </w:r>
      <w:r w:rsidRPr="00EB4D74">
        <w:rPr>
          <w:rFonts w:ascii="Tahoma" w:hAnsi="Tahoma" w:cs="Tahoma"/>
          <w:sz w:val="18"/>
          <w:szCs w:val="18"/>
          <w:lang w:val="it-IT"/>
        </w:rPr>
        <w:t>Tal cobertura expira quando a cobertura correspondente nas Licenças de Qualificação expirar.</w:t>
      </w:r>
    </w:p>
    <w:p w:rsidR="008B1196" w:rsidRPr="00EB4D74" w:rsidRDefault="008B1196" w:rsidP="008B1196">
      <w:pPr>
        <w:pStyle w:val="ListParagraph"/>
        <w:numPr>
          <w:ilvl w:val="0"/>
          <w:numId w:val="97"/>
        </w:numPr>
        <w:tabs>
          <w:tab w:val="clear" w:pos="360"/>
          <w:tab w:val="left" w:pos="1440"/>
        </w:tabs>
        <w:spacing w:after="60"/>
        <w:ind w:left="1440"/>
        <w:contextualSpacing w:val="0"/>
        <w:rPr>
          <w:rFonts w:ascii="Tahoma" w:hAnsi="Tahoma" w:cs="Tahoma"/>
          <w:sz w:val="18"/>
          <w:szCs w:val="18"/>
          <w:lang w:val="it-IT"/>
        </w:rPr>
      </w:pPr>
      <w:r w:rsidRPr="00EB4D74">
        <w:rPr>
          <w:rFonts w:ascii="Tahoma" w:hAnsi="Tahoma" w:cs="Tahoma"/>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7"/>
        </w:numPr>
        <w:tabs>
          <w:tab w:val="clear" w:pos="360"/>
          <w:tab w:val="left" w:pos="1440"/>
          <w:tab w:val="left" w:pos="2160"/>
        </w:tabs>
        <w:spacing w:after="60"/>
        <w:ind w:left="1440"/>
        <w:rPr>
          <w:rFonts w:cs="Tahoma"/>
          <w:szCs w:val="18"/>
        </w:rPr>
      </w:pPr>
      <w:r w:rsidRPr="00EB4D74">
        <w:rPr>
          <w:rFonts w:cs="Tahoma"/>
          <w:szCs w:val="18"/>
          <w:lang w:val="pt-BR"/>
        </w:rPr>
        <w:t>Na atualização para o Windows Server 2012 Standard sob essa concessão, as licenças existentes do HPC Pack Enterprise do cliente permanecerão válidas.</w:t>
      </w:r>
    </w:p>
    <w:p w:rsidR="008B1196" w:rsidRPr="00EB4D74" w:rsidRDefault="008B1196" w:rsidP="008B1196">
      <w:pPr>
        <w:numPr>
          <w:ilvl w:val="0"/>
          <w:numId w:val="97"/>
        </w:numPr>
        <w:tabs>
          <w:tab w:val="clear" w:pos="360"/>
          <w:tab w:val="left" w:pos="1440"/>
          <w:tab w:val="left" w:pos="2160"/>
        </w:tabs>
        <w:spacing w:after="60"/>
        <w:ind w:left="1440"/>
        <w:rPr>
          <w:rFonts w:cs="Tahoma"/>
          <w:szCs w:val="18"/>
        </w:rPr>
      </w:pPr>
      <w:r w:rsidRPr="00EB4D74">
        <w:rPr>
          <w:rFonts w:cs="Tahoma"/>
          <w:color w:val="000000"/>
          <w:szCs w:val="18"/>
          <w:lang w:val="pt-BR"/>
        </w:rPr>
        <w:t>As licenças do HPC Pack 2008 R2 Enterprise adquiridas posteriormente no mesmo prazo de registro, como parte de um processo de adequação (“true-up”) programado do cliente Enterprise, Enterprise Subscription, Open Value Subscription ou EES também são Licenças de Qualificação para os propósitos da concessão supracitada.</w:t>
      </w:r>
    </w:p>
    <w:p w:rsidR="008B1196" w:rsidRPr="00EB4D74" w:rsidRDefault="008B1196" w:rsidP="008B1196">
      <w:pPr>
        <w:numPr>
          <w:ilvl w:val="0"/>
          <w:numId w:val="97"/>
        </w:numPr>
        <w:tabs>
          <w:tab w:val="clear" w:pos="360"/>
          <w:tab w:val="left" w:pos="1440"/>
          <w:tab w:val="left" w:pos="2160"/>
        </w:tabs>
        <w:spacing w:after="60"/>
        <w:ind w:left="1440"/>
        <w:rPr>
          <w:rFonts w:cs="Tahoma"/>
          <w:szCs w:val="18"/>
        </w:rPr>
      </w:pPr>
      <w:r w:rsidRPr="00EB4D74">
        <w:rPr>
          <w:rFonts w:cs="Tahoma"/>
          <w:color w:val="000000"/>
          <w:szCs w:val="18"/>
          <w:lang w:val="pt-BR"/>
        </w:rPr>
        <w:t>Não obstante a concessão das licenças do Windows Server 2012 Standard e qualquer atualização para esta versão, as obrigações de pagar montantes devidos e pendentes pelas Licenças de Qualificação e cobertura permanecem em pleno vigor e efeito.</w:t>
      </w:r>
    </w:p>
    <w:p w:rsidR="008B1196" w:rsidRPr="00EB4D74" w:rsidRDefault="008B1196" w:rsidP="008B1196">
      <w:pPr>
        <w:tabs>
          <w:tab w:val="left" w:pos="1440"/>
          <w:tab w:val="left" w:pos="2160"/>
        </w:tabs>
        <w:ind w:left="1080"/>
        <w:contextualSpacing/>
        <w:rPr>
          <w:rFonts w:cs="Tahoma"/>
        </w:rPr>
      </w:pPr>
    </w:p>
    <w:p w:rsidR="008B1196" w:rsidRPr="00EB4D74" w:rsidRDefault="008B1196" w:rsidP="008B1196">
      <w:pPr>
        <w:tabs>
          <w:tab w:val="left" w:pos="1440"/>
          <w:tab w:val="left" w:pos="2160"/>
        </w:tabs>
        <w:spacing w:after="60"/>
        <w:ind w:left="1080"/>
        <w:rPr>
          <w:rFonts w:cs="Tahoma"/>
        </w:rPr>
      </w:pPr>
      <w:r w:rsidRPr="00EB4D74">
        <w:rPr>
          <w:rFonts w:cs="Tahoma"/>
          <w:b/>
          <w:lang w:val="pt-BR"/>
        </w:rPr>
        <w:t>Informações adicionais sobre o uso do Windows Server 2012 para High Performance Computing (HPC)</w:t>
      </w:r>
    </w:p>
    <w:p w:rsidR="008B1196" w:rsidRPr="00EB4D74" w:rsidRDefault="008B1196" w:rsidP="008B1196">
      <w:pPr>
        <w:tabs>
          <w:tab w:val="left" w:pos="1440"/>
          <w:tab w:val="left" w:pos="2160"/>
        </w:tabs>
        <w:ind w:left="1080"/>
        <w:contextualSpacing/>
        <w:rPr>
          <w:rFonts w:cs="Tahoma"/>
          <w:lang w:val="it-IT"/>
        </w:rPr>
      </w:pPr>
      <w:r w:rsidRPr="00EB4D74">
        <w:rPr>
          <w:rFonts w:eastAsia="Times New Roman" w:cs="Tahoma"/>
          <w:szCs w:val="18"/>
          <w:lang w:val="pt-BR"/>
        </w:rPr>
        <w:t xml:space="preserve">Quando o Windows Server 2012 Standard ou Datacenter é usado para High Performance Computing, você não precisa de CALs para acessar o software. </w:t>
      </w:r>
      <w:r w:rsidRPr="00EB4D74">
        <w:rPr>
          <w:rFonts w:cs="Tahoma"/>
          <w:lang w:val="pt-BR"/>
        </w:rPr>
        <w:t xml:space="preserve">Uma “Carga de Trabalho High Performance Computing (“HPC”)” significa uma carga de trabalho na qual o software para servidores </w:t>
      </w:r>
      <w:r w:rsidRPr="00EB4D74">
        <w:rPr>
          <w:rFonts w:cs="Tahoma"/>
          <w:u w:val="single"/>
          <w:lang w:val="pt-BR"/>
        </w:rPr>
        <w:t>é usado</w:t>
      </w:r>
      <w:r w:rsidRPr="00EB4D74">
        <w:rPr>
          <w:rFonts w:cs="Tahoma"/>
          <w:lang w:val="pt-BR"/>
        </w:rPr>
        <w:t xml:space="preserve">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 Direitos de Uso de Produto para obter detalhes adicionais.</w:t>
      </w:r>
    </w:p>
    <w:p w:rsidR="008B1196" w:rsidRPr="00EB4D74" w:rsidRDefault="008B1196" w:rsidP="008B1196">
      <w:pPr>
        <w:ind w:left="216"/>
        <w:rPr>
          <w:rFonts w:cs="Tahoma"/>
          <w:lang w:val="it-IT"/>
        </w:rPr>
      </w:pPr>
    </w:p>
    <w:p w:rsidR="008B1196" w:rsidRPr="00EB4D74" w:rsidRDefault="008B1196" w:rsidP="008B1196">
      <w:pPr>
        <w:ind w:left="216"/>
        <w:rPr>
          <w:rFonts w:cs="Tahoma"/>
          <w:lang w:val="it-IT"/>
        </w:rPr>
      </w:pPr>
    </w:p>
    <w:p w:rsidR="008B1196" w:rsidRPr="00EB4D74" w:rsidRDefault="008B1196" w:rsidP="008B1196">
      <w:pPr>
        <w:pStyle w:val="Heading3"/>
        <w:rPr>
          <w:rFonts w:ascii="Tahoma" w:hAnsi="Tahoma" w:cs="Tahoma"/>
          <w:lang w:val="it-IT"/>
        </w:rPr>
      </w:pPr>
      <w:bookmarkStart w:id="1324" w:name="_58_Learning_Solutions"/>
      <w:bookmarkStart w:id="1325" w:name="_54_Learning_Solutions"/>
      <w:bookmarkStart w:id="1326" w:name="Srv_60LearningSolMCP1ExamVouch"/>
      <w:bookmarkStart w:id="1327" w:name="_Toc336338324"/>
      <w:bookmarkStart w:id="1328" w:name="_Toc342914955"/>
      <w:bookmarkStart w:id="1329" w:name="Srv_55LearningSolMCP1ExamVouch"/>
      <w:bookmarkStart w:id="1330" w:name="Srv_56LearningSolMCP1ExamVouch"/>
      <w:bookmarkEnd w:id="1324"/>
      <w:bookmarkEnd w:id="1325"/>
      <w:bookmarkEnd w:id="1326"/>
      <w:bookmarkEnd w:id="1327"/>
      <w:r w:rsidRPr="00EB4D74">
        <w:rPr>
          <w:rFonts w:ascii="Tahoma" w:hAnsi="Tahoma" w:cs="Tahoma"/>
          <w:caps/>
          <w:color w:val="F66400"/>
          <w:sz w:val="22"/>
          <w:vertAlign w:val="superscript"/>
          <w:lang w:val="pt-BR"/>
        </w:rPr>
        <w:t xml:space="preserve">60 </w:t>
      </w:r>
      <w:r w:rsidRPr="00EB4D74">
        <w:rPr>
          <w:rFonts w:ascii="Tahoma" w:hAnsi="Tahoma" w:cs="Tahoma"/>
          <w:color w:val="F66400"/>
          <w:sz w:val="22"/>
          <w:lang w:val="pt-BR"/>
        </w:rPr>
        <w:t>Microsoft Solutions MCP Exam Vouchers</w:t>
      </w:r>
      <w:bookmarkEnd w:id="1328"/>
    </w:p>
    <w:bookmarkEnd w:id="1329"/>
    <w:p w:rsidR="008B1196" w:rsidRPr="00EB4D74" w:rsidRDefault="008B1196" w:rsidP="008B1196">
      <w:pPr>
        <w:pStyle w:val="EndnoteText"/>
        <w:rPr>
          <w:rFonts w:ascii="Tahoma" w:hAnsi="Tahoma" w:cs="Tahoma"/>
          <w:sz w:val="18"/>
          <w:szCs w:val="18"/>
          <w:lang w:val="it-IT"/>
        </w:rPr>
      </w:pPr>
    </w:p>
    <w:bookmarkEnd w:id="1330"/>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sz w:val="18"/>
          <w:lang w:val="it-IT"/>
        </w:rPr>
        <w:t xml:space="preserve">Todos os cupons são fornecidos de antemão e poderão ser usados a qualquer momento antes de 12 meses contados da data de compra. </w:t>
      </w:r>
      <w:r w:rsidRPr="00EB4D74">
        <w:rPr>
          <w:rFonts w:ascii="Tahoma" w:hAnsi="Tahoma" w:cs="Tahoma"/>
          <w:color w:val="000000"/>
          <w:sz w:val="18"/>
          <w:lang w:val="it-IT"/>
        </w:rPr>
        <w:t xml:space="preserve">Consulte a </w:t>
      </w:r>
      <w:hyperlink w:anchor="_Seção_5_–_1" w:history="1">
        <w:r w:rsidRPr="00EB4D74">
          <w:rPr>
            <w:rStyle w:val="Hyperlink"/>
            <w:rFonts w:ascii="Tahoma" w:hAnsi="Tahoma" w:cs="Tahoma"/>
            <w:sz w:val="18"/>
            <w:lang w:val="it-IT"/>
          </w:rPr>
          <w:t>Seção 5</w:t>
        </w:r>
      </w:hyperlink>
      <w:r w:rsidRPr="00EB4D74">
        <w:rPr>
          <w:rFonts w:ascii="Tahoma" w:hAnsi="Tahoma" w:cs="Tahoma"/>
          <w:color w:val="000000"/>
          <w:sz w:val="18"/>
          <w:lang w:val="it-IT"/>
        </w:rPr>
        <w:t xml:space="preserve"> para obter informações sobre os termos de pagamento e preços dos serviços online.</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Heading2"/>
        <w:ind w:left="0"/>
        <w:rPr>
          <w:rFonts w:ascii="Tahoma" w:hAnsi="Tahoma" w:cs="Tahoma"/>
          <w:lang w:val="it-IT"/>
        </w:rPr>
      </w:pPr>
      <w:bookmarkStart w:id="1331" w:name="_Toc336338325"/>
      <w:bookmarkStart w:id="1332" w:name="Srv_65LyncOnlinePlan1and2"/>
      <w:bookmarkStart w:id="1333" w:name="_Toc342914956"/>
      <w:bookmarkEnd w:id="1331"/>
      <w:bookmarkEnd w:id="1332"/>
      <w:r w:rsidRPr="00EB4D74">
        <w:rPr>
          <w:rFonts w:ascii="Tahoma" w:hAnsi="Tahoma" w:cs="Tahoma"/>
          <w:caps/>
          <w:color w:val="FF6600"/>
          <w:sz w:val="22"/>
          <w:vertAlign w:val="superscript"/>
          <w:lang w:val="pt-BR"/>
        </w:rPr>
        <w:t>61</w:t>
      </w:r>
      <w:r w:rsidRPr="00EB4D74">
        <w:rPr>
          <w:rFonts w:ascii="Tahoma" w:hAnsi="Tahoma" w:cs="Tahoma"/>
          <w:caps/>
          <w:color w:val="FF6600"/>
          <w:sz w:val="22"/>
          <w:lang w:val="pt-BR"/>
        </w:rPr>
        <w:t xml:space="preserve"> </w:t>
      </w:r>
      <w:r w:rsidRPr="00EB4D74">
        <w:rPr>
          <w:rFonts w:ascii="Tahoma" w:hAnsi="Tahoma" w:cs="Tahoma"/>
          <w:color w:val="FF6600"/>
          <w:sz w:val="22"/>
          <w:lang w:val="pt-BR"/>
        </w:rPr>
        <w:t>Lync Online Planos 1, 2 e 3</w:t>
      </w:r>
      <w:bookmarkEnd w:id="1333"/>
    </w:p>
    <w:p w:rsidR="008B1196" w:rsidRPr="00EB4D74" w:rsidRDefault="008B1196" w:rsidP="008B1196">
      <w:pPr>
        <w:rPr>
          <w:rFonts w:cs="Tahoma"/>
          <w:lang w:val="it-IT"/>
        </w:rPr>
      </w:pPr>
    </w:p>
    <w:p w:rsidR="008B1196" w:rsidRPr="00EB4D74" w:rsidRDefault="008B1196" w:rsidP="008B1196">
      <w:pPr>
        <w:ind w:left="720"/>
        <w:rPr>
          <w:rFonts w:cs="Tahoma"/>
          <w:lang w:val="pt-BR"/>
        </w:rPr>
      </w:pPr>
      <w:r w:rsidRPr="00EB4D74">
        <w:rPr>
          <w:rFonts w:cs="Tahoma"/>
          <w:color w:val="000000"/>
          <w:lang w:val="pt-BR"/>
        </w:rPr>
        <w:t>O Lync Online Plano 1 e Plano 2 e Plan exigem a compra e instalação separada do Microsoft Lync 2010 (ou Lync for Mac 2011). Como oferta por tempo limitado, os clientes licenciados para o Lync Online receberão uma cópia licenciada gratuita do Lync 2010 (ou Lync for Mac 2011) com cada licença de avaliação ou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 Os clientes que ainda não tiverem migrado do Office Communications Online poderão usar o Office Communicator 2007 R2 de acordo com esta outorga de licença no lugar do Lync 2010 (ou Lync para Mac 2011).</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r w:rsidRPr="00EB4D74">
        <w:rPr>
          <w:rFonts w:cs="Tahoma"/>
          <w:b/>
          <w:color w:val="000000"/>
          <w:lang w:val="pt-BR"/>
        </w:rPr>
        <w:t>Nuvem da Comunidade do Governo (Apenas para os Estados Unidos)</w:t>
      </w:r>
    </w:p>
    <w:p w:rsidR="008B1196" w:rsidRPr="00EB4D74" w:rsidRDefault="008B1196" w:rsidP="008B1196">
      <w:pPr>
        <w:ind w:left="720"/>
        <w:rPr>
          <w:rFonts w:cs="Tahoma"/>
          <w:lang w:val="it-IT"/>
        </w:rPr>
      </w:pPr>
      <w:r w:rsidRPr="00EB4D74">
        <w:rPr>
          <w:rFonts w:cs="Tahoma"/>
          <w:color w:val="000000"/>
          <w:lang w:val="pt-BR"/>
        </w:rPr>
        <w:t>Alguns serviços online na família de produtos do Office 365 (incluindo Lync Online Planos 1, 2 e 3)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pt-BR"/>
        </w:rPr>
      </w:pPr>
      <w:r w:rsidRPr="00EB4D74">
        <w:rPr>
          <w:rFonts w:cs="Tahoma"/>
          <w:color w:val="000000"/>
          <w:lang w:val="pt-BR"/>
        </w:rPr>
        <w:lastRenderedPageBreak/>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pStyle w:val="Heading2"/>
        <w:ind w:left="0"/>
        <w:rPr>
          <w:rFonts w:ascii="Tahoma" w:hAnsi="Tahoma" w:cs="Tahoma"/>
          <w:lang w:val="pt-BR"/>
        </w:rPr>
      </w:pPr>
      <w:bookmarkStart w:id="1334" w:name="_62_Lync_Server"/>
      <w:bookmarkStart w:id="1335" w:name="Srv_62LyncServer2010StandEnt"/>
      <w:bookmarkStart w:id="1336" w:name="_Toc342914957"/>
      <w:bookmarkStart w:id="1337" w:name="_Toc336338326"/>
      <w:bookmarkEnd w:id="1334"/>
      <w:bookmarkEnd w:id="1335"/>
      <w:r w:rsidRPr="00EB4D74">
        <w:rPr>
          <w:rFonts w:ascii="Tahoma" w:hAnsi="Tahoma" w:cs="Tahoma"/>
          <w:caps/>
          <w:color w:val="FA6500"/>
          <w:sz w:val="22"/>
          <w:vertAlign w:val="superscript"/>
          <w:lang w:val="pt-BR"/>
        </w:rPr>
        <w:t>62</w:t>
      </w:r>
      <w:r w:rsidRPr="00EB4D74">
        <w:rPr>
          <w:rFonts w:ascii="Tahoma" w:hAnsi="Tahoma" w:cs="Tahoma"/>
          <w:caps/>
          <w:color w:val="FA6500"/>
          <w:sz w:val="22"/>
          <w:lang w:val="pt-BR"/>
        </w:rPr>
        <w:t xml:space="preserve"> </w:t>
      </w:r>
      <w:r w:rsidRPr="00EB4D74">
        <w:rPr>
          <w:rFonts w:ascii="Tahoma" w:hAnsi="Tahoma" w:cs="Tahoma"/>
          <w:color w:val="FA6500"/>
          <w:sz w:val="22"/>
          <w:lang w:val="pt-BR"/>
        </w:rPr>
        <w:t>Lync Server 2013</w:t>
      </w:r>
      <w:bookmarkEnd w:id="1336"/>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color w:val="000000"/>
          <w:lang w:val="pt-BR"/>
        </w:rPr>
        <w:t xml:space="preserve">O Lync Server 2013 é a versão mais recente do Lync Server. </w:t>
      </w:r>
      <w:bookmarkEnd w:id="1337"/>
      <w:r w:rsidRPr="00EB4D74">
        <w:rPr>
          <w:rFonts w:cs="Tahoma"/>
          <w:color w:val="000000"/>
          <w:lang w:val="pt-BR"/>
        </w:rPr>
        <w:t>Os clientes com Software Assurance ativo para Lync Server 2010 Standard ou Enterprise em 1º de dezembro de 2012 poderão atualizar para e usar o Lync Server 2013 em vez de suas cópias licenciadas correspondentes do Lync Server 2010.</w:t>
      </w:r>
    </w:p>
    <w:p w:rsidR="008B1196" w:rsidRPr="00EB4D74" w:rsidRDefault="008B1196" w:rsidP="008B1196">
      <w:pPr>
        <w:ind w:left="720"/>
        <w:rPr>
          <w:rFonts w:cs="Tahoma"/>
          <w:lang w:val="pt-BR"/>
        </w:rPr>
      </w:pPr>
    </w:p>
    <w:p w:rsidR="008B1196" w:rsidRPr="00EB4D74" w:rsidRDefault="008B1196" w:rsidP="008B1196">
      <w:pPr>
        <w:ind w:left="720"/>
        <w:rPr>
          <w:rFonts w:cs="Tahoma"/>
        </w:rPr>
      </w:pPr>
      <w:r w:rsidRPr="00EB4D74">
        <w:rPr>
          <w:rFonts w:cs="Tahoma"/>
          <w:color w:val="000000"/>
          <w:szCs w:val="18"/>
          <w:lang w:val="pt-BR"/>
        </w:rPr>
        <w:t>As CALs do Lync Server 2013 são as CALs sucessoras para as CALs do Lync Server 2010.</w:t>
      </w:r>
    </w:p>
    <w:p w:rsidR="008B1196" w:rsidRPr="00EB4D74" w:rsidRDefault="008B1196" w:rsidP="008B1196">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8B1196" w:rsidRPr="00EB4D74" w:rsidTr="00EA30FC">
        <w:trPr>
          <w:trHeight w:val="332"/>
        </w:trPr>
        <w:tc>
          <w:tcPr>
            <w:tcW w:w="4500" w:type="dxa"/>
            <w:shd w:val="clear" w:color="auto" w:fill="FABF8F"/>
          </w:tcPr>
          <w:p w:rsidR="008B1196" w:rsidRPr="00EB4D74" w:rsidRDefault="008B1196" w:rsidP="00EA30FC">
            <w:pPr>
              <w:rPr>
                <w:rFonts w:cs="Tahoma"/>
                <w:b/>
                <w:color w:val="000000"/>
                <w:szCs w:val="18"/>
              </w:rPr>
            </w:pPr>
            <w:r w:rsidRPr="00EB4D74">
              <w:rPr>
                <w:rFonts w:cs="Tahoma"/>
                <w:b/>
                <w:color w:val="000000"/>
                <w:lang w:val="pt-BR"/>
              </w:rPr>
              <w:t>CAL do Lync Server 2010</w:t>
            </w:r>
          </w:p>
        </w:tc>
        <w:tc>
          <w:tcPr>
            <w:tcW w:w="3600" w:type="dxa"/>
            <w:shd w:val="clear" w:color="auto" w:fill="FABF8F"/>
          </w:tcPr>
          <w:p w:rsidR="008B1196" w:rsidRPr="00EB4D74" w:rsidRDefault="008B1196" w:rsidP="00EA30FC">
            <w:pPr>
              <w:rPr>
                <w:rFonts w:cs="Tahoma"/>
                <w:b/>
                <w:color w:val="000000"/>
                <w:szCs w:val="18"/>
              </w:rPr>
            </w:pPr>
            <w:r w:rsidRPr="00EB4D74">
              <w:rPr>
                <w:rFonts w:cs="Tahoma"/>
                <w:b/>
                <w:color w:val="000000"/>
                <w:lang w:val="pt-BR"/>
              </w:rPr>
              <w:t>Versão Sucessora</w:t>
            </w:r>
          </w:p>
        </w:tc>
      </w:tr>
      <w:tr w:rsidR="008B1196" w:rsidRPr="00EB4D74" w:rsidTr="00EA30FC">
        <w:trPr>
          <w:trHeight w:val="70"/>
        </w:trPr>
        <w:tc>
          <w:tcPr>
            <w:tcW w:w="4500" w:type="dxa"/>
          </w:tcPr>
          <w:p w:rsidR="008B1196" w:rsidRPr="00EB4D74" w:rsidRDefault="008B1196" w:rsidP="00EA30FC">
            <w:pPr>
              <w:rPr>
                <w:rFonts w:cs="Tahoma"/>
                <w:color w:val="000000"/>
                <w:szCs w:val="18"/>
              </w:rPr>
            </w:pPr>
            <w:r w:rsidRPr="00EB4D74">
              <w:rPr>
                <w:rFonts w:cs="Tahoma"/>
                <w:color w:val="000000"/>
                <w:szCs w:val="18"/>
                <w:lang w:val="pt-BR"/>
              </w:rPr>
              <w:t>CAL do Lync Server 2010 Plus</w:t>
            </w:r>
          </w:p>
        </w:tc>
        <w:tc>
          <w:tcPr>
            <w:tcW w:w="3600" w:type="dxa"/>
          </w:tcPr>
          <w:p w:rsidR="008B1196" w:rsidRPr="00EB4D74" w:rsidRDefault="008B1196" w:rsidP="00EA30FC">
            <w:pPr>
              <w:rPr>
                <w:rFonts w:cs="Tahoma"/>
                <w:color w:val="000000"/>
                <w:szCs w:val="18"/>
              </w:rPr>
            </w:pPr>
            <w:r w:rsidRPr="00EB4D74">
              <w:rPr>
                <w:rFonts w:cs="Tahoma"/>
                <w:color w:val="000000"/>
                <w:szCs w:val="18"/>
                <w:lang w:val="pt-BR"/>
              </w:rPr>
              <w:t>CAL do Lync Server 2013 Plus</w:t>
            </w:r>
          </w:p>
        </w:tc>
      </w:tr>
      <w:tr w:rsidR="008B1196" w:rsidRPr="00EB4D74" w:rsidTr="00EA30FC">
        <w:trPr>
          <w:trHeight w:val="70"/>
        </w:trPr>
        <w:tc>
          <w:tcPr>
            <w:tcW w:w="4500" w:type="dxa"/>
          </w:tcPr>
          <w:p w:rsidR="008B1196" w:rsidRPr="00EB4D74" w:rsidRDefault="008B1196" w:rsidP="00EA30FC">
            <w:pPr>
              <w:rPr>
                <w:rFonts w:cs="Tahoma"/>
                <w:color w:val="000000"/>
                <w:szCs w:val="18"/>
              </w:rPr>
            </w:pPr>
            <w:r w:rsidRPr="00EB4D74">
              <w:rPr>
                <w:rFonts w:cs="Tahoma"/>
                <w:color w:val="000000"/>
                <w:lang w:val="pt-BR"/>
              </w:rPr>
              <w:t>CAL do Lync Server 2010 Enterprise</w:t>
            </w:r>
          </w:p>
        </w:tc>
        <w:tc>
          <w:tcPr>
            <w:tcW w:w="3600" w:type="dxa"/>
          </w:tcPr>
          <w:p w:rsidR="008B1196" w:rsidRPr="00EB4D74" w:rsidRDefault="008B1196" w:rsidP="00EA30FC">
            <w:pPr>
              <w:rPr>
                <w:rFonts w:cs="Tahoma"/>
                <w:color w:val="000000"/>
                <w:szCs w:val="18"/>
              </w:rPr>
            </w:pPr>
            <w:r w:rsidRPr="00EB4D74">
              <w:rPr>
                <w:rFonts w:cs="Tahoma"/>
                <w:color w:val="000000"/>
                <w:lang w:val="pt-BR"/>
              </w:rPr>
              <w:t>CAL do Lync Server 2013 Enterprise</w:t>
            </w:r>
          </w:p>
        </w:tc>
      </w:tr>
      <w:tr w:rsidR="008B1196" w:rsidRPr="00EB4D74" w:rsidTr="00EA30FC">
        <w:trPr>
          <w:trHeight w:val="70"/>
        </w:trPr>
        <w:tc>
          <w:tcPr>
            <w:tcW w:w="4500" w:type="dxa"/>
          </w:tcPr>
          <w:p w:rsidR="008B1196" w:rsidRPr="00EB4D74" w:rsidRDefault="008B1196" w:rsidP="00EA30FC">
            <w:pPr>
              <w:rPr>
                <w:rFonts w:cs="Tahoma"/>
                <w:color w:val="000000"/>
                <w:szCs w:val="18"/>
              </w:rPr>
            </w:pPr>
            <w:r w:rsidRPr="00EB4D74">
              <w:rPr>
                <w:rFonts w:cs="Tahoma"/>
                <w:color w:val="000000"/>
                <w:szCs w:val="18"/>
                <w:lang w:val="pt-BR"/>
              </w:rPr>
              <w:t>CAL do Lync Server 2010 Standard</w:t>
            </w:r>
          </w:p>
        </w:tc>
        <w:tc>
          <w:tcPr>
            <w:tcW w:w="3600" w:type="dxa"/>
          </w:tcPr>
          <w:p w:rsidR="008B1196" w:rsidRPr="00EB4D74" w:rsidRDefault="008B1196" w:rsidP="00EA30FC">
            <w:pPr>
              <w:rPr>
                <w:rFonts w:cs="Tahoma"/>
                <w:color w:val="000000"/>
                <w:szCs w:val="18"/>
              </w:rPr>
            </w:pPr>
            <w:r w:rsidRPr="00EB4D74">
              <w:rPr>
                <w:rFonts w:cs="Tahoma"/>
                <w:color w:val="000000"/>
                <w:szCs w:val="18"/>
                <w:lang w:val="pt-BR"/>
              </w:rPr>
              <w:t>CAL do Lync Server 2013 Standard</w:t>
            </w:r>
          </w:p>
        </w:tc>
      </w:tr>
    </w:tbl>
    <w:p w:rsidR="008B1196" w:rsidRPr="00EB4D74" w:rsidRDefault="008B1196" w:rsidP="008B1196">
      <w:pPr>
        <w:rPr>
          <w:rFonts w:cs="Tahoma"/>
        </w:rPr>
      </w:pPr>
    </w:p>
    <w:p w:rsidR="008B1196" w:rsidRPr="00EB4D74" w:rsidRDefault="008B1196" w:rsidP="008B1196">
      <w:pPr>
        <w:spacing w:after="60"/>
        <w:ind w:left="720"/>
        <w:rPr>
          <w:rFonts w:cs="Tahoma"/>
          <w:spacing w:val="-2"/>
        </w:rPr>
      </w:pPr>
      <w:r w:rsidRPr="00EB4D74">
        <w:rPr>
          <w:rFonts w:cs="Tahoma"/>
          <w:b/>
          <w:color w:val="000000"/>
          <w:spacing w:val="-2"/>
          <w:lang w:val="pt-BR"/>
        </w:rPr>
        <w:t>Outorga de Licença para Clientes do Conector Externo do Lync Server 2010 Enterprise, Conector Externo do Lync Server 2010 Plus e Clientes do Conector Externo do Lync Server2010Standard</w:t>
      </w:r>
    </w:p>
    <w:p w:rsidR="008B1196" w:rsidRPr="00EB4D74" w:rsidRDefault="008B1196" w:rsidP="008B1196">
      <w:pPr>
        <w:ind w:left="900"/>
        <w:rPr>
          <w:rFonts w:cs="Tahoma"/>
        </w:rPr>
      </w:pPr>
    </w:p>
    <w:p w:rsidR="008B1196" w:rsidRPr="00EB4D74" w:rsidRDefault="008B1196" w:rsidP="008B1196">
      <w:pPr>
        <w:ind w:left="720"/>
        <w:rPr>
          <w:rFonts w:cs="Tahoma"/>
          <w:lang w:val="pt-BR"/>
        </w:rPr>
      </w:pPr>
      <w:r w:rsidRPr="00EB4D74">
        <w:rPr>
          <w:rFonts w:cs="Tahoma"/>
          <w:color w:val="000000"/>
          <w:lang w:val="pt-BR"/>
        </w:rPr>
        <w:t>A versão 2010 do Conector Externo do Lync Server 2010 Enterprise, Conector Externo do Lync Server 2010 Plus e Clientes do Conector Externo do Lync Server 2010 Standard é a versão final destas licenças. Tendo isso em vista, os clientes com licenças do Conector Externo do Lync Server 2010 Enterprise, Conector Externo Lync Server 2010 Enterprise, Conector Externo do LyncServer 2010 Plus ou Conector Externo do Lync Server 2010 Standard com cobertura do Software Assurance ativa a partir de 1º de dezembro de 2012 estarão qualificados para a outorga de licença a seguir.</w:t>
      </w:r>
    </w:p>
    <w:p w:rsidR="008B1196" w:rsidRPr="00EB4D74" w:rsidRDefault="008B1196" w:rsidP="008B1196">
      <w:pPr>
        <w:ind w:left="900"/>
        <w:rPr>
          <w:rFonts w:cs="Tahoma"/>
          <w:lang w:val="pt-B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B1196" w:rsidRPr="00EB4D74" w:rsidTr="00EA30FC">
        <w:trPr>
          <w:trHeight w:val="332"/>
        </w:trPr>
        <w:tc>
          <w:tcPr>
            <w:tcW w:w="4500" w:type="dxa"/>
            <w:shd w:val="clear" w:color="auto" w:fill="FABF8F"/>
          </w:tcPr>
          <w:p w:rsidR="008B1196" w:rsidRPr="00EB4D74" w:rsidRDefault="008B1196" w:rsidP="00EA30FC">
            <w:pPr>
              <w:rPr>
                <w:rFonts w:cs="Tahoma"/>
                <w:b/>
                <w:color w:val="000000"/>
                <w:szCs w:val="18"/>
              </w:rPr>
            </w:pPr>
            <w:r w:rsidRPr="00EB4D74">
              <w:rPr>
                <w:rFonts w:cs="Tahoma"/>
                <w:b/>
                <w:color w:val="000000"/>
                <w:szCs w:val="18"/>
                <w:lang w:val="pt-BR"/>
              </w:rPr>
              <w:t>Licença de Qualificação</w:t>
            </w:r>
          </w:p>
        </w:tc>
        <w:tc>
          <w:tcPr>
            <w:tcW w:w="3600" w:type="dxa"/>
            <w:shd w:val="clear" w:color="auto" w:fill="FABF8F"/>
          </w:tcPr>
          <w:p w:rsidR="008B1196" w:rsidRPr="00EB4D74" w:rsidRDefault="008B1196" w:rsidP="00EA30FC">
            <w:pPr>
              <w:rPr>
                <w:rFonts w:cs="Tahoma"/>
                <w:b/>
                <w:color w:val="000000"/>
                <w:szCs w:val="18"/>
              </w:rPr>
            </w:pPr>
            <w:r w:rsidRPr="00EB4D74">
              <w:rPr>
                <w:rFonts w:cs="Tahoma"/>
                <w:b/>
                <w:color w:val="000000"/>
                <w:lang w:val="pt-BR"/>
              </w:rPr>
              <w:t>Licença Complementar e Benefícios</w:t>
            </w:r>
          </w:p>
        </w:tc>
      </w:tr>
      <w:tr w:rsidR="008B1196" w:rsidRPr="00EB4D74" w:rsidTr="00EA30FC">
        <w:trPr>
          <w:trHeight w:val="70"/>
        </w:trPr>
        <w:tc>
          <w:tcPr>
            <w:tcW w:w="4500" w:type="dxa"/>
          </w:tcPr>
          <w:p w:rsidR="008B1196" w:rsidRPr="00EB4D74" w:rsidRDefault="008B1196" w:rsidP="00EA30FC">
            <w:pPr>
              <w:rPr>
                <w:rFonts w:cs="Tahoma"/>
                <w:color w:val="000000"/>
                <w:spacing w:val="-2"/>
                <w:szCs w:val="18"/>
              </w:rPr>
            </w:pPr>
            <w:r w:rsidRPr="00EB4D74">
              <w:rPr>
                <w:rFonts w:cs="Tahoma"/>
                <w:color w:val="000000"/>
                <w:spacing w:val="-2"/>
                <w:szCs w:val="18"/>
                <w:lang w:val="pt-BR"/>
              </w:rPr>
              <w:t>Conector Externo do Lync Server 2010 Enterprise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szCs w:val="18"/>
                <w:lang w:val="pt-BR"/>
              </w:rPr>
              <w:t>Licença do Lync Server 2013</w:t>
            </w:r>
          </w:p>
        </w:tc>
      </w:tr>
      <w:tr w:rsidR="008B1196" w:rsidRPr="00EB4D74" w:rsidTr="00EA30FC">
        <w:trPr>
          <w:trHeight w:val="70"/>
        </w:trPr>
        <w:tc>
          <w:tcPr>
            <w:tcW w:w="4500" w:type="dxa"/>
          </w:tcPr>
          <w:p w:rsidR="008B1196" w:rsidRPr="00EB4D74" w:rsidRDefault="008B1196" w:rsidP="00EA30FC">
            <w:pPr>
              <w:rPr>
                <w:rFonts w:cs="Tahoma"/>
                <w:color w:val="000000"/>
                <w:spacing w:val="-2"/>
                <w:szCs w:val="18"/>
              </w:rPr>
            </w:pPr>
            <w:r w:rsidRPr="00EB4D74">
              <w:rPr>
                <w:rFonts w:cs="Tahoma"/>
                <w:color w:val="000000"/>
                <w:spacing w:val="-2"/>
                <w:szCs w:val="18"/>
                <w:lang w:val="pt-BR"/>
              </w:rPr>
              <w:t>Conector Externo do Lync Server 2010 Plus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szCs w:val="18"/>
                <w:lang w:val="pt-BR"/>
              </w:rPr>
              <w:t>Licença do Lync Server 2013</w:t>
            </w:r>
          </w:p>
        </w:tc>
      </w:tr>
      <w:tr w:rsidR="008B1196" w:rsidRPr="00EB4D74" w:rsidTr="00EA30FC">
        <w:trPr>
          <w:trHeight w:val="70"/>
        </w:trPr>
        <w:tc>
          <w:tcPr>
            <w:tcW w:w="4500" w:type="dxa"/>
          </w:tcPr>
          <w:p w:rsidR="008B1196" w:rsidRPr="00EB4D74" w:rsidRDefault="008B1196" w:rsidP="00EA30FC">
            <w:pPr>
              <w:rPr>
                <w:rFonts w:cs="Tahoma"/>
                <w:color w:val="000000"/>
                <w:spacing w:val="-2"/>
                <w:szCs w:val="18"/>
              </w:rPr>
            </w:pPr>
            <w:r w:rsidRPr="00EB4D74">
              <w:rPr>
                <w:rFonts w:cs="Tahoma"/>
                <w:color w:val="000000"/>
                <w:spacing w:val="-2"/>
                <w:szCs w:val="18"/>
                <w:lang w:val="pt-BR"/>
              </w:rPr>
              <w:t>Conector Externo do Lync Server 2010 Standard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szCs w:val="18"/>
                <w:lang w:val="pt-BR"/>
              </w:rPr>
              <w:t>Licença do Lync Server 2013</w:t>
            </w:r>
          </w:p>
        </w:tc>
      </w:tr>
    </w:tbl>
    <w:p w:rsidR="008B1196" w:rsidRPr="00EB4D74" w:rsidRDefault="008B1196" w:rsidP="008B1196">
      <w:pPr>
        <w:ind w:left="720"/>
        <w:rPr>
          <w:rFonts w:cs="Tahoma"/>
        </w:rPr>
      </w:pPr>
      <w:r w:rsidRPr="00EB4D74">
        <w:rPr>
          <w:rFonts w:cs="Tahoma"/>
          <w:color w:val="000000"/>
          <w:lang w:val="pt-BR"/>
        </w:rPr>
        <w:t>Os termos e as condições a seguir se aplicam às outorgas de licença acima.</w:t>
      </w:r>
    </w:p>
    <w:p w:rsidR="008B1196" w:rsidRPr="00EB4D74" w:rsidRDefault="008B1196" w:rsidP="008B1196">
      <w:pPr>
        <w:ind w:left="720"/>
        <w:rPr>
          <w:rFonts w:cs="Tahoma"/>
        </w:rPr>
      </w:pPr>
    </w:p>
    <w:p w:rsidR="008B1196" w:rsidRPr="00EB4D74" w:rsidRDefault="008B1196" w:rsidP="008B1196">
      <w:pPr>
        <w:numPr>
          <w:ilvl w:val="0"/>
          <w:numId w:val="118"/>
        </w:numPr>
        <w:spacing w:after="60"/>
        <w:ind w:left="1440"/>
        <w:rPr>
          <w:rFonts w:cs="Tahoma"/>
          <w:lang w:val="it-IT"/>
        </w:rPr>
      </w:pPr>
      <w:r w:rsidRPr="00EB4D74">
        <w:rPr>
          <w:rFonts w:cs="Tahoma"/>
          <w:color w:val="000000"/>
          <w:u w:val="single"/>
          <w:lang w:val="pt-BR"/>
        </w:rPr>
        <w:t>Caminho de Migração</w:t>
      </w:r>
      <w:r w:rsidRPr="00EB4D74">
        <w:rPr>
          <w:rFonts w:cs="Tahoma"/>
          <w:color w:val="000000"/>
          <w:lang w:val="pt-BR"/>
        </w:rPr>
        <w:t>: os clientes com cobertura do Software Assurance ativa para uma determinada Licença de Qualificação a partir de 1º de dezembro de 2012 e mediante o lançamento do Lync Server 2013 estão qualificados para atualizar e usar o software Lync Server 2013 sob a Licença Complementar em vez do software Lync Server 2010 sob a Licença de qualificação do Conector Externo correspondente.</w:t>
      </w:r>
    </w:p>
    <w:p w:rsidR="008B1196" w:rsidRPr="00EB4D74" w:rsidRDefault="008B1196" w:rsidP="008B1196">
      <w:pPr>
        <w:numPr>
          <w:ilvl w:val="0"/>
          <w:numId w:val="118"/>
        </w:numPr>
        <w:spacing w:after="60"/>
        <w:ind w:left="1440"/>
        <w:rPr>
          <w:rFonts w:cs="Tahoma"/>
          <w:lang w:val="it-IT"/>
        </w:rPr>
      </w:pPr>
      <w:r w:rsidRPr="00EB4D74">
        <w:rPr>
          <w:rFonts w:cs="Tahoma"/>
          <w:color w:val="000000"/>
          <w:u w:val="single"/>
          <w:lang w:val="pt-BR"/>
        </w:rPr>
        <w:t>Direitos de uso</w:t>
      </w:r>
      <w:r w:rsidRPr="00EB4D74">
        <w:rPr>
          <w:rFonts w:cs="Tahoma"/>
          <w:color w:val="000000"/>
          <w:lang w:val="pt-BR"/>
        </w:rPr>
        <w:t xml:space="preserve">: </w:t>
      </w:r>
      <w:r w:rsidRPr="00EB4D74">
        <w:rPr>
          <w:rFonts w:cs="Tahoma"/>
          <w:color w:val="000000"/>
          <w:szCs w:val="18"/>
          <w:lang w:val="pt-BR"/>
        </w:rPr>
        <w:t xml:space="preserve">O direito de usar o software sob as Licenças Complementares nessa oferta expirará quando o direito de usar o software sob as Licenças de Qualificação expirar. </w:t>
      </w:r>
      <w:r w:rsidRPr="00EB4D74">
        <w:rPr>
          <w:rFonts w:cs="Tahoma"/>
          <w:color w:val="000000"/>
          <w:lang w:val="pt-BR"/>
        </w:rPr>
        <w:t>O uso desse software é regido pelos direitos de uso do software e pelos termos e condições do contrato de licenciamento por volume do cliente. Essa nota de condição do produto e a evidência do cliente da Licença de Qualificação e do Software Assurance do cliente juntas comprovam o direito de usar o software sob a Licença Complementar nessa oferta.</w:t>
      </w:r>
    </w:p>
    <w:p w:rsidR="008B1196" w:rsidRPr="00EB4D74" w:rsidRDefault="008B1196" w:rsidP="008B1196">
      <w:pPr>
        <w:numPr>
          <w:ilvl w:val="0"/>
          <w:numId w:val="69"/>
        </w:numPr>
        <w:spacing w:after="60"/>
        <w:ind w:left="1440"/>
        <w:rPr>
          <w:rFonts w:cs="Tahoma"/>
          <w:lang w:val="it-IT"/>
        </w:rPr>
      </w:pPr>
      <w:r w:rsidRPr="00EB4D74">
        <w:rPr>
          <w:rFonts w:cs="Tahoma"/>
          <w:color w:val="000000"/>
          <w:u w:val="single"/>
          <w:lang w:val="pt-BR"/>
        </w:rPr>
        <w:t>Licença e Software Assurance (L&amp;SA)</w:t>
      </w:r>
      <w:r w:rsidRPr="00EB4D74">
        <w:rPr>
          <w:rFonts w:cs="Tahoma"/>
          <w:color w:val="000000"/>
          <w:lang w:val="pt-BR"/>
        </w:rPr>
        <w:t xml:space="preserve">: </w:t>
      </w:r>
      <w:r w:rsidRPr="00EB4D74">
        <w:rPr>
          <w:rFonts w:cs="Tahoma"/>
          <w:color w:val="000000"/>
          <w:szCs w:val="18"/>
          <w:lang w:val="pt-BR"/>
        </w:rPr>
        <w:t xml:space="preserve">A Licença Complementar inclui a cobertura do Software Assurance. A cobertura do Software Assurance sobre a Licença Complementar expirará quando a cobertura da Licença de Qualificação expirar. </w:t>
      </w:r>
      <w:r w:rsidRPr="00EB4D74">
        <w:rPr>
          <w:rFonts w:cs="Tahoma"/>
          <w:color w:val="000000"/>
          <w:lang w:val="pt-BR"/>
        </w:rPr>
        <w:t>No término da cobertura do Software Assurance para a Licença de Qualificação, o cliente poderá renovar o Software Assurance para a Licença Complementar sem precisar adquirir uma nova licença separadamente.</w:t>
      </w:r>
    </w:p>
    <w:p w:rsidR="008B1196" w:rsidRPr="00EB4D74" w:rsidRDefault="008B1196" w:rsidP="008B1196">
      <w:pPr>
        <w:numPr>
          <w:ilvl w:val="0"/>
          <w:numId w:val="11"/>
        </w:numPr>
        <w:spacing w:after="60"/>
        <w:ind w:left="1440"/>
        <w:rPr>
          <w:rFonts w:cs="Tahoma"/>
        </w:rPr>
      </w:pPr>
      <w:r w:rsidRPr="00EB4D74">
        <w:rPr>
          <w:rFonts w:cs="Tahoma"/>
          <w:color w:val="000000"/>
          <w:u w:val="single"/>
          <w:lang w:val="pt-BR"/>
        </w:rPr>
        <w:lastRenderedPageBreak/>
        <w:t>Adequações (“true-ups”)</w:t>
      </w:r>
      <w:r w:rsidRPr="00EB4D74">
        <w:rPr>
          <w:rFonts w:cs="Tahoma"/>
          <w:color w:val="000000"/>
          <w:lang w:val="pt-BR"/>
        </w:rPr>
        <w:t>: Para os clientes do Contrato Enterprise qualificados para essas licenças complementares e esses direitos conforme descrito acima, as licenças do Conector Externo do Lync Server 2010 Enterprise, Conector Externo do Lync Server 2010 Plus e Conector Externo do Lync Server 2010 Standard adquiridas como parte de um processo de adequações (“true-ups”) anuais do cliente também são Licenças Qualificadas.</w:t>
      </w:r>
    </w:p>
    <w:p w:rsidR="008B1196" w:rsidRPr="00EB4D74" w:rsidRDefault="008B1196" w:rsidP="008B1196">
      <w:pPr>
        <w:numPr>
          <w:ilvl w:val="0"/>
          <w:numId w:val="80"/>
        </w:numPr>
        <w:spacing w:after="60"/>
        <w:ind w:left="1440"/>
        <w:rPr>
          <w:rFonts w:cs="Tahoma"/>
          <w:spacing w:val="-2"/>
          <w:lang w:val="it-IT"/>
        </w:rPr>
      </w:pPr>
      <w:r w:rsidRPr="00EB4D74">
        <w:rPr>
          <w:rFonts w:cs="Tahoma"/>
          <w:color w:val="000000"/>
          <w:spacing w:val="-2"/>
          <w:u w:val="single"/>
          <w:lang w:val="pt-BR"/>
        </w:rPr>
        <w:t>Contratos Subscription</w:t>
      </w:r>
      <w:r w:rsidRPr="00EB4D74">
        <w:rPr>
          <w:rFonts w:cs="Tahoma"/>
          <w:color w:val="000000"/>
          <w:spacing w:val="-2"/>
          <w:lang w:val="pt-BR"/>
        </w:rPr>
        <w:t xml:space="preserve">: </w:t>
      </w:r>
      <w:r w:rsidRPr="00EB4D74">
        <w:rPr>
          <w:rFonts w:cs="Tahoma"/>
          <w:spacing w:val="-2"/>
          <w:lang w:val="pt-BR"/>
        </w:rPr>
        <w:t xml:space="preserve">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 </w:t>
      </w:r>
      <w:r w:rsidRPr="00EB4D74">
        <w:rPr>
          <w:rFonts w:cs="Tahoma"/>
          <w:color w:val="000000"/>
          <w:spacing w:val="-2"/>
          <w:lang w:val="pt-BR"/>
        </w:rPr>
        <w:t>O cliente deverá manter uma cobertura contínua da assinatura. Esses direitos só se tornarão permanentes se a opção de compra(“buy-out”) for exercida e continuarão sujeitos a todos os termos e condições do contratode licença do cliente.</w:t>
      </w:r>
    </w:p>
    <w:p w:rsidR="008B1196" w:rsidRPr="00EB4D74" w:rsidRDefault="008B1196" w:rsidP="008B1196">
      <w:pPr>
        <w:numPr>
          <w:ilvl w:val="0"/>
          <w:numId w:val="119"/>
        </w:numPr>
        <w:spacing w:after="60"/>
        <w:ind w:left="1440"/>
        <w:rPr>
          <w:rFonts w:cs="Tahoma"/>
          <w:spacing w:val="-2"/>
          <w:lang w:val="it-IT"/>
        </w:rPr>
      </w:pPr>
      <w:r w:rsidRPr="00EB4D74">
        <w:rPr>
          <w:rFonts w:cs="Tahoma"/>
          <w:spacing w:val="-2"/>
          <w:u w:val="single"/>
          <w:lang w:val="pt-BR"/>
        </w:rPr>
        <w:t>Transições do Contrato Campus e School</w:t>
      </w:r>
      <w:r w:rsidRPr="00EB4D74">
        <w:rPr>
          <w:rFonts w:cs="Tahoma"/>
          <w:spacing w:val="-2"/>
          <w:lang w:val="pt-BR"/>
        </w:rPr>
        <w:t>: Para os clientes que estão fazendo transição a médio prazo dos contratos Campus e School para os contratos Enrollment for Education Solutions ou Open Value Subscription – Education Solutions enquanto mantêm a cobertura contínua de assinatura:</w:t>
      </w:r>
    </w:p>
    <w:p w:rsidR="008B1196" w:rsidRPr="00EB4D74" w:rsidRDefault="008B1196" w:rsidP="008B1196">
      <w:pPr>
        <w:pStyle w:val="ListParagraph"/>
        <w:numPr>
          <w:ilvl w:val="0"/>
          <w:numId w:val="105"/>
        </w:numPr>
        <w:spacing w:after="60"/>
        <w:ind w:left="1980"/>
        <w:contextualSpacing w:val="0"/>
        <w:rPr>
          <w:rFonts w:ascii="Tahoma" w:hAnsi="Tahoma" w:cs="Tahoma"/>
          <w:sz w:val="18"/>
          <w:szCs w:val="18"/>
        </w:rPr>
      </w:pPr>
      <w:r w:rsidRPr="00EB4D74">
        <w:rPr>
          <w:rFonts w:ascii="Tahoma" w:hAnsi="Tahoma" w:cs="Tahoma"/>
          <w:sz w:val="18"/>
          <w:szCs w:val="18"/>
        </w:rPr>
        <w:t xml:space="preserve">Os mesmos direitos serão concedidos temporariamente sob as mesmas condições até o final dos seus contratos Enrollment for Education Solutions ou Open Value Subscription – Education Solutions, respectivamente. </w:t>
      </w:r>
    </w:p>
    <w:p w:rsidR="008B1196" w:rsidRPr="00EB4D74" w:rsidRDefault="008B1196" w:rsidP="008B1196">
      <w:pPr>
        <w:pStyle w:val="ListParagraph"/>
        <w:numPr>
          <w:ilvl w:val="0"/>
          <w:numId w:val="105"/>
        </w:numPr>
        <w:spacing w:after="60"/>
        <w:ind w:left="1980"/>
        <w:contextualSpacing w:val="0"/>
        <w:rPr>
          <w:rFonts w:ascii="Tahoma" w:hAnsi="Tahoma" w:cs="Tahoma"/>
          <w:sz w:val="18"/>
          <w:szCs w:val="18"/>
          <w:lang w:val="it-IT"/>
        </w:rPr>
      </w:pPr>
      <w:bookmarkStart w:id="1338" w:name="_66_Lync_Server"/>
      <w:bookmarkStart w:id="1339" w:name="_Toc336338327"/>
      <w:bookmarkEnd w:id="1338"/>
      <w:r w:rsidRPr="00EB4D74">
        <w:rPr>
          <w:rFonts w:ascii="Tahoma" w:hAnsi="Tahoma" w:cs="Tahoma"/>
          <w:sz w:val="18"/>
          <w:szCs w:val="18"/>
          <w:lang w:val="it-IT"/>
        </w:rPr>
        <w:t>Esses direitos só se tornarão permanentes se a opção de compra (“buy-out”) for exercida e continuarão sujeitos a todos os termos e condições do contrato de licença do cliente.</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340" w:name="Srv_57OfficeCommSvrOnlineStd"/>
      <w:bookmarkStart w:id="1341" w:name="Srv_56MicrosoftDynamicsCRM2011"/>
      <w:bookmarkStart w:id="1342" w:name="Srv_67MicrosoftDynamicsCRM2011"/>
      <w:bookmarkStart w:id="1343" w:name="_Toc342914958"/>
      <w:bookmarkEnd w:id="1339"/>
      <w:bookmarkEnd w:id="1340"/>
      <w:bookmarkEnd w:id="1341"/>
      <w:bookmarkEnd w:id="1342"/>
      <w:r w:rsidRPr="00EB4D74">
        <w:rPr>
          <w:rFonts w:ascii="Tahoma" w:hAnsi="Tahoma" w:cs="Tahoma"/>
          <w:color w:val="F66400"/>
          <w:sz w:val="22"/>
          <w:vertAlign w:val="superscript"/>
          <w:lang w:val="pt-BR"/>
        </w:rPr>
        <w:t>63</w:t>
      </w:r>
      <w:r w:rsidRPr="00EB4D74">
        <w:rPr>
          <w:rFonts w:ascii="Tahoma" w:hAnsi="Tahoma" w:cs="Tahoma"/>
          <w:color w:val="F66400"/>
          <w:sz w:val="22"/>
          <w:lang w:val="pt-BR"/>
        </w:rPr>
        <w:t xml:space="preserve"> Microsoft Dynamics AX 2012</w:t>
      </w:r>
      <w:bookmarkEnd w:id="1343"/>
    </w:p>
    <w:p w:rsidR="008B1196" w:rsidRPr="00EB4D74" w:rsidRDefault="008B1196" w:rsidP="008B1196">
      <w:pPr>
        <w:rPr>
          <w:rFonts w:cs="Tahoma"/>
          <w:lang w:val="it-IT"/>
        </w:rPr>
      </w:pPr>
    </w:p>
    <w:p w:rsidR="008B1196" w:rsidRPr="00EB4D74" w:rsidRDefault="008B1196" w:rsidP="008B1196">
      <w:pPr>
        <w:spacing w:after="60"/>
        <w:ind w:left="734" w:hanging="14"/>
        <w:rPr>
          <w:rFonts w:cs="Tahoma"/>
          <w:lang w:val="it-IT"/>
        </w:rPr>
      </w:pPr>
      <w:r w:rsidRPr="00EB4D74">
        <w:rPr>
          <w:rFonts w:cs="Tahoma"/>
          <w:b/>
          <w:lang w:val="pt-BR"/>
        </w:rPr>
        <w:t>Localizações e Traduções</w:t>
      </w:r>
    </w:p>
    <w:p w:rsidR="008B1196" w:rsidRPr="00EB4D74" w:rsidRDefault="008B1196" w:rsidP="008B1196">
      <w:pPr>
        <w:ind w:left="734" w:hanging="14"/>
        <w:rPr>
          <w:rFonts w:cs="Tahoma"/>
          <w:spacing w:val="-4"/>
          <w:lang w:val="it-IT"/>
        </w:rPr>
      </w:pPr>
      <w:r w:rsidRPr="00EB4D74">
        <w:rPr>
          <w:rFonts w:cs="Tahoma"/>
          <w:color w:val="000000"/>
          <w:spacing w:val="-4"/>
          <w:szCs w:val="20"/>
          <w:lang w:val="pt-BR"/>
        </w:rPr>
        <w:t xml:space="preserve">O Microsoft Dynamics AX está localizado, traduzido e recebe suporte da Microsoft e ele geralmente estádisponível em idiomas e países selecionados. </w:t>
      </w:r>
      <w:r w:rsidRPr="00EB4D74">
        <w:rPr>
          <w:rFonts w:cs="Tahoma"/>
          <w:color w:val="000000"/>
          <w:spacing w:val="-4"/>
          <w:lang w:val="pt-BR"/>
        </w:rPr>
        <w:t xml:space="preserve">Consulte a página </w:t>
      </w:r>
      <w:hyperlink r:id="rId33" w:history="1">
        <w:r w:rsidRPr="00EB4D74">
          <w:rPr>
            <w:rFonts w:cs="Tahoma"/>
            <w:color w:val="000000"/>
            <w:spacing w:val="-4"/>
            <w:lang w:val="pt-BR"/>
          </w:rPr>
          <w:t>http://www.microsoft.com/en-us/dynamics/erp-explore-ax-capabilities.aspx</w:t>
        </w:r>
      </w:hyperlink>
      <w:r w:rsidRPr="00EB4D74">
        <w:rPr>
          <w:rFonts w:cs="Tahoma"/>
          <w:color w:val="000000"/>
          <w:spacing w:val="-4"/>
          <w:lang w:val="pt-BR"/>
        </w:rPr>
        <w:t xml:space="preserve"> para saber sobre a disponibilidade das localizações etraduções da Microsoft.</w:t>
      </w:r>
    </w:p>
    <w:p w:rsidR="008B1196" w:rsidRPr="00EB4D74" w:rsidRDefault="008B1196" w:rsidP="008B1196">
      <w:pPr>
        <w:ind w:left="720"/>
        <w:rPr>
          <w:rFonts w:cs="Tahoma"/>
          <w:lang w:val="it-IT"/>
        </w:rPr>
      </w:pPr>
    </w:p>
    <w:p w:rsidR="008B1196" w:rsidRPr="00EB4D74" w:rsidRDefault="008B1196" w:rsidP="008B1196">
      <w:pPr>
        <w:pStyle w:val="PURBody-Indented"/>
        <w:spacing w:after="0"/>
        <w:ind w:left="720"/>
        <w:rPr>
          <w:rFonts w:ascii="Tahoma" w:hAnsi="Tahoma" w:cs="Tahoma"/>
          <w:color w:val="000000"/>
          <w:sz w:val="18"/>
          <w:lang w:val="pt-BR"/>
        </w:rPr>
      </w:pPr>
      <w:r w:rsidRPr="00EB4D74">
        <w:rPr>
          <w:rFonts w:ascii="Tahoma" w:hAnsi="Tahoma" w:cs="Tahoma"/>
          <w:color w:val="000000"/>
          <w:sz w:val="18"/>
          <w:lang w:val="pt-BR"/>
        </w:rPr>
        <w:t>A Microsoft compreende que, em algumas ocasiões, você quer usar determinados módulos ou recursos que foram localizados e/ou traduzidos para uma região específica e usá-los fora da região geográfica para a qual foram criados. Como as leis e os regulamentos variam de uma região para outra, as diferenças nas leis ou nos regulamentos podem afetar o uso da funcionalidade desejada nas regiões para as quais ela não foi criada. A Microsoft não presta declarações, não fornece garantias (expressas, implícitas ou de qualquer outra forma) nem segurança sobre o desempenho ou a adequação de qualquer versão localizada e/ou traduzida do software (incluindo qualquer serviço online disponível por meio deste software) quando usado fora do território para o qual foi criado e onde a Microsoft disponibiliza comercialmente esse software ou serviços. Consulte um especialista em tributos da região geográfica onde você pretende usar este software a fim de determinar se os recursos são adequados ao uso nessa região.</w:t>
      </w:r>
    </w:p>
    <w:p w:rsidR="008B1196" w:rsidRPr="00EB4D74" w:rsidRDefault="008B1196" w:rsidP="008B1196">
      <w:pPr>
        <w:pStyle w:val="PURBody-Indented"/>
        <w:spacing w:after="0"/>
        <w:ind w:left="720"/>
        <w:rPr>
          <w:rFonts w:ascii="Tahoma" w:hAnsi="Tahoma" w:cs="Tahoma"/>
          <w:lang w:val="it-IT"/>
        </w:rPr>
      </w:pPr>
    </w:p>
    <w:p w:rsidR="008B1196" w:rsidRPr="00EB4D74" w:rsidRDefault="008B1196" w:rsidP="008B1196">
      <w:pPr>
        <w:spacing w:after="60"/>
        <w:ind w:left="734" w:hanging="187"/>
        <w:rPr>
          <w:rFonts w:cs="Tahoma"/>
        </w:rPr>
      </w:pPr>
      <w:r w:rsidRPr="00EB4D74">
        <w:rPr>
          <w:rFonts w:cs="Tahoma"/>
          <w:b/>
          <w:lang w:val="pt-BR"/>
        </w:rPr>
        <w:t>Direitos de Uso da CAL</w:t>
      </w:r>
    </w:p>
    <w:p w:rsidR="008B1196" w:rsidRPr="00EB4D74" w:rsidRDefault="008B1196" w:rsidP="008B1196">
      <w:pPr>
        <w:ind w:left="720" w:hanging="180"/>
        <w:rPr>
          <w:rFonts w:cs="Tahoma"/>
        </w:rPr>
      </w:pPr>
      <w:r w:rsidRPr="00EB4D74">
        <w:rPr>
          <w:rFonts w:cs="Tahoma"/>
          <w:lang w:val="pt-BR"/>
        </w:rPr>
        <w:t>Os usos permitidos sob as CALs diferentes d</w:t>
      </w:r>
      <w:r>
        <w:rPr>
          <w:rFonts w:cs="Tahoma"/>
          <w:lang w:val="pt-BR"/>
        </w:rPr>
        <w:t xml:space="preserve">o Microsoft Dynamics AX 2012 </w:t>
      </w:r>
      <w:r w:rsidRPr="00EB4D74">
        <w:rPr>
          <w:rFonts w:cs="Tahoma"/>
          <w:lang w:val="pt-BR"/>
        </w:rPr>
        <w:t>estão destacados abaixo:</w:t>
      </w:r>
    </w:p>
    <w:p w:rsidR="008B1196" w:rsidRPr="00EB4D74" w:rsidRDefault="008B1196" w:rsidP="008B1196">
      <w:pPr>
        <w:ind w:firstLine="540"/>
        <w:rPr>
          <w:rFonts w:cs="Tahoma"/>
        </w:rPr>
      </w:pPr>
    </w:p>
    <w:p w:rsidR="008B1196" w:rsidRPr="00EB4D74" w:rsidRDefault="008B1196" w:rsidP="008B1196">
      <w:pPr>
        <w:numPr>
          <w:ilvl w:val="1"/>
          <w:numId w:val="38"/>
        </w:numPr>
        <w:tabs>
          <w:tab w:val="clear" w:pos="1440"/>
          <w:tab w:val="num" w:pos="900"/>
        </w:tabs>
        <w:autoSpaceDE w:val="0"/>
        <w:autoSpaceDN w:val="0"/>
        <w:adjustRightInd w:val="0"/>
        <w:ind w:left="900" w:right="720"/>
        <w:rPr>
          <w:rFonts w:cs="Tahoma"/>
          <w:lang w:val="it-IT"/>
        </w:rPr>
      </w:pPr>
      <w:r w:rsidRPr="00EB4D74">
        <w:rPr>
          <w:rFonts w:cs="Tahoma"/>
          <w:b/>
          <w:lang w:val="pt-BR"/>
        </w:rPr>
        <w:t>CAL de Autoatendimento (CAL Básica)</w:t>
      </w:r>
    </w:p>
    <w:p w:rsidR="008B1196" w:rsidRPr="00EB4D74" w:rsidRDefault="008B1196" w:rsidP="008B1196">
      <w:pPr>
        <w:numPr>
          <w:ilvl w:val="1"/>
          <w:numId w:val="106"/>
        </w:numPr>
        <w:tabs>
          <w:tab w:val="left" w:pos="1260"/>
        </w:tabs>
        <w:autoSpaceDE w:val="0"/>
        <w:autoSpaceDN w:val="0"/>
        <w:adjustRightInd w:val="0"/>
        <w:ind w:left="1260" w:right="720" w:hanging="360"/>
        <w:rPr>
          <w:rFonts w:cs="Tahoma"/>
        </w:rPr>
      </w:pPr>
      <w:r w:rsidRPr="00EB4D74">
        <w:rPr>
          <w:rFonts w:cs="Tahoma"/>
          <w:lang w:val="pt-BR"/>
        </w:rPr>
        <w:t>Criar relatórios de despesas;</w:t>
      </w:r>
    </w:p>
    <w:p w:rsidR="008B1196" w:rsidRPr="00EB4D74" w:rsidRDefault="008B1196" w:rsidP="008B1196">
      <w:pPr>
        <w:numPr>
          <w:ilvl w:val="1"/>
          <w:numId w:val="106"/>
        </w:numPr>
        <w:tabs>
          <w:tab w:val="left" w:pos="1260"/>
        </w:tabs>
        <w:autoSpaceDE w:val="0"/>
        <w:autoSpaceDN w:val="0"/>
        <w:adjustRightInd w:val="0"/>
        <w:ind w:left="1260" w:right="720" w:hanging="360"/>
        <w:rPr>
          <w:rFonts w:cs="Tahoma"/>
        </w:rPr>
      </w:pPr>
      <w:r w:rsidRPr="00EB4D74">
        <w:rPr>
          <w:rFonts w:cs="Tahoma"/>
          <w:lang w:val="pt-BR"/>
        </w:rPr>
        <w:t>Gerenciar dados pessoais como registros de benefícios;</w:t>
      </w:r>
    </w:p>
    <w:p w:rsidR="008B1196" w:rsidRPr="00EB4D74" w:rsidRDefault="008B1196" w:rsidP="008B1196">
      <w:pPr>
        <w:numPr>
          <w:ilvl w:val="1"/>
          <w:numId w:val="106"/>
        </w:numPr>
        <w:tabs>
          <w:tab w:val="left" w:pos="1260"/>
        </w:tabs>
        <w:autoSpaceDE w:val="0"/>
        <w:autoSpaceDN w:val="0"/>
        <w:adjustRightInd w:val="0"/>
        <w:ind w:left="1260" w:right="720" w:hanging="360"/>
        <w:rPr>
          <w:rFonts w:cs="Tahoma"/>
          <w:lang w:val="it-IT"/>
        </w:rPr>
      </w:pPr>
      <w:r w:rsidRPr="00EB4D74">
        <w:rPr>
          <w:rFonts w:cs="Tahoma"/>
          <w:lang w:val="pt-BR"/>
        </w:rPr>
        <w:t>Fazer entradas de tempo e presença como registrar horas, horário de entrada e de saída;</w:t>
      </w:r>
    </w:p>
    <w:p w:rsidR="008B1196" w:rsidRPr="00EB4D74" w:rsidRDefault="008B1196" w:rsidP="008B1196">
      <w:pPr>
        <w:numPr>
          <w:ilvl w:val="1"/>
          <w:numId w:val="106"/>
        </w:numPr>
        <w:tabs>
          <w:tab w:val="left" w:pos="1260"/>
        </w:tabs>
        <w:autoSpaceDE w:val="0"/>
        <w:autoSpaceDN w:val="0"/>
        <w:adjustRightInd w:val="0"/>
        <w:ind w:left="1260" w:right="720" w:hanging="360"/>
        <w:rPr>
          <w:rFonts w:cs="Tahoma"/>
          <w:lang w:val="it-IT"/>
        </w:rPr>
      </w:pPr>
      <w:r w:rsidRPr="00EB4D74">
        <w:rPr>
          <w:rFonts w:cs="Tahoma"/>
          <w:lang w:val="pt-BR"/>
        </w:rPr>
        <w:t>Inserir solicitações de serviço de funcionário;</w:t>
      </w:r>
    </w:p>
    <w:p w:rsidR="008B1196" w:rsidRPr="00EB4D74" w:rsidRDefault="008B1196" w:rsidP="008B1196">
      <w:pPr>
        <w:numPr>
          <w:ilvl w:val="1"/>
          <w:numId w:val="106"/>
        </w:numPr>
        <w:tabs>
          <w:tab w:val="left" w:pos="1260"/>
        </w:tabs>
        <w:autoSpaceDE w:val="0"/>
        <w:autoSpaceDN w:val="0"/>
        <w:adjustRightInd w:val="0"/>
        <w:ind w:left="1260" w:right="720" w:hanging="360"/>
        <w:rPr>
          <w:rFonts w:cs="Tahoma"/>
          <w:lang w:val="it-IT"/>
        </w:rPr>
      </w:pPr>
      <w:r w:rsidRPr="00EB4D74">
        <w:rPr>
          <w:rFonts w:cs="Tahoma"/>
          <w:lang w:val="pt-BR"/>
        </w:rPr>
        <w:t>Preparar solicitações de compra indireta pertencentes a produtos ou serviços para o funcionário como viagens, equipamento para escritório, papelaria e/ou fazer solicitações para adicionar ou registrar fornecedores.</w:t>
      </w:r>
      <w:r w:rsidRPr="00EB4D74">
        <w:rPr>
          <w:rFonts w:cs="Tahoma"/>
          <w:lang w:val="pt-BR"/>
        </w:rPr>
        <w:br/>
      </w:r>
    </w:p>
    <w:p w:rsidR="008B1196" w:rsidRPr="00EB4D74" w:rsidRDefault="008B1196" w:rsidP="008B1196">
      <w:pPr>
        <w:numPr>
          <w:ilvl w:val="0"/>
          <w:numId w:val="106"/>
        </w:numPr>
        <w:autoSpaceDE w:val="0"/>
        <w:autoSpaceDN w:val="0"/>
        <w:adjustRightInd w:val="0"/>
        <w:ind w:left="900" w:right="720"/>
        <w:rPr>
          <w:rFonts w:cs="Tahoma"/>
          <w:lang w:val="it-IT"/>
        </w:rPr>
      </w:pPr>
      <w:r w:rsidRPr="00EB4D74">
        <w:rPr>
          <w:rFonts w:cs="Tahoma"/>
          <w:b/>
          <w:lang w:val="pt-BR"/>
        </w:rPr>
        <w:t>CAL de Tarefa (CAL de Autoatendimento + CAL Aditiva de Tarefa)</w:t>
      </w:r>
    </w:p>
    <w:p w:rsidR="008B1196" w:rsidRPr="00EB4D74" w:rsidRDefault="008B1196" w:rsidP="008B1196">
      <w:pPr>
        <w:numPr>
          <w:ilvl w:val="1"/>
          <w:numId w:val="106"/>
        </w:numPr>
        <w:ind w:left="1260" w:right="720" w:hanging="360"/>
        <w:rPr>
          <w:rFonts w:cs="Tahoma"/>
          <w:lang w:val="it-IT"/>
        </w:rPr>
      </w:pPr>
      <w:r w:rsidRPr="00EB4D74">
        <w:rPr>
          <w:rFonts w:cs="Tahoma"/>
          <w:lang w:val="pt-BR"/>
        </w:rPr>
        <w:t>Incluir direitos de uso da CAL de Autoatendimento</w:t>
      </w:r>
    </w:p>
    <w:p w:rsidR="008B1196" w:rsidRPr="00EB4D74" w:rsidRDefault="008B1196" w:rsidP="008B1196">
      <w:pPr>
        <w:numPr>
          <w:ilvl w:val="1"/>
          <w:numId w:val="106"/>
        </w:numPr>
        <w:ind w:left="1260" w:right="720" w:hanging="360"/>
        <w:rPr>
          <w:rFonts w:cs="Tahoma"/>
        </w:rPr>
      </w:pPr>
      <w:r w:rsidRPr="00EB4D74">
        <w:rPr>
          <w:rFonts w:cs="Tahoma"/>
          <w:lang w:val="pt-BR"/>
        </w:rPr>
        <w:t>Inserir hora faturável;</w:t>
      </w:r>
    </w:p>
    <w:p w:rsidR="008B1196" w:rsidRPr="00EB4D74" w:rsidRDefault="008B1196" w:rsidP="008B1196">
      <w:pPr>
        <w:numPr>
          <w:ilvl w:val="1"/>
          <w:numId w:val="106"/>
        </w:numPr>
        <w:ind w:left="1260" w:right="720" w:hanging="360"/>
        <w:rPr>
          <w:rFonts w:cs="Tahoma"/>
        </w:rPr>
      </w:pPr>
      <w:r w:rsidRPr="00EB4D74">
        <w:rPr>
          <w:rFonts w:cs="Tahoma"/>
          <w:lang w:val="pt-BR"/>
        </w:rPr>
        <w:t>Inserir despesas faturáveis;</w:t>
      </w:r>
    </w:p>
    <w:p w:rsidR="008B1196" w:rsidRPr="00EB4D74" w:rsidRDefault="008B1196" w:rsidP="008B1196">
      <w:pPr>
        <w:numPr>
          <w:ilvl w:val="1"/>
          <w:numId w:val="106"/>
        </w:numPr>
        <w:ind w:left="1260" w:right="720" w:hanging="360"/>
        <w:rPr>
          <w:rFonts w:cs="Tahoma"/>
          <w:lang w:val="it-IT"/>
        </w:rPr>
      </w:pPr>
      <w:r w:rsidRPr="00EB4D74">
        <w:rPr>
          <w:rFonts w:cs="Tahoma"/>
          <w:lang w:val="pt-BR"/>
        </w:rPr>
        <w:t>Gerenciar análises de desempenho e anuais, definição de metas e competências;</w:t>
      </w:r>
    </w:p>
    <w:p w:rsidR="008B1196" w:rsidRPr="00EB4D74" w:rsidRDefault="008B1196" w:rsidP="008B1196">
      <w:pPr>
        <w:numPr>
          <w:ilvl w:val="1"/>
          <w:numId w:val="106"/>
        </w:numPr>
        <w:ind w:left="1260" w:right="720" w:hanging="360"/>
        <w:rPr>
          <w:rFonts w:cs="Tahoma"/>
          <w:lang w:val="it-IT"/>
        </w:rPr>
      </w:pPr>
      <w:r w:rsidRPr="00EB4D74">
        <w:rPr>
          <w:rFonts w:cs="Tahoma"/>
          <w:lang w:val="pt-BR"/>
        </w:rPr>
        <w:lastRenderedPageBreak/>
        <w:t>Operar um ponto de varejo do dispositivo de venda;</w:t>
      </w:r>
    </w:p>
    <w:p w:rsidR="008B1196" w:rsidRPr="00EB4D74" w:rsidRDefault="008B1196" w:rsidP="008B1196">
      <w:pPr>
        <w:numPr>
          <w:ilvl w:val="1"/>
          <w:numId w:val="106"/>
        </w:numPr>
        <w:ind w:left="1260" w:right="720" w:hanging="360"/>
        <w:rPr>
          <w:rFonts w:cs="Tahoma"/>
          <w:szCs w:val="18"/>
          <w:lang w:val="it-IT"/>
        </w:rPr>
      </w:pPr>
      <w:r w:rsidRPr="00EB4D74">
        <w:rPr>
          <w:rFonts w:cs="Tahoma"/>
          <w:szCs w:val="18"/>
          <w:lang w:val="pt-BR"/>
        </w:rPr>
        <w:t>Aprovar faturas de fornecedores relativas a compra indireta e</w:t>
      </w:r>
    </w:p>
    <w:p w:rsidR="008B1196" w:rsidRPr="00EB4D74" w:rsidRDefault="008B1196" w:rsidP="008B1196">
      <w:pPr>
        <w:numPr>
          <w:ilvl w:val="1"/>
          <w:numId w:val="106"/>
        </w:numPr>
        <w:ind w:left="1260" w:right="720" w:hanging="360"/>
        <w:rPr>
          <w:rFonts w:cs="Tahoma"/>
        </w:rPr>
      </w:pPr>
      <w:r w:rsidRPr="00EB4D74">
        <w:rPr>
          <w:rFonts w:cs="Tahoma"/>
          <w:lang w:val="pt-BR"/>
        </w:rPr>
        <w:t>Usuários de CAL de Tarefa não podem executar aprovações do fluxo de trabalho.</w:t>
      </w:r>
    </w:p>
    <w:p w:rsidR="008B1196" w:rsidRPr="00EB4D74" w:rsidRDefault="008B1196" w:rsidP="008B1196">
      <w:pPr>
        <w:autoSpaceDE w:val="0"/>
        <w:autoSpaceDN w:val="0"/>
        <w:adjustRightInd w:val="0"/>
        <w:ind w:left="1260" w:right="720"/>
        <w:rPr>
          <w:rFonts w:cs="Tahoma"/>
        </w:rPr>
      </w:pPr>
    </w:p>
    <w:p w:rsidR="008B1196" w:rsidRPr="00EB4D74" w:rsidRDefault="008B1196" w:rsidP="008B1196">
      <w:pPr>
        <w:numPr>
          <w:ilvl w:val="0"/>
          <w:numId w:val="106"/>
        </w:numPr>
        <w:ind w:left="900" w:right="720"/>
        <w:rPr>
          <w:rFonts w:cs="Tahoma"/>
          <w:lang w:val="it-IT"/>
        </w:rPr>
      </w:pPr>
      <w:r w:rsidRPr="00EB4D74">
        <w:rPr>
          <w:rFonts w:cs="Tahoma"/>
          <w:b/>
          <w:lang w:val="pt-BR"/>
        </w:rPr>
        <w:t>CAL Funcional (CAL de Tarefa + CAL Aditiva Funcional)</w:t>
      </w:r>
    </w:p>
    <w:p w:rsidR="008B1196" w:rsidRPr="00EB4D74" w:rsidRDefault="008B1196" w:rsidP="008B1196">
      <w:pPr>
        <w:numPr>
          <w:ilvl w:val="1"/>
          <w:numId w:val="106"/>
        </w:numPr>
        <w:ind w:left="1260" w:right="720" w:hanging="360"/>
        <w:rPr>
          <w:rFonts w:cs="Tahoma"/>
          <w:lang w:val="it-IT"/>
        </w:rPr>
      </w:pPr>
      <w:r w:rsidRPr="00EB4D74">
        <w:rPr>
          <w:rFonts w:cs="Tahoma"/>
          <w:lang w:val="pt-BR"/>
        </w:rPr>
        <w:t>Incluir direitos de uso da CAL de Tarefa</w:t>
      </w:r>
    </w:p>
    <w:p w:rsidR="008B1196" w:rsidRPr="00EB4D74" w:rsidRDefault="008B1196" w:rsidP="008B1196">
      <w:pPr>
        <w:numPr>
          <w:ilvl w:val="1"/>
          <w:numId w:val="106"/>
        </w:numPr>
        <w:ind w:left="1260" w:right="720" w:hanging="360"/>
        <w:rPr>
          <w:rFonts w:cs="Tahoma"/>
          <w:lang w:val="it-IT"/>
        </w:rPr>
      </w:pPr>
      <w:r w:rsidRPr="00EB4D74">
        <w:rPr>
          <w:rFonts w:cs="Tahoma"/>
          <w:lang w:val="pt-BR"/>
        </w:rPr>
        <w:t>Gerenciar um chão de fábrica em um ciclo de fabricação ou produção;</w:t>
      </w:r>
    </w:p>
    <w:p w:rsidR="008B1196" w:rsidRPr="00EB4D74" w:rsidRDefault="008B1196" w:rsidP="008B1196">
      <w:pPr>
        <w:numPr>
          <w:ilvl w:val="1"/>
          <w:numId w:val="106"/>
        </w:numPr>
        <w:ind w:left="1260" w:right="720" w:hanging="360"/>
        <w:rPr>
          <w:rFonts w:cs="Tahoma"/>
        </w:rPr>
      </w:pPr>
      <w:r w:rsidRPr="00EB4D74">
        <w:rPr>
          <w:rFonts w:cs="Tahoma"/>
          <w:lang w:val="pt-BR"/>
        </w:rPr>
        <w:t>Gerenciar projetos e recursos;</w:t>
      </w:r>
    </w:p>
    <w:p w:rsidR="008B1196" w:rsidRPr="00EB4D74" w:rsidRDefault="008B1196" w:rsidP="008B1196">
      <w:pPr>
        <w:numPr>
          <w:ilvl w:val="1"/>
          <w:numId w:val="106"/>
        </w:numPr>
        <w:ind w:left="1260" w:right="720" w:hanging="360"/>
        <w:rPr>
          <w:rFonts w:cs="Tahoma"/>
        </w:rPr>
      </w:pPr>
      <w:r w:rsidRPr="00EB4D74">
        <w:rPr>
          <w:rFonts w:cs="Tahoma"/>
          <w:lang w:val="pt-BR"/>
        </w:rPr>
        <w:t>Gerenciar ciclos de recursos humanos;</w:t>
      </w:r>
    </w:p>
    <w:p w:rsidR="008B1196" w:rsidRPr="00EB4D74" w:rsidRDefault="008B1196" w:rsidP="008B1196">
      <w:pPr>
        <w:numPr>
          <w:ilvl w:val="1"/>
          <w:numId w:val="106"/>
        </w:numPr>
        <w:ind w:left="1260" w:right="720" w:hanging="360"/>
        <w:rPr>
          <w:rFonts w:cs="Tahoma"/>
        </w:rPr>
      </w:pPr>
      <w:r w:rsidRPr="00EB4D74">
        <w:rPr>
          <w:rFonts w:cs="Tahoma"/>
          <w:lang w:val="pt-BR"/>
        </w:rPr>
        <w:t>Gerenciar transferências de orçamento e solicitações organizacionais;</w:t>
      </w:r>
    </w:p>
    <w:p w:rsidR="008B1196" w:rsidRPr="00EB4D74" w:rsidRDefault="008B1196" w:rsidP="008B1196">
      <w:pPr>
        <w:numPr>
          <w:ilvl w:val="1"/>
          <w:numId w:val="106"/>
        </w:numPr>
        <w:ind w:left="1260" w:right="720" w:hanging="360"/>
        <w:rPr>
          <w:rFonts w:cs="Tahoma"/>
        </w:rPr>
      </w:pPr>
      <w:r w:rsidRPr="00EB4D74">
        <w:rPr>
          <w:rFonts w:cs="Tahoma"/>
          <w:lang w:val="pt-BR"/>
        </w:rPr>
        <w:t>Criar registros de dados mestres de candidatos ou funcionários;</w:t>
      </w:r>
    </w:p>
    <w:p w:rsidR="008B1196" w:rsidRPr="00EB4D74" w:rsidRDefault="008B1196" w:rsidP="008B1196">
      <w:pPr>
        <w:numPr>
          <w:ilvl w:val="1"/>
          <w:numId w:val="106"/>
        </w:numPr>
        <w:ind w:left="1260" w:right="720" w:hanging="360"/>
        <w:rPr>
          <w:rFonts w:cs="Tahoma"/>
          <w:lang w:val="it-IT"/>
        </w:rPr>
      </w:pPr>
      <w:r w:rsidRPr="00EB4D74">
        <w:rPr>
          <w:rFonts w:cs="Tahoma"/>
          <w:lang w:val="pt-BR"/>
        </w:rPr>
        <w:t>Criar uma solicitação de emprego ou posição;</w:t>
      </w:r>
    </w:p>
    <w:p w:rsidR="008B1196" w:rsidRPr="00EB4D74" w:rsidRDefault="008B1196" w:rsidP="008B1196">
      <w:pPr>
        <w:numPr>
          <w:ilvl w:val="1"/>
          <w:numId w:val="106"/>
        </w:numPr>
        <w:ind w:left="1260" w:right="720" w:hanging="360"/>
        <w:rPr>
          <w:rFonts w:cs="Tahoma"/>
        </w:rPr>
      </w:pPr>
      <w:r w:rsidRPr="00EB4D74">
        <w:rPr>
          <w:rFonts w:cs="Tahoma"/>
          <w:lang w:val="pt-BR"/>
        </w:rPr>
        <w:t>Escalar ou solicitar aprovação de faturas relativas a seus clientes;</w:t>
      </w:r>
    </w:p>
    <w:p w:rsidR="008B1196" w:rsidRPr="00EB4D74" w:rsidRDefault="008B1196" w:rsidP="008B1196">
      <w:pPr>
        <w:numPr>
          <w:ilvl w:val="1"/>
          <w:numId w:val="106"/>
        </w:numPr>
        <w:ind w:left="1260" w:right="720" w:hanging="360"/>
        <w:rPr>
          <w:rFonts w:cs="Tahoma"/>
        </w:rPr>
      </w:pPr>
      <w:r w:rsidRPr="00EB4D74">
        <w:rPr>
          <w:rFonts w:cs="Tahoma"/>
          <w:lang w:val="pt-BR"/>
        </w:rPr>
        <w:t>Aprovar faturas de fornecedor ou vouchers para serviços prestados;</w:t>
      </w:r>
    </w:p>
    <w:p w:rsidR="008B1196" w:rsidRPr="00EB4D74" w:rsidRDefault="008B1196" w:rsidP="008B1196">
      <w:pPr>
        <w:numPr>
          <w:ilvl w:val="1"/>
          <w:numId w:val="106"/>
        </w:numPr>
        <w:ind w:left="1440" w:right="720" w:hanging="540"/>
        <w:rPr>
          <w:rFonts w:cs="Tahoma"/>
        </w:rPr>
      </w:pPr>
      <w:r w:rsidRPr="00EB4D74">
        <w:rPr>
          <w:rFonts w:cs="Tahoma"/>
          <w:lang w:val="pt-BR"/>
        </w:rPr>
        <w:t>Criar e gerenciar registros de dados mestre pertencentes a clientes, fornecedores, inventário de produtos ou catálogos e/ou</w:t>
      </w:r>
    </w:p>
    <w:p w:rsidR="008B1196" w:rsidRPr="00EB4D74" w:rsidRDefault="008B1196" w:rsidP="008B1196">
      <w:pPr>
        <w:numPr>
          <w:ilvl w:val="1"/>
          <w:numId w:val="106"/>
        </w:numPr>
        <w:ind w:left="1260" w:right="720" w:hanging="360"/>
        <w:rPr>
          <w:rFonts w:cs="Tahoma"/>
          <w:lang w:val="it-IT"/>
        </w:rPr>
      </w:pPr>
      <w:r w:rsidRPr="00EB4D74">
        <w:rPr>
          <w:rFonts w:cs="Tahoma"/>
          <w:lang w:val="pt-BR"/>
        </w:rPr>
        <w:t>Aprovar solicitações de usuários da CAL de Autoatendimento ou CAL de Tarefa.</w:t>
      </w:r>
    </w:p>
    <w:p w:rsidR="008B1196" w:rsidRPr="00EB4D74" w:rsidRDefault="008B1196" w:rsidP="008B1196">
      <w:pPr>
        <w:autoSpaceDE w:val="0"/>
        <w:autoSpaceDN w:val="0"/>
        <w:adjustRightInd w:val="0"/>
        <w:ind w:left="1260" w:right="720" w:hanging="360"/>
        <w:rPr>
          <w:rFonts w:cs="Tahoma"/>
          <w:lang w:val="it-IT"/>
        </w:rPr>
      </w:pPr>
    </w:p>
    <w:p w:rsidR="008B1196" w:rsidRPr="00EB4D74" w:rsidRDefault="008B1196" w:rsidP="008B1196">
      <w:pPr>
        <w:numPr>
          <w:ilvl w:val="0"/>
          <w:numId w:val="106"/>
        </w:numPr>
        <w:ind w:left="900" w:right="720"/>
        <w:rPr>
          <w:rFonts w:cs="Tahoma"/>
          <w:lang w:val="it-IT"/>
        </w:rPr>
      </w:pPr>
      <w:r w:rsidRPr="00EB4D74">
        <w:rPr>
          <w:rFonts w:cs="Tahoma"/>
          <w:b/>
          <w:lang w:val="pt-BR"/>
        </w:rPr>
        <w:t>CAL Empresarial (CAL Funcional + CAL Aditiva Empresarial)</w:t>
      </w:r>
    </w:p>
    <w:p w:rsidR="008B1196" w:rsidRPr="00EB4D74" w:rsidRDefault="008B1196" w:rsidP="008B1196">
      <w:pPr>
        <w:numPr>
          <w:ilvl w:val="1"/>
          <w:numId w:val="106"/>
        </w:numPr>
        <w:ind w:left="1260" w:right="720" w:hanging="360"/>
        <w:rPr>
          <w:rFonts w:cs="Tahoma"/>
        </w:rPr>
      </w:pPr>
      <w:r w:rsidRPr="00EB4D74">
        <w:rPr>
          <w:rFonts w:cs="Tahoma"/>
          <w:lang w:val="pt-BR"/>
        </w:rPr>
        <w:t>Direitos Totais de Uso</w:t>
      </w:r>
    </w:p>
    <w:p w:rsidR="008B1196" w:rsidRPr="00EB4D74" w:rsidRDefault="008B1196" w:rsidP="008B1196">
      <w:pPr>
        <w:autoSpaceDE w:val="0"/>
        <w:autoSpaceDN w:val="0"/>
        <w:adjustRightInd w:val="0"/>
        <w:ind w:left="900" w:right="720"/>
        <w:rPr>
          <w:rFonts w:cs="Tahoma"/>
        </w:rPr>
      </w:pPr>
    </w:p>
    <w:p w:rsidR="008B1196" w:rsidRPr="00EB4D74" w:rsidRDefault="008B1196" w:rsidP="008B1196">
      <w:pPr>
        <w:autoSpaceDE w:val="0"/>
        <w:autoSpaceDN w:val="0"/>
        <w:adjustRightInd w:val="0"/>
        <w:ind w:left="720" w:right="720"/>
        <w:rPr>
          <w:rFonts w:cs="Tahoma"/>
          <w:lang w:val="it-IT"/>
        </w:rPr>
      </w:pPr>
      <w:r w:rsidRPr="00EB4D74">
        <w:rPr>
          <w:rFonts w:cs="Tahoma"/>
          <w:lang w:val="pt-BR"/>
        </w:rPr>
        <w:t>Para uma maior granularidade e compreensão das CALs exigidas, consulte o Guia de Licenciamento d</w:t>
      </w:r>
      <w:r>
        <w:rPr>
          <w:rFonts w:cs="Tahoma"/>
          <w:lang w:val="pt-BR"/>
        </w:rPr>
        <w:t xml:space="preserve">o Microsoft Dynamics AX 2012 </w:t>
      </w:r>
      <w:r w:rsidRPr="00EB4D74">
        <w:rPr>
          <w:rFonts w:cs="Tahoma"/>
          <w:lang w:val="pt-BR"/>
        </w:rPr>
        <w:t xml:space="preserve">de julho de 2012 disponível na página </w:t>
      </w:r>
      <w:hyperlink r:id="rId34" w:history="1">
        <w:r w:rsidRPr="00EB4D74">
          <w:rPr>
            <w:rStyle w:val="Hyperlink"/>
            <w:rFonts w:cs="Tahoma"/>
            <w:lang w:val="pt-BR"/>
          </w:rPr>
          <w:t>www.microsoft.com</w:t>
        </w:r>
      </w:hyperlink>
      <w:r w:rsidRPr="00EB4D74">
        <w:rPr>
          <w:rFonts w:cs="Tahoma"/>
          <w:lang w:val="pt-BR"/>
        </w:rPr>
        <w:t>.</w:t>
      </w:r>
    </w:p>
    <w:p w:rsidR="008B1196" w:rsidRPr="00EB4D74" w:rsidRDefault="008B1196" w:rsidP="008B1196">
      <w:pPr>
        <w:ind w:left="720" w:hanging="180"/>
        <w:rPr>
          <w:rFonts w:cs="Tahoma"/>
          <w:lang w:val="it-IT"/>
        </w:rPr>
      </w:pPr>
    </w:p>
    <w:p w:rsidR="008B1196" w:rsidRPr="00EB4D74" w:rsidRDefault="008B1196" w:rsidP="008B1196">
      <w:pPr>
        <w:spacing w:after="60"/>
        <w:ind w:left="734" w:hanging="187"/>
        <w:rPr>
          <w:rFonts w:cs="Tahoma"/>
          <w:lang w:val="it-IT"/>
        </w:rPr>
      </w:pPr>
      <w:r w:rsidRPr="00EB4D74">
        <w:rPr>
          <w:rFonts w:cs="Tahoma"/>
          <w:b/>
          <w:lang w:val="pt-BR"/>
        </w:rPr>
        <w:t>Termos Complementares da Licença</w:t>
      </w:r>
    </w:p>
    <w:p w:rsidR="008B1196" w:rsidRPr="00EB4D74" w:rsidRDefault="008B1196" w:rsidP="008B1196">
      <w:pPr>
        <w:pStyle w:val="PURBody-Indented"/>
        <w:ind w:left="540"/>
        <w:rPr>
          <w:rFonts w:ascii="Tahoma" w:hAnsi="Tahoma" w:cs="Tahoma"/>
          <w:lang w:val="it-IT"/>
        </w:rPr>
      </w:pPr>
      <w:r w:rsidRPr="00EB4D74">
        <w:rPr>
          <w:rFonts w:ascii="Tahoma" w:hAnsi="Tahoma" w:cs="Tahoma"/>
          <w:sz w:val="18"/>
          <w:lang w:val="pt-BR"/>
        </w:rPr>
        <w:t xml:space="preserve">O uso que você faz dos Componentes de Ecommerce, Componentes de Ponto de venda e de atualizações e complementos semelhantes para o Microsoft Dynamics AX 2012 R2 são regidos pelos Termos Complementares da Licença que você pode encontrar em: </w:t>
      </w:r>
      <w:hyperlink r:id="rId35" w:history="1">
        <w:r w:rsidRPr="00EB4D74">
          <w:rPr>
            <w:rFonts w:ascii="Tahoma" w:hAnsi="Tahoma" w:cs="Tahoma"/>
            <w:sz w:val="18"/>
            <w:lang w:val="pt-BR"/>
          </w:rPr>
          <w:t>http://www.microsoft.com/en-us/dynamics/erp-buy-ax-software.aspx</w:t>
        </w:r>
      </w:hyperlink>
      <w:r w:rsidRPr="00EB4D74">
        <w:rPr>
          <w:rFonts w:ascii="Tahoma" w:hAnsi="Tahoma" w:cs="Tahoma"/>
          <w:sz w:val="18"/>
          <w:lang w:val="pt-BR"/>
        </w:rPr>
        <w:t>.</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344" w:name="_68_Microsoft_Dynamics"/>
      <w:bookmarkStart w:id="1345" w:name="_Toc336338328"/>
      <w:bookmarkStart w:id="1346" w:name="_Toc342914959"/>
      <w:bookmarkEnd w:id="1344"/>
      <w:bookmarkEnd w:id="1345"/>
      <w:r w:rsidRPr="00EB4D74">
        <w:rPr>
          <w:rFonts w:ascii="Tahoma" w:hAnsi="Tahoma" w:cs="Tahoma"/>
          <w:color w:val="F66400"/>
          <w:sz w:val="22"/>
          <w:vertAlign w:val="superscript"/>
          <w:lang w:val="pt-BR"/>
        </w:rPr>
        <w:t>64</w:t>
      </w:r>
      <w:r w:rsidRPr="00EB4D74">
        <w:rPr>
          <w:rFonts w:ascii="Tahoma" w:hAnsi="Tahoma" w:cs="Tahoma"/>
          <w:color w:val="F66400"/>
          <w:sz w:val="22"/>
          <w:lang w:val="pt-BR"/>
        </w:rPr>
        <w:t xml:space="preserve"> Microsoft Dynamics CRM 2011</w:t>
      </w:r>
      <w:bookmarkEnd w:id="1346"/>
    </w:p>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Caminho de Migração do Software Assurance para Microsoft Dynamics CRM 4.0</w:t>
      </w:r>
    </w:p>
    <w:p w:rsidR="008B1196" w:rsidRPr="00EB4D74" w:rsidRDefault="008B1196" w:rsidP="008B1196">
      <w:pPr>
        <w:ind w:left="720"/>
        <w:rPr>
          <w:rFonts w:cs="Tahoma"/>
          <w:lang w:val="it-IT"/>
        </w:rPr>
      </w:pPr>
      <w:r w:rsidRPr="00EB4D74">
        <w:rPr>
          <w:rFonts w:cs="Tahoma"/>
          <w:color w:val="000000"/>
          <w:lang w:val="pt-BR"/>
        </w:rPr>
        <w:t>Os clientes que tiverem adquirido licenças do Microsoft Dynamics CRM 4.0 e tiverem cobertura do Software Assurance ativa sobre essas licenças a partir de 1° de abril de 2011 ou posteriormente poderão atualizar essas licenças conforme indicado abaixo:</w:t>
      </w:r>
    </w:p>
    <w:p w:rsidR="008B1196" w:rsidRPr="00EB4D74" w:rsidRDefault="008B1196" w:rsidP="008B1196">
      <w:pPr>
        <w:rPr>
          <w:rFonts w:cs="Tahoma"/>
          <w:lang w:val="it-IT"/>
        </w:rPr>
      </w:pPr>
    </w:p>
    <w:tbl>
      <w:tblPr>
        <w:tblW w:w="0" w:type="auto"/>
        <w:tblInd w:w="7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4140"/>
        <w:gridCol w:w="4320"/>
      </w:tblGrid>
      <w:tr w:rsidR="008B1196" w:rsidRPr="00EB4D74" w:rsidTr="00EA30FC">
        <w:tc>
          <w:tcPr>
            <w:tcW w:w="414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b/>
                <w:color w:val="000000"/>
                <w:lang w:val="pt-BR"/>
              </w:rPr>
              <w:t>Licenças do Microsoft Dynamics CRM 4.0 Qualificadas</w:t>
            </w:r>
          </w:p>
        </w:tc>
        <w:tc>
          <w:tcPr>
            <w:tcW w:w="432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b/>
                <w:color w:val="000000"/>
                <w:lang w:val="pt-BR"/>
              </w:rPr>
              <w:t>Licenças do CRM 2011 Correspondentes</w:t>
            </w:r>
          </w:p>
        </w:tc>
      </w:tr>
      <w:tr w:rsidR="008B1196" w:rsidRPr="00EB4D74" w:rsidTr="00EA30FC">
        <w:tc>
          <w:tcPr>
            <w:tcW w:w="4140" w:type="dxa"/>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CAL Aditiva de Uso Total para Microsoft Dynamics CRM 4.0</w:t>
            </w:r>
          </w:p>
        </w:tc>
        <w:tc>
          <w:tcPr>
            <w:tcW w:w="4320" w:type="dxa"/>
            <w:shd w:val="clear" w:color="auto" w:fill="FFFFFF"/>
          </w:tcPr>
          <w:p w:rsidR="008B1196" w:rsidRPr="00EB4D74" w:rsidRDefault="008B1196" w:rsidP="00EA30FC">
            <w:pPr>
              <w:rPr>
                <w:rFonts w:cs="Tahoma"/>
                <w:color w:val="000000"/>
                <w:szCs w:val="20"/>
                <w:lang w:val="it-IT"/>
              </w:rPr>
            </w:pPr>
            <w:r w:rsidRPr="00EB4D74">
              <w:rPr>
                <w:rFonts w:cs="Tahoma"/>
                <w:color w:val="000000"/>
                <w:lang w:val="pt-BR"/>
              </w:rPr>
              <w:t>Uma CAL Aditiva de Uso Total para Microsoft Dynamics CRM 2011</w:t>
            </w:r>
          </w:p>
        </w:tc>
      </w:tr>
      <w:tr w:rsidR="008B1196" w:rsidRPr="00EB4D74" w:rsidTr="00EA30FC">
        <w:tc>
          <w:tcPr>
            <w:tcW w:w="4140" w:type="dxa"/>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CAL Limitada para Microsoft Dynamics CRM 4.0</w:t>
            </w:r>
          </w:p>
        </w:tc>
        <w:tc>
          <w:tcPr>
            <w:tcW w:w="4320" w:type="dxa"/>
            <w:shd w:val="clear" w:color="auto" w:fill="FFFFFF"/>
          </w:tcPr>
          <w:p w:rsidR="008B1196" w:rsidRPr="00EB4D74" w:rsidRDefault="008B1196" w:rsidP="00EA30FC">
            <w:pPr>
              <w:rPr>
                <w:rFonts w:cs="Tahoma"/>
                <w:color w:val="000000"/>
                <w:szCs w:val="20"/>
              </w:rPr>
            </w:pPr>
            <w:r w:rsidRPr="00EB4D74">
              <w:rPr>
                <w:rFonts w:cs="Tahoma"/>
                <w:color w:val="000000"/>
                <w:lang w:val="pt-BR"/>
              </w:rPr>
              <w:t>Uma CAL do Microsoft Dynamics CRM Server 2011 Employee Self Service e Uma CAL (aditiva à CAL de Uso Limitado)</w:t>
            </w:r>
          </w:p>
        </w:tc>
      </w:tr>
      <w:tr w:rsidR="008B1196" w:rsidRPr="00EB4D74" w:rsidTr="00EA30FC">
        <w:tc>
          <w:tcPr>
            <w:tcW w:w="4140" w:type="dxa"/>
            <w:shd w:val="clear" w:color="auto" w:fill="FFFFFF"/>
          </w:tcPr>
          <w:p w:rsidR="008B1196" w:rsidRPr="00EB4D74" w:rsidRDefault="008B1196" w:rsidP="00EA30FC">
            <w:pPr>
              <w:rPr>
                <w:rFonts w:cs="Tahoma"/>
              </w:rPr>
            </w:pPr>
            <w:r w:rsidRPr="00EB4D74">
              <w:rPr>
                <w:rFonts w:cs="Tahoma"/>
                <w:color w:val="000000"/>
                <w:lang w:val="pt-BR"/>
              </w:rPr>
              <w:t>External Connector Limitado do Microsoft Dynamics CRM 4.0</w:t>
            </w:r>
          </w:p>
          <w:p w:rsidR="008B1196" w:rsidRPr="00EB4D74" w:rsidRDefault="008B1196" w:rsidP="00EA30FC">
            <w:pPr>
              <w:rPr>
                <w:rFonts w:cs="Tahoma"/>
                <w:color w:val="000000"/>
                <w:szCs w:val="20"/>
              </w:rPr>
            </w:pPr>
            <w:r w:rsidRPr="00EB4D74">
              <w:rPr>
                <w:rFonts w:cs="Tahoma"/>
                <w:color w:val="000000"/>
                <w:lang w:val="pt-BR"/>
              </w:rPr>
              <w:t>(separado OU como parte do External Connector Limitado do Microsoft Dynamics CRM 4.0 e conjunto do External Connector Adicional de Uso Completo do Microsoft Dynamics CRM 4.0)</w:t>
            </w:r>
          </w:p>
        </w:tc>
        <w:tc>
          <w:tcPr>
            <w:tcW w:w="4320" w:type="dxa"/>
            <w:shd w:val="clear" w:color="auto" w:fill="FFFFFF"/>
          </w:tcPr>
          <w:p w:rsidR="008B1196" w:rsidRPr="00EB4D74" w:rsidRDefault="008B1196" w:rsidP="00EA30FC">
            <w:pPr>
              <w:rPr>
                <w:rFonts w:cs="Tahoma"/>
                <w:color w:val="000000"/>
                <w:szCs w:val="20"/>
              </w:rPr>
            </w:pPr>
            <w:r w:rsidRPr="00EB4D74">
              <w:rPr>
                <w:rFonts w:cs="Tahoma"/>
                <w:color w:val="000000"/>
                <w:lang w:val="pt-BR"/>
              </w:rPr>
              <w:t>1 Conector Externo para Microsoft Dynamics CRM 2011</w:t>
            </w:r>
            <w:r w:rsidRPr="00EB4D74">
              <w:rPr>
                <w:rFonts w:cs="Tahoma"/>
                <w:color w:val="000000"/>
                <w:vertAlign w:val="superscript"/>
                <w:lang w:val="pt-BR"/>
              </w:rPr>
              <w:t>1</w:t>
            </w:r>
          </w:p>
        </w:tc>
      </w:tr>
      <w:tr w:rsidR="008B1196" w:rsidRPr="00EB4D74" w:rsidTr="00EA30FC">
        <w:tc>
          <w:tcPr>
            <w:tcW w:w="4140" w:type="dxa"/>
            <w:shd w:val="clear" w:color="auto" w:fill="FFFFFF"/>
          </w:tcPr>
          <w:p w:rsidR="008B1196" w:rsidRPr="00EB4D74" w:rsidRDefault="008B1196" w:rsidP="00EA30FC">
            <w:pPr>
              <w:rPr>
                <w:rFonts w:cs="Tahoma"/>
                <w:color w:val="000000"/>
                <w:szCs w:val="20"/>
              </w:rPr>
            </w:pPr>
            <w:r w:rsidRPr="00EB4D74">
              <w:rPr>
                <w:rFonts w:cs="Tahoma"/>
                <w:color w:val="000000"/>
                <w:lang w:val="pt-BR"/>
              </w:rPr>
              <w:t>Microsoft Dynamics CRM 4.0 Workgroup Server</w:t>
            </w:r>
          </w:p>
        </w:tc>
        <w:tc>
          <w:tcPr>
            <w:tcW w:w="4320" w:type="dxa"/>
            <w:shd w:val="clear" w:color="auto" w:fill="FFFFFF"/>
          </w:tcPr>
          <w:p w:rsidR="008B1196" w:rsidRPr="00EB4D74" w:rsidRDefault="008B1196" w:rsidP="00EA30FC">
            <w:pPr>
              <w:rPr>
                <w:rFonts w:cs="Tahoma"/>
                <w:color w:val="000000"/>
                <w:szCs w:val="20"/>
              </w:rPr>
            </w:pPr>
            <w:r w:rsidRPr="00EB4D74">
              <w:rPr>
                <w:rFonts w:cs="Tahoma"/>
                <w:color w:val="000000"/>
                <w:lang w:val="pt-BR"/>
              </w:rPr>
              <w:t>1 Microsoft Dynamics CRM Workgroup Server 2011</w:t>
            </w:r>
          </w:p>
        </w:tc>
      </w:tr>
      <w:tr w:rsidR="008B1196" w:rsidRPr="00EB4D74" w:rsidTr="00EA30FC">
        <w:tc>
          <w:tcPr>
            <w:tcW w:w="4140" w:type="dxa"/>
            <w:shd w:val="clear" w:color="auto" w:fill="FFFFFF"/>
          </w:tcPr>
          <w:p w:rsidR="008B1196" w:rsidRPr="00EB4D74" w:rsidRDefault="008B1196" w:rsidP="00EA30FC">
            <w:pPr>
              <w:rPr>
                <w:rFonts w:cs="Tahoma"/>
                <w:color w:val="000000"/>
                <w:szCs w:val="20"/>
              </w:rPr>
            </w:pPr>
            <w:r w:rsidRPr="00EB4D74">
              <w:rPr>
                <w:rFonts w:cs="Tahoma"/>
                <w:color w:val="000000"/>
                <w:lang w:val="pt-BR"/>
              </w:rPr>
              <w:t>Microsoft Dynamics CRM 4.0 Professional Server</w:t>
            </w:r>
          </w:p>
        </w:tc>
        <w:tc>
          <w:tcPr>
            <w:tcW w:w="4320" w:type="dxa"/>
            <w:shd w:val="clear" w:color="auto" w:fill="FFFFFF"/>
          </w:tcPr>
          <w:p w:rsidR="008B1196" w:rsidRPr="00EB4D74" w:rsidRDefault="008B1196" w:rsidP="00EA30FC">
            <w:pPr>
              <w:rPr>
                <w:rFonts w:cs="Tahoma"/>
                <w:color w:val="000000"/>
                <w:szCs w:val="20"/>
              </w:rPr>
            </w:pPr>
            <w:r w:rsidRPr="00EB4D74">
              <w:rPr>
                <w:rFonts w:cs="Tahoma"/>
                <w:color w:val="000000"/>
                <w:lang w:val="pt-BR"/>
              </w:rPr>
              <w:t>1 Microsoft Dynamics CRM Server 2011</w:t>
            </w:r>
          </w:p>
        </w:tc>
      </w:tr>
      <w:tr w:rsidR="008B1196" w:rsidRPr="00EB4D74" w:rsidTr="00EA30FC">
        <w:tc>
          <w:tcPr>
            <w:tcW w:w="4140" w:type="dxa"/>
            <w:tcBorders>
              <w:bottom w:val="single" w:sz="4" w:space="0" w:color="000000"/>
            </w:tcBorders>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Microsoft Dynamics CRM 4.0 Enterprise Server</w:t>
            </w:r>
          </w:p>
        </w:tc>
        <w:tc>
          <w:tcPr>
            <w:tcW w:w="4320" w:type="dxa"/>
            <w:tcBorders>
              <w:bottom w:val="single" w:sz="4" w:space="0" w:color="000000"/>
            </w:tcBorders>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Microsoft Dynamics CRM Server 2011</w:t>
            </w:r>
          </w:p>
        </w:tc>
      </w:tr>
    </w:tbl>
    <w:p w:rsidR="008B1196" w:rsidRPr="00EB4D74" w:rsidRDefault="008B1196" w:rsidP="008B1196">
      <w:pPr>
        <w:ind w:left="540"/>
        <w:rPr>
          <w:rFonts w:cs="Tahoma"/>
        </w:rPr>
      </w:pPr>
    </w:p>
    <w:p w:rsidR="008B1196" w:rsidRPr="00EB4D74" w:rsidRDefault="008B1196" w:rsidP="008B1196">
      <w:pPr>
        <w:ind w:left="810"/>
        <w:rPr>
          <w:rFonts w:cs="Tahoma"/>
          <w:lang w:val="pt-BR"/>
        </w:rPr>
      </w:pPr>
      <w:r w:rsidRPr="00EB4D74">
        <w:rPr>
          <w:rFonts w:cs="Tahoma"/>
          <w:i/>
          <w:color w:val="000000"/>
          <w:sz w:val="16"/>
          <w:bdr w:val="none" w:sz="0" w:space="0" w:color="auto" w:frame="1"/>
          <w:vertAlign w:val="superscript"/>
          <w:lang w:val="pt-BR"/>
        </w:rPr>
        <w:t>1</w:t>
      </w:r>
      <w:r w:rsidRPr="00EB4D74">
        <w:rPr>
          <w:rFonts w:cs="Tahoma"/>
          <w:i/>
          <w:color w:val="000000"/>
          <w:sz w:val="16"/>
          <w:bdr w:val="none" w:sz="0" w:space="0" w:color="auto" w:frame="1"/>
          <w:lang w:val="pt-BR"/>
        </w:rPr>
        <w:t xml:space="preserve">O Conector Externo para CRM 2011 é a única licença de conector externo disponível nesta versão. </w:t>
      </w:r>
      <w:r w:rsidRPr="00EB4D74">
        <w:rPr>
          <w:rFonts w:cs="Tahoma"/>
          <w:i/>
          <w:color w:val="000000"/>
          <w:sz w:val="16"/>
          <w:lang w:val="pt-BR"/>
        </w:rPr>
        <w:t xml:space="preserve">Os clientes terão os direitos de atualização para uma licença do Conector Externo para CRM 2011 para cada licença de qualificação do External Connector Limitado do CRM 4.0 que tiverem, se essa licença do External Connector Limitado do CRM 4.0 foi </w:t>
      </w:r>
      <w:r w:rsidRPr="00EB4D74">
        <w:rPr>
          <w:rFonts w:cs="Tahoma"/>
          <w:i/>
          <w:color w:val="000000"/>
          <w:sz w:val="16"/>
          <w:lang w:val="pt-BR"/>
        </w:rPr>
        <w:lastRenderedPageBreak/>
        <w:t>usada sozinha para permitir acesso à funcionalidade correspondente a essa licença base ou se foi usada em conjunto com o External Connector Adicional de Uso Completo do CRM 4.0 para permitir acesso a toda a Funcionalidade do CRM 4.0.Os clientes terão um número de licenças do Conector Externo para CRM Server 2011 igual ao número de licenças do External Connector Limitado do CRM 4.0 que possuírem.</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color w:val="000000"/>
          <w:lang w:val="pt-BR"/>
        </w:rPr>
        <w:t xml:space="preserve">O direito de uso do software Microsoft Dynamics CRM 2011 pelos clientes é comprovado por esta nota de condição do produto e por evidências de suas licenças e seu Software Assurance correspondentes ao Microsoft Dynamics CRM 4.0. O direito de um cliente de usar o software Microsoft Dynamics CRM 2011 sob esta outorga de migração está sujeito aos termos e às condições do respectivo contrato de licenciamento por volume. </w:t>
      </w:r>
      <w:r w:rsidRPr="00EB4D74">
        <w:rPr>
          <w:rFonts w:cs="Tahoma"/>
          <w:lang w:val="pt-BR"/>
        </w:rPr>
        <w:t xml:space="preserve">Esse direito cessará em caso de término ou rescisão do direito de usar o Microsoft </w:t>
      </w:r>
      <w:r w:rsidRPr="00EB4D74">
        <w:rPr>
          <w:rFonts w:cs="Tahoma"/>
          <w:color w:val="000000"/>
          <w:lang w:val="pt-BR"/>
        </w:rPr>
        <w:t>Dynamics CRM 4.0</w:t>
      </w:r>
      <w:r w:rsidRPr="00EB4D74">
        <w:rPr>
          <w:rFonts w:cs="Tahoma"/>
          <w:lang w:val="pt-BR"/>
        </w:rPr>
        <w:t xml:space="preserve"> de acordo com as licenças do Microsoft </w:t>
      </w:r>
      <w:r w:rsidRPr="00EB4D74">
        <w:rPr>
          <w:rFonts w:cs="Tahoma"/>
          <w:color w:val="000000"/>
          <w:lang w:val="pt-BR"/>
        </w:rPr>
        <w:t xml:space="preserve">Dynamics CRM 4.0 </w:t>
      </w:r>
      <w:r w:rsidRPr="00EB4D74">
        <w:rPr>
          <w:rFonts w:cs="Tahoma"/>
          <w:lang w:val="pt-BR"/>
        </w:rPr>
        <w:t xml:space="preserve">qualificadas correspondentes. </w:t>
      </w:r>
      <w:r w:rsidRPr="00EB4D74">
        <w:rPr>
          <w:rFonts w:cs="Tahoma"/>
          <w:color w:val="000000"/>
          <w:lang w:val="pt-BR"/>
        </w:rPr>
        <w:t>Ao término da cobertura do SA sobre as licenças do Microsoft Dynamics CRM 4.0, o cliente poderá renovar o SA para as licenças outorgadas do Microsoft Dynamics CRM 2011.</w:t>
      </w:r>
    </w:p>
    <w:p w:rsidR="008B1196" w:rsidRPr="00EB4D74" w:rsidRDefault="008B1196" w:rsidP="008B1196">
      <w:pPr>
        <w:ind w:left="720"/>
        <w:rPr>
          <w:rFonts w:cs="Tahoma"/>
          <w:lang w:val="pt-BR"/>
        </w:rPr>
      </w:pPr>
    </w:p>
    <w:p w:rsidR="008B1196" w:rsidRPr="00EB4D74" w:rsidRDefault="008B1196" w:rsidP="008B1196">
      <w:pPr>
        <w:ind w:left="720"/>
        <w:rPr>
          <w:rFonts w:cs="Tahoma"/>
          <w:lang w:val="it-IT"/>
        </w:rPr>
      </w:pPr>
      <w:r w:rsidRPr="00EB4D74">
        <w:rPr>
          <w:rFonts w:cs="Tahoma"/>
          <w:color w:val="000000"/>
          <w:lang w:val="pt-BR"/>
        </w:rPr>
        <w:t>Essa oferta também é válida para clientes cujas licenças do Microsoft Dynamics CRM 4.0 tiverem sido obtidas como resultado de uma migração de outro produto, contanto que o cliente tenha um SA ativo para essas licenças a partir de 1° de abril de 2011.</w:t>
      </w:r>
    </w:p>
    <w:p w:rsidR="008B1196" w:rsidRPr="00EB4D74" w:rsidRDefault="008B1196" w:rsidP="008B1196">
      <w:pPr>
        <w:ind w:left="720"/>
        <w:rPr>
          <w:rFonts w:cs="Tahoma"/>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sz w:val="18"/>
          <w:szCs w:val="18"/>
          <w:lang w:val="it-IT"/>
        </w:rPr>
        <w:t>Para os clientes de Contratos Enterprise qualificados para essas licenças gratuitas e esses direitos conforme descrito acima, as licenças do Microsoft Dynamics CRM 4.0 adquiridas como parte do processo anual de adequação (“true-up”) de um cliente durante o prazo do registro atual também serão licenças de qualificação.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highlight w:val="yellow"/>
          <w:lang w:val="it-IT"/>
        </w:rPr>
      </w:pPr>
      <w:r w:rsidRPr="00EB4D74">
        <w:rPr>
          <w:rFonts w:ascii="Tahoma" w:hAnsi="Tahoma" w:cs="Tahoma"/>
          <w:bCs/>
          <w:color w:val="000000"/>
          <w:sz w:val="18"/>
          <w:szCs w:val="18"/>
          <w:lang w:val="it-IT"/>
        </w:rPr>
        <w:t xml:space="preserve">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 </w:t>
      </w:r>
      <w:r w:rsidRPr="00EB4D74">
        <w:rPr>
          <w:rFonts w:ascii="Tahoma" w:hAnsi="Tahoma" w:cs="Tahoma"/>
          <w:color w:val="000000"/>
          <w:sz w:val="18"/>
          <w:szCs w:val="18"/>
          <w:lang w:val="it-IT"/>
        </w:rPr>
        <w:t>Esses direitos só se tornarão permanentes se a opção de compra (“buy-out”) for exercida e continuarão sujeitos a todos os termos e condições do contrato de licença do cliente.</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lang w:val="pt-BR"/>
        </w:rPr>
        <w:t>Direitos de Downgrade para Microsoft Dynamics CRM 2011</w:t>
      </w:r>
    </w:p>
    <w:p w:rsidR="008B1196" w:rsidRPr="00EB4D74" w:rsidRDefault="008B1196" w:rsidP="008B1196">
      <w:pPr>
        <w:ind w:left="720"/>
        <w:rPr>
          <w:rFonts w:cs="Tahoma"/>
        </w:rPr>
      </w:pPr>
      <w:r w:rsidRPr="00EB4D74">
        <w:rPr>
          <w:rFonts w:cs="Tahoma"/>
          <w:lang w:val="pt-BR"/>
        </w:rPr>
        <w:t>Os clientes com licenças do Microsoft Dynamics CRM 2011 podem usar o Microsoft Dynamics CRM 4.0 no lugar do Microsoft Dynamics CRM 2011. Essas licenças do Microsoft Dynamics CRM 2011 podem ser implantadas como licenças CRM 4.0 da seguinte maneira:</w:t>
      </w:r>
    </w:p>
    <w:p w:rsidR="008B1196" w:rsidRPr="00EB4D74" w:rsidRDefault="008B1196" w:rsidP="008B1196">
      <w:pPr>
        <w:ind w:left="720"/>
        <w:rPr>
          <w:rFonts w:cs="Tahoma"/>
        </w:rPr>
      </w:pPr>
    </w:p>
    <w:tbl>
      <w:tblPr>
        <w:tblW w:w="8280" w:type="dxa"/>
        <w:tblInd w:w="720" w:type="dxa"/>
        <w:tblCellMar>
          <w:left w:w="0" w:type="dxa"/>
          <w:right w:w="0" w:type="dxa"/>
        </w:tblCellMar>
        <w:tblLook w:val="04A0" w:firstRow="1" w:lastRow="0" w:firstColumn="1" w:lastColumn="0" w:noHBand="0" w:noVBand="1"/>
      </w:tblPr>
      <w:tblGrid>
        <w:gridCol w:w="4140"/>
        <w:gridCol w:w="4140"/>
      </w:tblGrid>
      <w:tr w:rsidR="008B1196" w:rsidRPr="00EB4D74" w:rsidTr="00EA30FC">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B1196" w:rsidRPr="00EB4D74" w:rsidRDefault="008B1196" w:rsidP="00EA30FC">
            <w:pPr>
              <w:ind w:left="360"/>
              <w:rPr>
                <w:rFonts w:cs="Tahoma"/>
                <w:b/>
                <w:bCs/>
                <w:szCs w:val="20"/>
              </w:rPr>
            </w:pPr>
            <w:r w:rsidRPr="00EB4D74">
              <w:rPr>
                <w:rFonts w:cs="Tahoma"/>
                <w:b/>
                <w:bCs/>
                <w:szCs w:val="20"/>
                <w:lang w:val="pt-BR"/>
              </w:rPr>
              <w:t>Licença do Microsoft Dynamics CRM 2011 Qualificada</w:t>
            </w:r>
          </w:p>
        </w:tc>
        <w:tc>
          <w:tcPr>
            <w:tcW w:w="4140" w:type="dxa"/>
            <w:tcBorders>
              <w:top w:val="single" w:sz="8" w:space="0" w:color="000000"/>
              <w:left w:val="nil"/>
              <w:bottom w:val="single" w:sz="8" w:space="0" w:color="000000"/>
              <w:right w:val="single" w:sz="8" w:space="0" w:color="auto"/>
            </w:tcBorders>
            <w:shd w:val="clear" w:color="auto" w:fill="FABF8F"/>
          </w:tcPr>
          <w:p w:rsidR="008B1196" w:rsidRPr="00EB4D74" w:rsidRDefault="008B1196" w:rsidP="00EA30FC">
            <w:pPr>
              <w:ind w:left="360"/>
              <w:rPr>
                <w:rFonts w:cs="Tahoma"/>
                <w:b/>
                <w:bCs/>
                <w:szCs w:val="20"/>
              </w:rPr>
            </w:pPr>
            <w:r w:rsidRPr="00EB4D74">
              <w:rPr>
                <w:rFonts w:cs="Tahoma"/>
                <w:b/>
                <w:bCs/>
                <w:szCs w:val="20"/>
                <w:lang w:val="pt-BR"/>
              </w:rPr>
              <w:t>Licenças do CRM 4.0 Correspondentes</w:t>
            </w:r>
          </w:p>
        </w:tc>
      </w:tr>
      <w:tr w:rsidR="008B1196" w:rsidRPr="00EB4D74"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1196" w:rsidRPr="00EB4D74" w:rsidRDefault="008B1196" w:rsidP="00EA30FC">
            <w:pPr>
              <w:rPr>
                <w:rFonts w:cs="Tahoma"/>
                <w:color w:val="000000"/>
                <w:szCs w:val="20"/>
                <w:lang w:val="it-IT"/>
              </w:rPr>
            </w:pPr>
            <w:r w:rsidRPr="00EB4D74">
              <w:rPr>
                <w:rFonts w:cs="Tahoma"/>
                <w:lang w:val="pt-BR"/>
              </w:rPr>
              <w:t>CAL Aditiva de Uso Total para Microsoft Dynamics CRM 2011</w:t>
            </w:r>
          </w:p>
        </w:tc>
        <w:tc>
          <w:tcPr>
            <w:tcW w:w="4140" w:type="dxa"/>
            <w:tcBorders>
              <w:top w:val="nil"/>
              <w:left w:val="nil"/>
              <w:bottom w:val="single" w:sz="8" w:space="0" w:color="000000"/>
              <w:right w:val="single" w:sz="8" w:space="0" w:color="000000"/>
            </w:tcBorders>
            <w:vAlign w:val="center"/>
          </w:tcPr>
          <w:p w:rsidR="008B1196" w:rsidRPr="00EB4D74" w:rsidRDefault="008B1196" w:rsidP="00EA30FC">
            <w:pPr>
              <w:pStyle w:val="ColorfulList-Accent11"/>
              <w:spacing w:line="276" w:lineRule="auto"/>
              <w:ind w:left="288" w:right="162" w:hanging="180"/>
              <w:rPr>
                <w:rFonts w:ascii="Tahoma" w:hAnsi="Tahoma" w:cs="Tahoma"/>
                <w:sz w:val="18"/>
                <w:szCs w:val="18"/>
                <w:lang w:val="it-IT"/>
              </w:rPr>
            </w:pPr>
            <w:r w:rsidRPr="00EB4D74">
              <w:rPr>
                <w:rFonts w:ascii="Tahoma" w:hAnsi="Tahoma" w:cs="Tahoma"/>
                <w:sz w:val="18"/>
                <w:szCs w:val="18"/>
                <w:lang w:val="pt-BR"/>
              </w:rPr>
              <w:t>Uma CAL Aditiva de Uso Total para Microsoft Dynamics CRM 4.0</w:t>
            </w:r>
          </w:p>
        </w:tc>
      </w:tr>
      <w:tr w:rsidR="008B1196" w:rsidRPr="00EB4D74"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1196" w:rsidRPr="00EB4D74" w:rsidRDefault="008B1196" w:rsidP="00EA30FC">
            <w:pPr>
              <w:rPr>
                <w:rFonts w:cs="Tahoma"/>
                <w:color w:val="000000"/>
                <w:szCs w:val="20"/>
                <w:lang w:val="it-IT"/>
              </w:rPr>
            </w:pPr>
            <w:r w:rsidRPr="00EB4D74">
              <w:rPr>
                <w:rFonts w:cs="Tahoma"/>
                <w:lang w:val="pt-BR"/>
              </w:rPr>
              <w:t>CAL Aditiva de Uso Limitado para Microsoft Dynamics CRM 2011</w:t>
            </w:r>
          </w:p>
        </w:tc>
        <w:tc>
          <w:tcPr>
            <w:tcW w:w="4140" w:type="dxa"/>
            <w:tcBorders>
              <w:top w:val="nil"/>
              <w:left w:val="nil"/>
              <w:bottom w:val="single" w:sz="8" w:space="0" w:color="000000"/>
              <w:right w:val="single" w:sz="8" w:space="0" w:color="000000"/>
            </w:tcBorders>
            <w:vAlign w:val="center"/>
          </w:tcPr>
          <w:p w:rsidR="008B1196" w:rsidRPr="00EB4D74" w:rsidRDefault="008B1196" w:rsidP="00EA30FC">
            <w:pPr>
              <w:pStyle w:val="ColorfulList-Accent11"/>
              <w:spacing w:line="276" w:lineRule="auto"/>
              <w:ind w:left="288" w:right="162" w:hanging="180"/>
              <w:rPr>
                <w:rFonts w:ascii="Tahoma" w:hAnsi="Tahoma" w:cs="Tahoma"/>
                <w:sz w:val="18"/>
                <w:szCs w:val="18"/>
                <w:lang w:val="it-IT"/>
              </w:rPr>
            </w:pPr>
            <w:r w:rsidRPr="00EB4D74">
              <w:rPr>
                <w:rFonts w:ascii="Tahoma" w:hAnsi="Tahoma" w:cs="Tahoma"/>
                <w:sz w:val="18"/>
                <w:szCs w:val="18"/>
                <w:lang w:val="pt-BR"/>
              </w:rPr>
              <w:t>Uma CAL Limitada para Microsoft Dynamics CRM 4.0</w:t>
            </w:r>
          </w:p>
        </w:tc>
      </w:tr>
      <w:tr w:rsidR="008B1196" w:rsidRPr="00EB4D74"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1196" w:rsidRPr="00EB4D74" w:rsidRDefault="008B1196" w:rsidP="00EA30FC">
            <w:pPr>
              <w:rPr>
                <w:rFonts w:cs="Tahoma"/>
                <w:szCs w:val="20"/>
              </w:rPr>
            </w:pPr>
            <w:r w:rsidRPr="00EB4D74">
              <w:rPr>
                <w:rFonts w:cs="Tahoma"/>
                <w:szCs w:val="20"/>
                <w:lang w:val="pt-BR"/>
              </w:rPr>
              <w:t>Conector Externo para Microsoft Dynamics CRM 2011</w:t>
            </w:r>
          </w:p>
        </w:tc>
        <w:tc>
          <w:tcPr>
            <w:tcW w:w="4140" w:type="dxa"/>
            <w:tcBorders>
              <w:top w:val="nil"/>
              <w:left w:val="nil"/>
              <w:bottom w:val="single" w:sz="8" w:space="0" w:color="000000"/>
              <w:right w:val="single" w:sz="8" w:space="0" w:color="000000"/>
            </w:tcBorders>
            <w:vAlign w:val="center"/>
          </w:tcPr>
          <w:p w:rsidR="008B1196" w:rsidRPr="00EB4D74" w:rsidRDefault="008B1196" w:rsidP="00EA30FC">
            <w:pPr>
              <w:pStyle w:val="ColorfulList-Accent11"/>
              <w:spacing w:line="276" w:lineRule="auto"/>
              <w:ind w:left="288" w:right="162" w:hanging="180"/>
              <w:rPr>
                <w:rFonts w:ascii="Tahoma" w:hAnsi="Tahoma" w:cs="Tahoma"/>
                <w:sz w:val="18"/>
                <w:szCs w:val="18"/>
              </w:rPr>
            </w:pPr>
            <w:r w:rsidRPr="00EB4D74">
              <w:rPr>
                <w:rFonts w:ascii="Tahoma" w:hAnsi="Tahoma" w:cs="Tahoma"/>
                <w:sz w:val="18"/>
                <w:szCs w:val="18"/>
                <w:lang w:val="pt-BR"/>
              </w:rPr>
              <w:t>1 External Connector Limitado do Microsoft Dynamics CRM 4.0</w:t>
            </w:r>
          </w:p>
          <w:p w:rsidR="008B1196" w:rsidRPr="00EB4D74" w:rsidRDefault="008B1196" w:rsidP="00EA30FC">
            <w:pPr>
              <w:pStyle w:val="ColorfulList-Accent11"/>
              <w:spacing w:line="276" w:lineRule="auto"/>
              <w:ind w:left="288" w:right="162" w:hanging="180"/>
              <w:jc w:val="center"/>
              <w:rPr>
                <w:rFonts w:ascii="Tahoma" w:hAnsi="Tahoma" w:cs="Tahoma"/>
                <w:sz w:val="18"/>
                <w:szCs w:val="18"/>
              </w:rPr>
            </w:pPr>
            <w:r w:rsidRPr="00EB4D74">
              <w:rPr>
                <w:rFonts w:ascii="Tahoma" w:hAnsi="Tahoma" w:cs="Tahoma"/>
                <w:sz w:val="18"/>
                <w:szCs w:val="18"/>
                <w:lang w:val="pt-BR"/>
              </w:rPr>
              <w:t>E</w:t>
            </w:r>
          </w:p>
          <w:p w:rsidR="008B1196" w:rsidRPr="00EB4D74" w:rsidRDefault="008B1196" w:rsidP="00EA30FC">
            <w:pPr>
              <w:pStyle w:val="ColorfulList-Accent11"/>
              <w:spacing w:line="276" w:lineRule="auto"/>
              <w:ind w:left="288" w:right="162" w:hanging="180"/>
              <w:rPr>
                <w:rFonts w:ascii="Tahoma" w:hAnsi="Tahoma" w:cs="Tahoma"/>
                <w:sz w:val="18"/>
                <w:szCs w:val="18"/>
              </w:rPr>
            </w:pPr>
            <w:r w:rsidRPr="00EB4D74">
              <w:rPr>
                <w:rFonts w:ascii="Tahoma" w:hAnsi="Tahoma" w:cs="Tahoma"/>
                <w:sz w:val="18"/>
                <w:szCs w:val="18"/>
                <w:lang w:val="pt-BR"/>
              </w:rPr>
              <w:t>1 External Connector Adicional de Uso Completo do Microsoft Dynamics CRM 4.0</w:t>
            </w:r>
          </w:p>
        </w:tc>
      </w:tr>
      <w:tr w:rsidR="008B1196" w:rsidRPr="00EB4D74"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B1196" w:rsidRPr="00EB4D74" w:rsidRDefault="008B1196" w:rsidP="00EA30FC">
            <w:pPr>
              <w:rPr>
                <w:rFonts w:cs="Tahoma"/>
                <w:color w:val="000000"/>
                <w:szCs w:val="20"/>
              </w:rPr>
            </w:pPr>
            <w:r w:rsidRPr="00EB4D74">
              <w:rPr>
                <w:rFonts w:cs="Tahoma"/>
                <w:color w:val="000000"/>
                <w:szCs w:val="20"/>
                <w:lang w:val="pt-BR"/>
              </w:rPr>
              <w:t>Microsoft Dynamics CRM Server 2011</w:t>
            </w:r>
          </w:p>
        </w:tc>
        <w:tc>
          <w:tcPr>
            <w:tcW w:w="4140" w:type="dxa"/>
            <w:tcBorders>
              <w:top w:val="nil"/>
              <w:left w:val="nil"/>
              <w:bottom w:val="single" w:sz="8" w:space="0" w:color="000000"/>
              <w:right w:val="single" w:sz="8" w:space="0" w:color="000000"/>
            </w:tcBorders>
          </w:tcPr>
          <w:p w:rsidR="008B1196" w:rsidRPr="00EB4D74" w:rsidRDefault="008B1196" w:rsidP="00EA30FC">
            <w:pPr>
              <w:pStyle w:val="ColorfulList-Accent11"/>
              <w:spacing w:line="276" w:lineRule="auto"/>
              <w:ind w:left="288" w:right="162" w:hanging="180"/>
              <w:rPr>
                <w:rFonts w:ascii="Tahoma" w:hAnsi="Tahoma" w:cs="Tahoma"/>
                <w:sz w:val="18"/>
                <w:szCs w:val="18"/>
              </w:rPr>
            </w:pPr>
            <w:r w:rsidRPr="00EB4D74">
              <w:rPr>
                <w:rFonts w:ascii="Tahoma" w:hAnsi="Tahoma" w:cs="Tahoma"/>
                <w:sz w:val="18"/>
                <w:szCs w:val="18"/>
                <w:lang w:val="pt-BR"/>
              </w:rPr>
              <w:t>1 Microsoft Dynamics CRM 4.0 Professional Server</w:t>
            </w:r>
          </w:p>
          <w:p w:rsidR="008B1196" w:rsidRPr="00EB4D74" w:rsidRDefault="008B1196" w:rsidP="00EA30FC">
            <w:pPr>
              <w:pStyle w:val="ColorfulList-Accent11"/>
              <w:spacing w:line="276" w:lineRule="auto"/>
              <w:ind w:left="288" w:right="162" w:hanging="180"/>
              <w:jc w:val="center"/>
              <w:rPr>
                <w:rFonts w:ascii="Tahoma" w:hAnsi="Tahoma" w:cs="Tahoma"/>
                <w:sz w:val="18"/>
                <w:szCs w:val="18"/>
              </w:rPr>
            </w:pPr>
            <w:r w:rsidRPr="00EB4D74">
              <w:rPr>
                <w:rFonts w:ascii="Tahoma" w:hAnsi="Tahoma" w:cs="Tahoma"/>
                <w:sz w:val="18"/>
                <w:szCs w:val="18"/>
                <w:lang w:val="pt-BR"/>
              </w:rPr>
              <w:t>OU</w:t>
            </w:r>
          </w:p>
          <w:p w:rsidR="008B1196" w:rsidRPr="00EB4D74" w:rsidRDefault="008B1196" w:rsidP="00EA30FC">
            <w:pPr>
              <w:pStyle w:val="ColorfulList-Accent11"/>
              <w:spacing w:line="276" w:lineRule="auto"/>
              <w:ind w:left="288" w:right="162" w:hanging="180"/>
              <w:rPr>
                <w:rFonts w:ascii="Tahoma" w:hAnsi="Tahoma" w:cs="Tahoma"/>
                <w:sz w:val="18"/>
                <w:szCs w:val="18"/>
              </w:rPr>
            </w:pPr>
            <w:r w:rsidRPr="00EB4D74">
              <w:rPr>
                <w:rFonts w:ascii="Tahoma" w:hAnsi="Tahoma" w:cs="Tahoma"/>
                <w:sz w:val="18"/>
                <w:szCs w:val="18"/>
                <w:lang w:val="pt-BR"/>
              </w:rPr>
              <w:t>1 Microsoft Dynamics CRM 4.0 Enterprise Server</w:t>
            </w:r>
          </w:p>
        </w:tc>
      </w:tr>
      <w:tr w:rsidR="008B1196" w:rsidRPr="00EB4D74" w:rsidTr="00EA30FC">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B1196" w:rsidRPr="00EB4D74" w:rsidRDefault="008B1196" w:rsidP="00EA30FC">
            <w:pPr>
              <w:rPr>
                <w:rFonts w:cs="Tahoma"/>
                <w:color w:val="000000"/>
                <w:szCs w:val="20"/>
              </w:rPr>
            </w:pPr>
            <w:r w:rsidRPr="00EB4D74">
              <w:rPr>
                <w:rFonts w:cs="Tahoma"/>
                <w:color w:val="000000"/>
                <w:lang w:val="pt-BR"/>
              </w:rPr>
              <w:t>Microsoft Dynamics CRM Workgroup Server 2011</w:t>
            </w:r>
          </w:p>
        </w:tc>
        <w:tc>
          <w:tcPr>
            <w:tcW w:w="4140" w:type="dxa"/>
            <w:tcBorders>
              <w:top w:val="nil"/>
              <w:left w:val="nil"/>
              <w:bottom w:val="single" w:sz="8" w:space="0" w:color="000000"/>
              <w:right w:val="single" w:sz="8" w:space="0" w:color="000000"/>
            </w:tcBorders>
          </w:tcPr>
          <w:p w:rsidR="008B1196" w:rsidRPr="00EB4D74" w:rsidRDefault="008B1196" w:rsidP="00EA30FC">
            <w:pPr>
              <w:pStyle w:val="ColorfulList-Accent11"/>
              <w:spacing w:line="276" w:lineRule="auto"/>
              <w:ind w:left="288" w:right="162" w:hanging="180"/>
              <w:rPr>
                <w:rFonts w:ascii="Tahoma" w:hAnsi="Tahoma" w:cs="Tahoma"/>
                <w:sz w:val="18"/>
                <w:szCs w:val="18"/>
              </w:rPr>
            </w:pPr>
            <w:r w:rsidRPr="00EB4D74">
              <w:rPr>
                <w:rFonts w:ascii="Tahoma" w:hAnsi="Tahoma" w:cs="Tahoma"/>
                <w:sz w:val="18"/>
                <w:szCs w:val="18"/>
                <w:lang w:val="pt-BR"/>
              </w:rPr>
              <w:t>1 Microsoft Dynamics CRM 4.0 Workgroup Server</w:t>
            </w:r>
          </w:p>
        </w:tc>
      </w:tr>
    </w:tbl>
    <w:p w:rsidR="008B1196" w:rsidRPr="00EB4D74" w:rsidRDefault="008B1196" w:rsidP="008B1196">
      <w:pPr>
        <w:rPr>
          <w:rFonts w:cs="Tahoma"/>
        </w:rPr>
      </w:pPr>
    </w:p>
    <w:p w:rsidR="008B1196" w:rsidRPr="00EB4D74" w:rsidRDefault="008B1196" w:rsidP="008B1196">
      <w:pPr>
        <w:ind w:left="720"/>
        <w:rPr>
          <w:rFonts w:cs="Tahoma"/>
          <w:lang w:val="pt-BR"/>
        </w:rPr>
      </w:pPr>
      <w:r w:rsidRPr="00EB4D74">
        <w:rPr>
          <w:rFonts w:cs="Tahoma"/>
          <w:szCs w:val="20"/>
          <w:lang w:val="pt-BR"/>
        </w:rPr>
        <w:t xml:space="preserve">O direito de o cliente usar o Microsoft Dynamics CRM 4.0 está sujeito aos termos e às condições do contrato de licença do cliente, aos direitos de uso de produto do Microsoft Dynamics CRM 4.0 e a estes termos. </w:t>
      </w:r>
      <w:r w:rsidRPr="00EB4D74">
        <w:rPr>
          <w:rFonts w:cs="Tahoma"/>
          <w:lang w:val="pt-BR"/>
        </w:rPr>
        <w:t>Esse direito expirará em caso de término ou rescisão do direito de usar o Microsoft Dynamics CRM 2011 sob as licenças do Microsoft Dynamics CRM 2011 qualificadas.</w:t>
      </w:r>
    </w:p>
    <w:p w:rsidR="008B1196" w:rsidRPr="00EB4D74" w:rsidRDefault="008B1196" w:rsidP="008B1196">
      <w:pPr>
        <w:ind w:left="540"/>
        <w:rPr>
          <w:rFonts w:cs="Tahoma"/>
          <w:lang w:val="pt-BR"/>
        </w:rPr>
      </w:pPr>
    </w:p>
    <w:p w:rsidR="008B1196" w:rsidRPr="00EB4D74" w:rsidRDefault="008B1196" w:rsidP="008B1196">
      <w:pPr>
        <w:spacing w:after="60"/>
        <w:ind w:left="720"/>
        <w:rPr>
          <w:rFonts w:cs="Tahoma"/>
          <w:lang w:val="it-IT"/>
        </w:rPr>
      </w:pPr>
      <w:r w:rsidRPr="00EB4D74">
        <w:rPr>
          <w:rFonts w:cs="Tahoma"/>
          <w:b/>
          <w:color w:val="000000"/>
          <w:lang w:val="pt-BR"/>
        </w:rPr>
        <w:t>Opções de Licença da Licença de Acesso para Cliente e External Connector</w:t>
      </w:r>
    </w:p>
    <w:p w:rsidR="008B1196" w:rsidRPr="00EB4D74" w:rsidRDefault="008B1196" w:rsidP="008B1196">
      <w:pPr>
        <w:ind w:left="720"/>
        <w:rPr>
          <w:rFonts w:cs="Tahoma"/>
          <w:lang w:val="it-IT"/>
        </w:rPr>
      </w:pPr>
      <w:r w:rsidRPr="00EB4D74">
        <w:rPr>
          <w:rFonts w:cs="Tahoma"/>
          <w:color w:val="000000"/>
          <w:lang w:val="pt-BR"/>
        </w:rPr>
        <w:t>Os usos permitidos sob as CALs diferentes do Microsoft Dynamics CRM 2011 são destacados na tabela a seguir. A CAL Limitada e a CAL Completa são ofertas que incluem várias licenças.</w:t>
      </w:r>
    </w:p>
    <w:p w:rsidR="008B1196" w:rsidRPr="002D5AC9" w:rsidRDefault="008B1196" w:rsidP="008B1196">
      <w:pPr>
        <w:pStyle w:val="ListParagraph"/>
        <w:ind w:left="0"/>
        <w:rPr>
          <w:rFonts w:ascii="Tahoma" w:hAnsi="Tahoma" w:cs="Tahoma"/>
          <w:sz w:val="16"/>
          <w:szCs w:val="16"/>
          <w:lang w:val="it-IT"/>
        </w:rPr>
      </w:pPr>
    </w:p>
    <w:tbl>
      <w:tblPr>
        <w:tblW w:w="0" w:type="auto"/>
        <w:tblInd w:w="598" w:type="dxa"/>
        <w:tblLayout w:type="fixed"/>
        <w:tblCellMar>
          <w:left w:w="58" w:type="dxa"/>
          <w:right w:w="58" w:type="dxa"/>
        </w:tblCellMar>
        <w:tblLook w:val="04A0" w:firstRow="1" w:lastRow="0" w:firstColumn="1" w:lastColumn="0" w:noHBand="0" w:noVBand="1"/>
      </w:tblPr>
      <w:tblGrid>
        <w:gridCol w:w="2340"/>
        <w:gridCol w:w="720"/>
        <w:gridCol w:w="1080"/>
        <w:gridCol w:w="1170"/>
        <w:gridCol w:w="1125"/>
        <w:gridCol w:w="1143"/>
        <w:gridCol w:w="1300"/>
      </w:tblGrid>
      <w:tr w:rsidR="008B1196" w:rsidRPr="00EB4D74" w:rsidTr="00EA30FC">
        <w:trPr>
          <w:cantSplit/>
          <w:trHeight w:val="226"/>
          <w:tblHeader/>
        </w:trPr>
        <w:tc>
          <w:tcPr>
            <w:tcW w:w="2340"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rPr>
            </w:pPr>
            <w:r w:rsidRPr="00EB4D74">
              <w:rPr>
                <w:rFonts w:ascii="Tahoma" w:hAnsi="Tahoma" w:cs="Tahoma"/>
                <w:color w:val="000000"/>
                <w:sz w:val="18"/>
                <w:szCs w:val="18"/>
                <w:lang w:val="pt-BR"/>
              </w:rPr>
              <w:t>Direito de Uso</w:t>
            </w:r>
          </w:p>
        </w:tc>
        <w:tc>
          <w:tcPr>
            <w:tcW w:w="720"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rPr>
            </w:pPr>
            <w:r w:rsidRPr="00EB4D74">
              <w:rPr>
                <w:rFonts w:ascii="Tahoma" w:hAnsi="Tahoma" w:cs="Tahoma"/>
                <w:color w:val="000000"/>
                <w:sz w:val="18"/>
                <w:szCs w:val="18"/>
                <w:lang w:val="pt-BR"/>
              </w:rPr>
              <w:t>CAL do ESS</w:t>
            </w:r>
          </w:p>
        </w:tc>
        <w:tc>
          <w:tcPr>
            <w:tcW w:w="1080"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rPr>
            </w:pPr>
            <w:r w:rsidRPr="00EB4D74">
              <w:rPr>
                <w:rFonts w:ascii="Tahoma" w:hAnsi="Tahoma" w:cs="Tahoma"/>
                <w:color w:val="000000"/>
                <w:sz w:val="18"/>
                <w:szCs w:val="18"/>
                <w:lang w:val="pt-BR"/>
              </w:rPr>
              <w:t>CAL Limitada</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rPr>
            </w:pPr>
            <w:r w:rsidRPr="00EB4D74">
              <w:rPr>
                <w:rFonts w:ascii="Tahoma" w:hAnsi="Tahoma" w:cs="Tahoma"/>
                <w:color w:val="000000"/>
                <w:sz w:val="18"/>
                <w:szCs w:val="18"/>
                <w:lang w:val="pt-BR"/>
              </w:rPr>
              <w:t>CAL Completa</w:t>
            </w:r>
          </w:p>
        </w:tc>
        <w:tc>
          <w:tcPr>
            <w:tcW w:w="1125"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lang w:val="it-IT"/>
              </w:rPr>
            </w:pPr>
            <w:r w:rsidRPr="00EB4D74">
              <w:rPr>
                <w:rFonts w:ascii="Tahoma" w:hAnsi="Tahoma" w:cs="Tahoma"/>
                <w:color w:val="000000"/>
                <w:sz w:val="18"/>
                <w:szCs w:val="18"/>
                <w:lang w:val="pt-BR"/>
              </w:rPr>
              <w:t>CAL Adicional de Uso Limitado</w:t>
            </w:r>
          </w:p>
        </w:tc>
        <w:tc>
          <w:tcPr>
            <w:tcW w:w="1143"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lang w:val="it-IT"/>
              </w:rPr>
            </w:pPr>
            <w:r w:rsidRPr="00EB4D74">
              <w:rPr>
                <w:rFonts w:ascii="Tahoma" w:hAnsi="Tahoma" w:cs="Tahoma"/>
                <w:color w:val="000000"/>
                <w:sz w:val="18"/>
                <w:szCs w:val="18"/>
                <w:lang w:val="pt-BR"/>
              </w:rPr>
              <w:t>CAL Adicional de Uso Completo</w:t>
            </w:r>
          </w:p>
        </w:tc>
        <w:tc>
          <w:tcPr>
            <w:tcW w:w="1300" w:type="dxa"/>
            <w:tcBorders>
              <w:top w:val="single" w:sz="4" w:space="0" w:color="auto"/>
              <w:left w:val="single" w:sz="4" w:space="0" w:color="auto"/>
              <w:bottom w:val="single" w:sz="4" w:space="0" w:color="auto"/>
              <w:right w:val="single" w:sz="4" w:space="0" w:color="auto"/>
            </w:tcBorders>
            <w:shd w:val="clear" w:color="auto" w:fill="FABF8F"/>
          </w:tcPr>
          <w:p w:rsidR="008B1196" w:rsidRPr="00EB4D74" w:rsidRDefault="008B1196" w:rsidP="00EA30FC">
            <w:pPr>
              <w:pStyle w:val="TableHeading"/>
              <w:rPr>
                <w:rFonts w:ascii="Tahoma" w:hAnsi="Tahoma" w:cs="Tahoma"/>
                <w:color w:val="000000"/>
                <w:sz w:val="18"/>
                <w:szCs w:val="18"/>
              </w:rPr>
            </w:pPr>
            <w:r w:rsidRPr="00EB4D74">
              <w:rPr>
                <w:rFonts w:ascii="Tahoma" w:hAnsi="Tahoma" w:cs="Tahoma"/>
                <w:color w:val="000000"/>
                <w:sz w:val="18"/>
                <w:szCs w:val="18"/>
                <w:lang w:val="pt-BR"/>
              </w:rPr>
              <w:t>External Connector</w:t>
            </w:r>
          </w:p>
        </w:tc>
      </w:tr>
      <w:tr w:rsidR="008B1196" w:rsidRPr="00EB4D74" w:rsidTr="00EA30FC">
        <w:trPr>
          <w:cantSplit/>
          <w:trHeight w:val="199"/>
        </w:trPr>
        <w:tc>
          <w:tcPr>
            <w:tcW w:w="2340" w:type="dxa"/>
            <w:tcBorders>
              <w:top w:val="single" w:sz="4" w:space="0" w:color="auto"/>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Criar Contas usando Acesso à API</w:t>
            </w:r>
          </w:p>
        </w:tc>
        <w:tc>
          <w:tcPr>
            <w:tcW w:w="720" w:type="dxa"/>
            <w:tcBorders>
              <w:top w:val="single" w:sz="4" w:space="0" w:color="auto"/>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4" w:space="0" w:color="auto"/>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4" w:space="0" w:color="auto"/>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4" w:space="0" w:color="auto"/>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4" w:space="0" w:color="auto"/>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Height w:val="352"/>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fr-FR"/>
              </w:rPr>
            </w:pPr>
            <w:r w:rsidRPr="00EB4D74">
              <w:rPr>
                <w:rFonts w:ascii="Tahoma" w:hAnsi="Tahoma" w:cs="Tahoma"/>
                <w:sz w:val="18"/>
                <w:lang w:val="pt-BR"/>
              </w:rPr>
              <w:t>Criar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Criar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Criar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Criar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lang w:val="pt-BR"/>
              </w:rPr>
              <w:t>Criar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lang w:val="pt-BR"/>
              </w:rPr>
              <w:t>Atualizar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lang w:val="pt-BR"/>
              </w:rPr>
              <w:t>Atualizar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Atualizar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Atualizar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Atualizar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a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lastRenderedPageBreak/>
              <w:t>Anexar a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a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a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a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Anexar a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Excluir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Excluir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Excluir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Notas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Atribuir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Atribuir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Atribuir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Atribuir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Atribuir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Atribuir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Compartilhar Contas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Compartilhar Contatos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Compartilhar Casos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Leads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Atividades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lastRenderedPageBreak/>
              <w:t>Compartilhar registros de entidades personalizados usando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Criar Contas usando os clientes do Microsoft Dynamics CRM</w:t>
            </w:r>
            <w:r w:rsidRPr="00EB4D74">
              <w:rPr>
                <w:rFonts w:ascii="Tahoma" w:hAnsi="Tahoma" w:cs="Tahoma"/>
                <w:b/>
                <w:sz w:val="18"/>
                <w:vertAlign w:val="superscript"/>
                <w:lang w:val="pt-BR"/>
              </w:rPr>
              <w:t>1</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Criar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Criar Notas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Atualizar Contas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Atualizar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Notas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Contas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lastRenderedPageBreak/>
              <w:t>Anexar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Notas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Contas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Notas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Contas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Notas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Atribuir Contas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Atribuir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Atribuir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lastRenderedPageBreak/>
              <w:t>Atribuir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Atribuir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Height w:val="309"/>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Atribuir Contas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Contatos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Casos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Leads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Atividades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2</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lang w:val="pt-BR"/>
              </w:rPr>
              <w:t>Criar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privilégios aos registros de atividades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3</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3</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privilégios aos registros de entidades personalizados (excluindo os registros de atividades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Anexar a privilégios aos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Excluir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lastRenderedPageBreak/>
              <w:t>Atribuir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registros de entidades personalizados usando os clientes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Customer Care Accelerator Framework</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Criar Consultas de “Localização Avançada”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Salvar Consultas de “Localização Avançada”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Exibições Pessoais</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Painel do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Painel do Sistema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Painel pessoal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Compartilhar Painel pessoal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Fluxo de Trabalho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Fluxo de Trabalho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Executar um fluxo de trabalho automatizado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Executar um fluxo de trabalho sob demanda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Caixa de Diálogo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Atualizar Caixa de Diálogo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Iniciar Caixa de Diálogo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5</w:t>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5</w:t>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Criar Relatório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Executar Relatório</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Executar Mala Direta</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Exportar dados para o Microsoft Excel</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Seguir e publicar feeds de atividades sobre registros de entidades personalizados de Contas, Contatos e Leads usando o acesso à API</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rPr>
            </w:pPr>
            <w:r w:rsidRPr="00EB4D74">
              <w:rPr>
                <w:rFonts w:ascii="Tahoma" w:hAnsi="Tahoma" w:cs="Tahoma"/>
                <w:sz w:val="18"/>
                <w:szCs w:val="18"/>
                <w:lang w:val="pt-BR"/>
              </w:rPr>
              <w:t>Seguir e publicar feeds de atividades sobre registros de entidades padrão do Dynamics CRM Standard usando clientes do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2D5AC9" w:rsidRDefault="008B1196" w:rsidP="00EA30FC">
            <w:pPr>
              <w:pStyle w:val="TableText"/>
              <w:jc w:val="left"/>
              <w:rPr>
                <w:rFonts w:ascii="Tahoma" w:hAnsi="Tahoma" w:cs="Tahoma"/>
                <w:spacing w:val="-2"/>
                <w:sz w:val="18"/>
                <w:szCs w:val="18"/>
              </w:rPr>
            </w:pPr>
            <w:r w:rsidRPr="002D5AC9">
              <w:rPr>
                <w:rFonts w:ascii="Tahoma" w:hAnsi="Tahoma" w:cs="Tahoma"/>
                <w:spacing w:val="-2"/>
                <w:sz w:val="18"/>
                <w:szCs w:val="18"/>
                <w:lang w:val="pt-BR"/>
              </w:rPr>
              <w:lastRenderedPageBreak/>
              <w:t>Seguir e publicar feeds de atividades sobre registros de entidades personalizados usando clientes do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Acesso de Leitura para funcionalidade completa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4</w:t>
            </w:r>
          </w:p>
        </w:tc>
      </w:tr>
      <w:tr w:rsidR="008B1196" w:rsidRPr="00EB4D74" w:rsidTr="00EA30FC">
        <w:trPr>
          <w:cantSplit/>
        </w:trPr>
        <w:tc>
          <w:tcPr>
            <w:tcW w:w="2340" w:type="dxa"/>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jc w:val="left"/>
              <w:rPr>
                <w:rFonts w:ascii="Tahoma" w:hAnsi="Tahoma" w:cs="Tahoma"/>
                <w:sz w:val="18"/>
                <w:szCs w:val="18"/>
                <w:lang w:val="it-IT"/>
              </w:rPr>
            </w:pPr>
            <w:r w:rsidRPr="00EB4D74">
              <w:rPr>
                <w:rFonts w:ascii="Tahoma" w:hAnsi="Tahoma" w:cs="Tahoma"/>
                <w:sz w:val="18"/>
                <w:szCs w:val="18"/>
                <w:lang w:val="pt-BR"/>
              </w:rPr>
              <w:t>Acesso de Gravação para funcionalidade completa do Microsoft Dynamics CRM</w:t>
            </w:r>
          </w:p>
        </w:tc>
        <w:tc>
          <w:tcPr>
            <w:tcW w:w="72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08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lang w:val="it-IT"/>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125"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p>
        </w:tc>
        <w:tc>
          <w:tcPr>
            <w:tcW w:w="1143"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p>
        </w:tc>
        <w:tc>
          <w:tcPr>
            <w:tcW w:w="1300" w:type="dxa"/>
            <w:tcBorders>
              <w:top w:val="single" w:sz="6" w:space="0" w:color="1F497D"/>
              <w:left w:val="single" w:sz="6" w:space="0" w:color="1F497D"/>
              <w:bottom w:val="single" w:sz="6" w:space="0" w:color="1F497D"/>
              <w:right w:val="single" w:sz="6" w:space="0" w:color="1F497D"/>
            </w:tcBorders>
            <w:shd w:val="clear" w:color="auto" w:fill="FFFFFF"/>
          </w:tcPr>
          <w:p w:rsidR="008B1196" w:rsidRPr="00EB4D74" w:rsidRDefault="008B1196" w:rsidP="00EA30FC">
            <w:pPr>
              <w:pStyle w:val="TableText"/>
              <w:rPr>
                <w:rFonts w:eastAsia="Times New Roman" w:cs="Tahoma"/>
                <w:b/>
                <w:sz w:val="24"/>
                <w:szCs w:val="24"/>
              </w:rPr>
            </w:pPr>
            <w:r w:rsidRPr="00EB4D74">
              <w:rPr>
                <w:rFonts w:cs="Tahoma"/>
                <w:b/>
                <w:sz w:val="24"/>
                <w:szCs w:val="24"/>
              </w:rPr>
              <w:sym w:font="Wingdings" w:char="F0FC"/>
            </w:r>
            <w:r w:rsidRPr="00EB4D74">
              <w:rPr>
                <w:rFonts w:cs="Tahoma"/>
                <w:b/>
                <w:sz w:val="24"/>
                <w:szCs w:val="24"/>
                <w:vertAlign w:val="superscript"/>
              </w:rPr>
              <w:t>4</w:t>
            </w:r>
          </w:p>
        </w:tc>
      </w:tr>
      <w:tr w:rsidR="008B1196" w:rsidRPr="00EB4D74" w:rsidTr="00EA30FC">
        <w:trPr>
          <w:cantSplit/>
        </w:trPr>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8B1196" w:rsidRPr="00EB4D74" w:rsidRDefault="008B1196" w:rsidP="00EA30FC">
            <w:pPr>
              <w:pStyle w:val="TableText"/>
              <w:ind w:left="230" w:hanging="230"/>
              <w:jc w:val="left"/>
              <w:rPr>
                <w:rFonts w:ascii="Tahoma" w:hAnsi="Tahoma" w:cs="Tahoma"/>
              </w:rPr>
            </w:pPr>
            <w:r w:rsidRPr="00EB4D74">
              <w:rPr>
                <w:rFonts w:ascii="Tahoma" w:hAnsi="Tahoma" w:cs="Tahoma"/>
                <w:i/>
                <w:sz w:val="14"/>
                <w:lang w:val="pt-BR"/>
              </w:rPr>
              <w:t>(1) Cliente da Web do Microsoft Dynamics CRM, Cliente do Microsoft Dynamics CRM para Microsoft Outlook e Mobile Express para Microsoft Dynamics CRM.</w:t>
            </w:r>
          </w:p>
          <w:p w:rsidR="008B1196" w:rsidRPr="00EB4D74" w:rsidRDefault="008B1196" w:rsidP="00EA30FC">
            <w:pPr>
              <w:pStyle w:val="TableText"/>
              <w:jc w:val="left"/>
              <w:rPr>
                <w:rFonts w:ascii="Tahoma" w:hAnsi="Tahoma" w:cs="Tahoma"/>
                <w:lang w:val="it-IT"/>
              </w:rPr>
            </w:pPr>
            <w:r w:rsidRPr="00EB4D74">
              <w:rPr>
                <w:rFonts w:ascii="Tahoma" w:hAnsi="Tahoma" w:cs="Tahoma"/>
                <w:i/>
                <w:sz w:val="14"/>
                <w:lang w:val="pt-BR"/>
              </w:rPr>
              <w:t>(2) Privilégios aplicáveis apenas a registros criados pelo mesmo usuário.</w:t>
            </w:r>
          </w:p>
          <w:p w:rsidR="008B1196" w:rsidRPr="00EB4D74" w:rsidRDefault="008B1196" w:rsidP="00EA30FC">
            <w:pPr>
              <w:pStyle w:val="TableText"/>
              <w:jc w:val="left"/>
              <w:rPr>
                <w:rFonts w:ascii="Tahoma" w:hAnsi="Tahoma" w:cs="Tahoma"/>
                <w:lang w:val="it-IT"/>
              </w:rPr>
            </w:pPr>
            <w:r w:rsidRPr="00EB4D74">
              <w:rPr>
                <w:rFonts w:ascii="Tahoma" w:hAnsi="Tahoma" w:cs="Tahoma"/>
                <w:i/>
                <w:sz w:val="14"/>
                <w:lang w:val="pt-BR"/>
              </w:rPr>
              <w:t>(3) Privilégios aplicáveis APENAS a atividades personalizadas.</w:t>
            </w:r>
          </w:p>
          <w:p w:rsidR="008B1196" w:rsidRPr="00EB4D74" w:rsidRDefault="008B1196" w:rsidP="00EA30FC">
            <w:pPr>
              <w:ind w:left="230" w:hanging="230"/>
              <w:rPr>
                <w:rFonts w:cs="Tahoma"/>
                <w:lang w:val="pt-BR"/>
              </w:rPr>
            </w:pPr>
            <w:r w:rsidRPr="00EB4D74">
              <w:rPr>
                <w:rFonts w:cs="Tahoma"/>
                <w:i/>
                <w:sz w:val="14"/>
                <w:lang w:val="pt-BR"/>
              </w:rPr>
              <w:t xml:space="preserve">(4) Privilégios para criar registros; anexar, anexar a e atualizar registros criados por qualquer usuário CRM. </w:t>
            </w:r>
            <w:r w:rsidRPr="00EB4D74">
              <w:rPr>
                <w:rFonts w:cs="Tahoma"/>
                <w:i/>
                <w:sz w:val="14"/>
                <w:u w:val="single"/>
                <w:lang w:val="pt-BR"/>
              </w:rPr>
              <w:t>Nenhum privilégio de dados</w:t>
            </w:r>
            <w:r w:rsidRPr="00EB4D74">
              <w:rPr>
                <w:rFonts w:cs="Tahoma"/>
                <w:i/>
                <w:sz w:val="14"/>
                <w:lang w:val="pt-BR"/>
              </w:rPr>
              <w:t xml:space="preserve"> para ceder, compartilhar ou excluir registros. Acesso apenas à API.</w:t>
            </w:r>
          </w:p>
          <w:p w:rsidR="008B1196" w:rsidRPr="00EB4D74" w:rsidRDefault="008B1196" w:rsidP="00EA30FC">
            <w:pPr>
              <w:rPr>
                <w:rFonts w:eastAsia="Times New Roman" w:cs="Tahoma"/>
                <w:b/>
                <w:bCs/>
                <w:szCs w:val="18"/>
                <w:lang w:val="pt-BR"/>
              </w:rPr>
            </w:pPr>
            <w:r w:rsidRPr="00EB4D74">
              <w:rPr>
                <w:rFonts w:cs="Tahoma"/>
                <w:i/>
                <w:sz w:val="14"/>
                <w:lang w:val="pt-BR"/>
              </w:rPr>
              <w:t>(5) Contas, Contatos, Casos, Leads, Atividades e registros de entidades personalizados apenas.</w:t>
            </w:r>
          </w:p>
        </w:tc>
      </w:tr>
    </w:tbl>
    <w:p w:rsidR="008B1196" w:rsidRPr="00EB4D74" w:rsidRDefault="008B1196" w:rsidP="008B1196">
      <w:pPr>
        <w:ind w:left="540"/>
        <w:rPr>
          <w:rFonts w:cs="Tahoma"/>
          <w:sz w:val="16"/>
          <w:szCs w:val="20"/>
          <w:lang w:val="pt-BR"/>
        </w:rPr>
      </w:pPr>
    </w:p>
    <w:p w:rsidR="008B1196" w:rsidRPr="00EB4D74" w:rsidRDefault="008B1196" w:rsidP="008B1196">
      <w:pPr>
        <w:ind w:left="720"/>
        <w:rPr>
          <w:rFonts w:cs="Tahoma"/>
          <w:lang w:val="it-IT"/>
        </w:rPr>
      </w:pPr>
      <w:bookmarkStart w:id="1347" w:name="_69_Office_365"/>
      <w:bookmarkStart w:id="1348" w:name="_69_68_Office"/>
      <w:bookmarkEnd w:id="1347"/>
      <w:bookmarkEnd w:id="1348"/>
      <w:r w:rsidRPr="00EB4D74">
        <w:rPr>
          <w:rFonts w:cs="Tahoma"/>
          <w:kern w:val="18"/>
          <w:lang w:val="pt-BR"/>
        </w:rPr>
        <w:t>Consulte o guia de licenciamento e preços do Microsoft Dynamics CRM 2011 para obter informações adicionais sobre licenças do Microsoft Dynamics CRM.</w:t>
      </w:r>
    </w:p>
    <w:p w:rsidR="008B1196" w:rsidRPr="00EB4D74" w:rsidRDefault="008B1196" w:rsidP="008B1196">
      <w:pPr>
        <w:ind w:left="720"/>
        <w:rPr>
          <w:rFonts w:cs="Tahoma"/>
          <w:sz w:val="16"/>
          <w:szCs w:val="20"/>
          <w:lang w:val="it-IT"/>
        </w:rPr>
      </w:pPr>
    </w:p>
    <w:p w:rsidR="008B1196" w:rsidRPr="00EB4D74" w:rsidRDefault="008B1196" w:rsidP="008B1196">
      <w:pPr>
        <w:spacing w:after="60"/>
        <w:ind w:left="720"/>
        <w:rPr>
          <w:rFonts w:cs="Tahoma"/>
          <w:lang w:val="it-IT"/>
        </w:rPr>
      </w:pPr>
      <w:bookmarkStart w:id="1349" w:name="_71_Office_365_1"/>
      <w:bookmarkStart w:id="1350" w:name="Srv_70Office365PlanE1"/>
      <w:bookmarkEnd w:id="1349"/>
      <w:bookmarkEnd w:id="1350"/>
      <w:r w:rsidRPr="00EB4D74">
        <w:rPr>
          <w:rFonts w:cs="Tahoma"/>
          <w:b/>
          <w:color w:val="000000"/>
          <w:lang w:val="pt-BR"/>
        </w:rPr>
        <w:t>Licença do Site de Exame de Certificação do Microsoft Office Specialist (MOS)</w:t>
      </w:r>
    </w:p>
    <w:p w:rsidR="008B1196" w:rsidRPr="00EB4D74" w:rsidRDefault="008B1196" w:rsidP="008B1196">
      <w:pPr>
        <w:ind w:left="720"/>
        <w:rPr>
          <w:rFonts w:cs="Tahoma"/>
          <w:lang w:val="it-IT"/>
        </w:rPr>
      </w:pPr>
      <w:r w:rsidRPr="00EB4D74">
        <w:rPr>
          <w:rFonts w:cs="Tahoma"/>
          <w:lang w:val="pt-BR"/>
        </w:rPr>
        <w:t xml:space="preserve">Você terá que ser um centro de exames autorizado Certiport para usar a licença do site. Se você for um centro de exames autorizado Certiport, precisará passar por este processo para se </w:t>
      </w:r>
      <w:hyperlink r:id="rId36" w:history="1">
        <w:r w:rsidRPr="00F83E68">
          <w:rPr>
            <w:rStyle w:val="Hyperlink"/>
            <w:rFonts w:cs="Tahoma"/>
            <w:lang w:val="pt-BR"/>
          </w:rPr>
          <w:t>se tornar um centro de testes Certiport</w:t>
        </w:r>
      </w:hyperlink>
      <w:r w:rsidRPr="00EB4D74">
        <w:rPr>
          <w:rFonts w:cs="Tahoma"/>
          <w:lang w:val="pt-BR"/>
        </w:rPr>
        <w:t xml:space="preserve"> antes de poder usar a licença do site</w:t>
      </w:r>
      <w:r w:rsidRPr="00EB4D74">
        <w:rPr>
          <w:rFonts w:cs="Tahoma"/>
          <w:color w:val="1F497D"/>
          <w:lang w:val="pt-BR"/>
        </w:rPr>
        <w:t>.</w:t>
      </w:r>
    </w:p>
    <w:p w:rsidR="008B1196" w:rsidRPr="00EB4D74" w:rsidRDefault="008B1196" w:rsidP="008B1196">
      <w:pPr>
        <w:ind w:left="720"/>
        <w:rPr>
          <w:rFonts w:cs="Tahoma"/>
          <w:sz w:val="16"/>
          <w:szCs w:val="20"/>
          <w:lang w:val="it-IT"/>
        </w:rPr>
      </w:pPr>
    </w:p>
    <w:p w:rsidR="008B1196" w:rsidRPr="00EB4D74" w:rsidRDefault="008B1196" w:rsidP="008B1196">
      <w:pPr>
        <w:spacing w:after="60"/>
        <w:ind w:left="720"/>
        <w:rPr>
          <w:rFonts w:cs="Tahoma"/>
        </w:rPr>
      </w:pPr>
      <w:r w:rsidRPr="00EB4D74">
        <w:rPr>
          <w:rFonts w:cs="Tahoma"/>
          <w:b/>
          <w:lang w:val="pt-BR"/>
        </w:rPr>
        <w:t>Licença do Site de Exame do Microsoft Technology Associate (MTA)</w:t>
      </w:r>
    </w:p>
    <w:p w:rsidR="008B1196" w:rsidRPr="00EB4D74" w:rsidRDefault="008B1196" w:rsidP="008B1196">
      <w:pPr>
        <w:ind w:left="720"/>
        <w:rPr>
          <w:rFonts w:cs="Tahoma"/>
          <w:lang w:val="pt-BR"/>
        </w:rPr>
      </w:pPr>
      <w:r w:rsidRPr="00EB4D74">
        <w:rPr>
          <w:rFonts w:cs="Tahoma"/>
          <w:lang w:val="pt-BR"/>
        </w:rPr>
        <w:t xml:space="preserve">Você terá que ser um centro de exames autorizado Certiport para usar a licença do site. </w:t>
      </w:r>
      <w:bookmarkStart w:id="1351" w:name="_Toc336338329"/>
      <w:r w:rsidRPr="00EB4D74">
        <w:rPr>
          <w:rFonts w:cs="Tahoma"/>
          <w:lang w:val="pt-BR"/>
        </w:rPr>
        <w:t xml:space="preserve">Se você for um centro de exames autorizado Certiport, precisará passar por este processo para </w:t>
      </w:r>
      <w:hyperlink r:id="rId37" w:history="1">
        <w:r w:rsidRPr="00F83E68">
          <w:rPr>
            <w:rStyle w:val="Hyperlink"/>
            <w:rFonts w:cs="Tahoma"/>
            <w:lang w:val="pt-BR"/>
          </w:rPr>
          <w:t>se tornar um centro de testes Certiport</w:t>
        </w:r>
      </w:hyperlink>
      <w:r w:rsidRPr="00EB4D74">
        <w:rPr>
          <w:rFonts w:cs="Tahoma"/>
          <w:lang w:val="pt-BR"/>
        </w:rPr>
        <w:t xml:space="preserve"> antes de poder </w:t>
      </w:r>
      <w:r w:rsidRPr="00EB4D74">
        <w:rPr>
          <w:rFonts w:cs="Tahoma"/>
          <w:color w:val="1F497D"/>
          <w:u w:val="single"/>
          <w:lang w:val="pt-BR"/>
        </w:rPr>
        <w:t>adquirir e</w:t>
      </w:r>
      <w:r w:rsidRPr="00EB4D74">
        <w:rPr>
          <w:rFonts w:cs="Tahoma"/>
          <w:lang w:val="pt-BR"/>
        </w:rPr>
        <w:t xml:space="preserve"> usar a licença do site</w:t>
      </w:r>
      <w:r w:rsidRPr="00EB4D74">
        <w:rPr>
          <w:rFonts w:cs="Tahoma"/>
          <w:color w:val="1F497D"/>
          <w:lang w:val="pt-BR"/>
        </w:rPr>
        <w:t>.</w:t>
      </w:r>
    </w:p>
    <w:p w:rsidR="008B1196" w:rsidRPr="00EB4D74" w:rsidRDefault="008B1196" w:rsidP="008B1196">
      <w:pPr>
        <w:rPr>
          <w:rFonts w:cs="Tahoma"/>
          <w:sz w:val="16"/>
          <w:szCs w:val="20"/>
          <w:lang w:val="pt-BR"/>
        </w:rPr>
      </w:pPr>
    </w:p>
    <w:p w:rsidR="008B1196" w:rsidRPr="00EB4D74" w:rsidRDefault="008B1196" w:rsidP="008B1196">
      <w:pPr>
        <w:rPr>
          <w:rFonts w:cs="Tahoma"/>
          <w:sz w:val="16"/>
          <w:szCs w:val="20"/>
          <w:lang w:val="pt-BR"/>
        </w:rPr>
      </w:pPr>
    </w:p>
    <w:p w:rsidR="008B1196" w:rsidRPr="00EB4D74" w:rsidRDefault="008B1196" w:rsidP="008B1196">
      <w:pPr>
        <w:pStyle w:val="Heading2"/>
        <w:ind w:left="0"/>
        <w:rPr>
          <w:rFonts w:ascii="Tahoma" w:hAnsi="Tahoma" w:cs="Tahoma"/>
          <w:lang w:val="pt-BR"/>
        </w:rPr>
      </w:pPr>
      <w:bookmarkStart w:id="1352" w:name="_65Office_365_Plano"/>
      <w:bookmarkStart w:id="1353" w:name="_Toc342914960"/>
      <w:bookmarkEnd w:id="1351"/>
      <w:bookmarkEnd w:id="1352"/>
      <w:r w:rsidRPr="00EB4D74">
        <w:rPr>
          <w:rFonts w:ascii="Tahoma" w:hAnsi="Tahoma" w:cs="Tahoma"/>
          <w:caps/>
          <w:color w:val="FF6600"/>
          <w:sz w:val="22"/>
          <w:vertAlign w:val="superscript"/>
          <w:lang w:val="pt-BR"/>
        </w:rPr>
        <w:t>65</w:t>
      </w:r>
      <w:r w:rsidRPr="00EB4D74">
        <w:rPr>
          <w:rFonts w:ascii="Tahoma" w:hAnsi="Tahoma" w:cs="Tahoma"/>
          <w:caps/>
          <w:color w:val="FF6600"/>
          <w:sz w:val="22"/>
          <w:lang w:val="pt-BR"/>
        </w:rPr>
        <w:t xml:space="preserve"> </w:t>
      </w:r>
      <w:r w:rsidRPr="00EB4D74">
        <w:rPr>
          <w:rFonts w:ascii="Tahoma" w:hAnsi="Tahoma" w:cs="Tahoma"/>
          <w:color w:val="FF6600"/>
          <w:sz w:val="22"/>
          <w:lang w:val="pt-BR"/>
        </w:rPr>
        <w:t>Office 365 Plano E1</w:t>
      </w:r>
      <w:bookmarkEnd w:id="1353"/>
    </w:p>
    <w:p w:rsidR="008B1196" w:rsidRPr="00EB4D74" w:rsidRDefault="008B1196" w:rsidP="008B1196">
      <w:pPr>
        <w:ind w:left="900"/>
        <w:rPr>
          <w:rFonts w:cs="Tahoma"/>
          <w:sz w:val="16"/>
          <w:szCs w:val="20"/>
          <w:lang w:val="pt-BR"/>
        </w:rPr>
      </w:pPr>
    </w:p>
    <w:p w:rsidR="008B1196" w:rsidRPr="00EB4D74" w:rsidRDefault="008B1196" w:rsidP="008B1196">
      <w:pPr>
        <w:ind w:left="720"/>
        <w:rPr>
          <w:rFonts w:cs="Tahoma"/>
          <w:lang w:val="it-IT"/>
        </w:rPr>
      </w:pPr>
      <w:r w:rsidRPr="00EB4D74">
        <w:rPr>
          <w:rFonts w:cs="Tahoma"/>
          <w:color w:val="000000"/>
          <w:lang w:val="pt-BR"/>
        </w:rPr>
        <w:t>O Office 365 Plano E1 era conhecido anteriormente como Business Productivity Online Standard Suite (BPOS Standard). Ele permite acesso ao seguinte: Exchange Online Plano 1, SharePoint Online Plano 1, Lync Online Plano 2. Essa lista está sujeita a alterações. Os Direitos de Uso de Produto atuais prevalecerão caso haja conflitos entre os termos da licença do Office 365 Plano E1 e esta observação.</w:t>
      </w:r>
    </w:p>
    <w:p w:rsidR="008B1196" w:rsidRPr="00EB4D74" w:rsidRDefault="008B1196" w:rsidP="008B1196">
      <w:pPr>
        <w:ind w:left="720"/>
        <w:rPr>
          <w:rFonts w:cs="Tahoma"/>
          <w:sz w:val="16"/>
          <w:szCs w:val="20"/>
          <w:lang w:val="it-IT"/>
        </w:rPr>
      </w:pPr>
    </w:p>
    <w:p w:rsidR="008B1196" w:rsidRPr="00EB4D74" w:rsidRDefault="008B1196" w:rsidP="008B1196">
      <w:pPr>
        <w:ind w:left="720"/>
        <w:rPr>
          <w:rFonts w:cs="Tahoma"/>
          <w:lang w:val="pt-BR"/>
        </w:rPr>
      </w:pPr>
      <w:r w:rsidRPr="00EB4D74">
        <w:rPr>
          <w:rFonts w:cs="Tahoma"/>
          <w:color w:val="000000"/>
          <w:szCs w:val="18"/>
          <w:lang w:val="pt-BR"/>
        </w:rPr>
        <w:t xml:space="preserve">O Lync Online Plano 1 e Plano 2 e Plan exigem a compra e instalação separada do Microsoft Lync 2010 (ou Lync for Mac 2011). Como oferta por tempo limitado, os clientes licenciados para o Lync Online receberão uma cópia licenciada gratuita do Lync 2010 (ou Lync for Mac 2011) com cada licença de avaliação ou licença de assinatura paga do Lync Online. </w:t>
      </w:r>
      <w:r w:rsidRPr="00EB4D74">
        <w:rPr>
          <w:rFonts w:cs="Tahoma"/>
          <w:color w:val="000000"/>
          <w:lang w:val="pt-BR"/>
        </w:rPr>
        <w:t>O software só poderá ser usado com o Lync Online, e todos os direitos de uso do software se encerrarão ao término da licença de assinatura básica ou da migração para a próxima nova versão principal do Lync Online, o que ocorrer primeiro. Os clientes que ainda não tiverem migrado do Office Communications Online poderão usar o Office Communicator 2007 R2 de acordo com esta outorga de licença no lugar do Lync 2010 (ou Lync para Mac 2011).</w:t>
      </w:r>
    </w:p>
    <w:p w:rsidR="008B1196" w:rsidRPr="00EB4D74" w:rsidRDefault="008B1196" w:rsidP="008B1196">
      <w:pPr>
        <w:ind w:left="720"/>
        <w:rPr>
          <w:rFonts w:cs="Tahoma"/>
          <w:sz w:val="16"/>
          <w:szCs w:val="20"/>
          <w:lang w:val="pt-BR"/>
        </w:rPr>
      </w:pPr>
    </w:p>
    <w:p w:rsidR="008B1196" w:rsidRPr="00EB4D74" w:rsidRDefault="008B1196" w:rsidP="008B1196">
      <w:pPr>
        <w:ind w:left="720"/>
        <w:rPr>
          <w:rFonts w:cs="Tahoma"/>
          <w:spacing w:val="-4"/>
        </w:rPr>
      </w:pPr>
      <w:r w:rsidRPr="00EB4D74">
        <w:rPr>
          <w:rFonts w:cs="Tahoma"/>
          <w:color w:val="000000"/>
          <w:spacing w:val="-4"/>
          <w:lang w:val="pt-BR"/>
        </w:rPr>
        <w:t>Os clientes existentes ou de renovação que tiveram assinaturas ativas do Business Productivity Online Suite em 27 de junho de 2011 poderão continuar a acessar e usar o serviço Live Meeting nos termos de licença no PUR de março de 2011 depois que eles migração a partir do Business Productivity Online Suite para Office 365 Plano E1 e antes de 1º de abril de 2013 e a expiração das suas licenças de assinatura de usuário do Office 365 Plano E1 correspondentes. Os clientes cujos termos de assinatura se estendem além de 1º de abril de 2013 poderão acessar somente os componentes de serviço de Office 365 depois da data. Os clientes com novas assinaturas do Office 365 Plano E1 que começam depois de 27 de junho de 2011 poderão não acessar o Live Meeting.</w:t>
      </w:r>
    </w:p>
    <w:p w:rsidR="008B1196" w:rsidRPr="00EB4D74" w:rsidRDefault="008B1196" w:rsidP="008B1196">
      <w:pPr>
        <w:ind w:left="720"/>
        <w:rPr>
          <w:rFonts w:cs="Tahoma"/>
          <w:lang w:val="it-IT"/>
        </w:rPr>
      </w:pPr>
      <w:r w:rsidRPr="00EB4D74">
        <w:rPr>
          <w:rFonts w:cs="Tahoma"/>
          <w:color w:val="000000"/>
          <w:szCs w:val="18"/>
          <w:lang w:val="pt-BR"/>
        </w:rPr>
        <w:lastRenderedPageBreak/>
        <w:t xml:space="preserve">Os Clientes no Brasil e no Chile que comprarem o Office 365 Plano E1 receberão o BPOS Standard. </w:t>
      </w:r>
      <w:bookmarkStart w:id="1354" w:name="_71_Office_365"/>
      <w:bookmarkEnd w:id="1354"/>
      <w:r w:rsidRPr="00EB4D74">
        <w:rPr>
          <w:rFonts w:cs="Tahoma"/>
          <w:color w:val="000000"/>
          <w:lang w:val="pt-BR"/>
        </w:rPr>
        <w:t>Eles serão migrados para o Office 365 Plano 1 posteriormente.</w:t>
      </w:r>
    </w:p>
    <w:p w:rsidR="008B1196" w:rsidRDefault="008B1196" w:rsidP="008B1196">
      <w:pPr>
        <w:ind w:left="900"/>
        <w:rPr>
          <w:rFonts w:cs="Tahoma"/>
          <w:lang w:val="it-IT"/>
        </w:rPr>
      </w:pPr>
      <w:bookmarkStart w:id="1355" w:name="Srv_73Office365PlanG2toG4"/>
    </w:p>
    <w:p w:rsidR="008B1196" w:rsidRPr="00EB4D74" w:rsidRDefault="008B1196" w:rsidP="008B1196">
      <w:pPr>
        <w:ind w:left="900"/>
        <w:rPr>
          <w:rFonts w:cs="Tahoma"/>
          <w:lang w:val="it-IT"/>
        </w:rPr>
      </w:pPr>
    </w:p>
    <w:p w:rsidR="008B1196" w:rsidRPr="00EB4D74" w:rsidRDefault="008B1196" w:rsidP="008B1196">
      <w:pPr>
        <w:ind w:left="900"/>
        <w:rPr>
          <w:rFonts w:cs="Tahoma"/>
          <w:lang w:val="it-IT"/>
        </w:rPr>
      </w:pPr>
    </w:p>
    <w:p w:rsidR="008B1196" w:rsidRPr="00EB4D74" w:rsidRDefault="008B1196" w:rsidP="008B1196">
      <w:pPr>
        <w:pStyle w:val="Heading2"/>
        <w:ind w:left="0"/>
        <w:rPr>
          <w:rFonts w:ascii="Tahoma" w:hAnsi="Tahoma" w:cs="Tahoma"/>
          <w:lang w:val="it-IT"/>
        </w:rPr>
      </w:pPr>
      <w:bookmarkStart w:id="1356" w:name="_Toc336338330"/>
      <w:bookmarkStart w:id="1357" w:name="_66Office_365_Plano"/>
      <w:bookmarkStart w:id="1358" w:name="_Toc342914961"/>
      <w:bookmarkEnd w:id="1356"/>
      <w:bookmarkEnd w:id="1357"/>
      <w:r w:rsidRPr="00EB4D74">
        <w:rPr>
          <w:rFonts w:ascii="Tahoma" w:hAnsi="Tahoma" w:cs="Tahoma"/>
          <w:caps/>
          <w:color w:val="FF6600"/>
          <w:sz w:val="22"/>
          <w:vertAlign w:val="superscript"/>
          <w:lang w:val="pt-BR"/>
        </w:rPr>
        <w:t>66</w:t>
      </w:r>
      <w:r w:rsidRPr="00EB4D74">
        <w:rPr>
          <w:rFonts w:ascii="Tahoma" w:hAnsi="Tahoma" w:cs="Tahoma"/>
          <w:caps/>
          <w:color w:val="FF6600"/>
          <w:sz w:val="22"/>
          <w:lang w:val="pt-BR"/>
        </w:rPr>
        <w:t xml:space="preserve"> </w:t>
      </w:r>
      <w:r w:rsidRPr="00EB4D74">
        <w:rPr>
          <w:rFonts w:ascii="Tahoma" w:hAnsi="Tahoma" w:cs="Tahoma"/>
          <w:color w:val="FF6600"/>
          <w:sz w:val="22"/>
          <w:lang w:val="pt-BR"/>
        </w:rPr>
        <w:t>Office 365 Plano G1-G4</w:t>
      </w:r>
      <w:bookmarkEnd w:id="1358"/>
    </w:p>
    <w:p w:rsidR="008B1196" w:rsidRPr="00EB4D74" w:rsidRDefault="008B1196" w:rsidP="008B1196">
      <w:pPr>
        <w:rPr>
          <w:rFonts w:cs="Tahoma"/>
          <w:lang w:val="it-IT"/>
        </w:rPr>
      </w:pPr>
    </w:p>
    <w:bookmarkEnd w:id="1355"/>
    <w:p w:rsidR="008B1196" w:rsidRPr="00EB4D74" w:rsidRDefault="008B1196" w:rsidP="008B1196">
      <w:pPr>
        <w:ind w:left="720"/>
        <w:rPr>
          <w:rFonts w:cs="Tahoma"/>
        </w:rPr>
      </w:pPr>
      <w:r w:rsidRPr="00EB4D74">
        <w:rPr>
          <w:rFonts w:cs="Tahoma"/>
          <w:color w:val="000000"/>
          <w:lang w:val="pt-BR"/>
        </w:rPr>
        <w:t>O Office 365 Planos G1-G4 permite acesso aos seguintes Serviços Online:</w:t>
      </w:r>
    </w:p>
    <w:p w:rsidR="008B1196" w:rsidRPr="00EB4D74" w:rsidRDefault="008B1196" w:rsidP="008B1196">
      <w:pPr>
        <w:rPr>
          <w:rFonts w:cs="Tahoma"/>
        </w:rPr>
      </w:pPr>
    </w:p>
    <w:tbl>
      <w:tblPr>
        <w:tblW w:w="8676"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187"/>
        <w:gridCol w:w="2097"/>
        <w:gridCol w:w="2196"/>
      </w:tblGrid>
      <w:tr w:rsidR="008B1196" w:rsidRPr="00EB4D74" w:rsidTr="00EA30FC">
        <w:tc>
          <w:tcPr>
            <w:tcW w:w="2196"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G1</w:t>
            </w:r>
          </w:p>
        </w:tc>
        <w:tc>
          <w:tcPr>
            <w:tcW w:w="2187"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G2</w:t>
            </w:r>
          </w:p>
        </w:tc>
        <w:tc>
          <w:tcPr>
            <w:tcW w:w="2097"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G3</w:t>
            </w:r>
          </w:p>
        </w:tc>
        <w:tc>
          <w:tcPr>
            <w:tcW w:w="2196" w:type="dxa"/>
            <w:shd w:val="clear" w:color="auto" w:fill="FABF8F"/>
          </w:tcPr>
          <w:p w:rsidR="008B1196" w:rsidRPr="00EB4D74" w:rsidRDefault="008B1196" w:rsidP="00EA30FC">
            <w:pPr>
              <w:jc w:val="center"/>
              <w:rPr>
                <w:rFonts w:eastAsia="Times New Roman" w:cs="Tahoma"/>
                <w:b/>
                <w:color w:val="000000"/>
                <w:sz w:val="20"/>
              </w:rPr>
            </w:pPr>
            <w:r w:rsidRPr="00EB4D74">
              <w:rPr>
                <w:rFonts w:eastAsia="Times New Roman" w:cs="Tahoma"/>
                <w:b/>
                <w:color w:val="000000"/>
                <w:sz w:val="20"/>
                <w:lang w:val="pt-BR"/>
              </w:rPr>
              <w:t>Office 365 Plano G4</w:t>
            </w:r>
          </w:p>
        </w:tc>
      </w:tr>
      <w:tr w:rsidR="008B1196" w:rsidRPr="00EB4D74" w:rsidTr="00EA30FC">
        <w:tc>
          <w:tcPr>
            <w:tcW w:w="2196"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Exchange Online Plano 1</w:t>
            </w:r>
          </w:p>
        </w:tc>
        <w:tc>
          <w:tcPr>
            <w:tcW w:w="2187"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Exchange Online Plano 1</w:t>
            </w:r>
          </w:p>
        </w:tc>
        <w:tc>
          <w:tcPr>
            <w:tcW w:w="2097"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Exchange Online Plano 2</w:t>
            </w:r>
          </w:p>
        </w:tc>
        <w:tc>
          <w:tcPr>
            <w:tcW w:w="2196"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Exchange Online Plano 2</w:t>
            </w:r>
          </w:p>
        </w:tc>
      </w:tr>
      <w:tr w:rsidR="008B1196" w:rsidRPr="00EB4D74" w:rsidTr="00EA30FC">
        <w:tc>
          <w:tcPr>
            <w:tcW w:w="2196"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SharePoint Online Plano 1</w:t>
            </w:r>
          </w:p>
        </w:tc>
        <w:tc>
          <w:tcPr>
            <w:tcW w:w="2187"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SharePoint Online Plano 1</w:t>
            </w:r>
          </w:p>
        </w:tc>
        <w:tc>
          <w:tcPr>
            <w:tcW w:w="2097"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SharePoint Online Plano 2</w:t>
            </w:r>
          </w:p>
        </w:tc>
        <w:tc>
          <w:tcPr>
            <w:tcW w:w="2196"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SharePoint Online Plano 2</w:t>
            </w:r>
          </w:p>
        </w:tc>
      </w:tr>
      <w:tr w:rsidR="008B1196" w:rsidRPr="00EB4D74" w:rsidTr="00EA30FC">
        <w:tc>
          <w:tcPr>
            <w:tcW w:w="2196"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Lync Online Plano 2</w:t>
            </w:r>
          </w:p>
        </w:tc>
        <w:tc>
          <w:tcPr>
            <w:tcW w:w="2187"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Lync Online Plano 2</w:t>
            </w:r>
          </w:p>
        </w:tc>
        <w:tc>
          <w:tcPr>
            <w:tcW w:w="2097"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Lync Online Plano 2</w:t>
            </w:r>
          </w:p>
        </w:tc>
        <w:tc>
          <w:tcPr>
            <w:tcW w:w="2196"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Lync Online Plano 2</w:t>
            </w:r>
          </w:p>
        </w:tc>
      </w:tr>
      <w:tr w:rsidR="008B1196" w:rsidRPr="00EB4D74" w:rsidTr="00EA30FC">
        <w:tc>
          <w:tcPr>
            <w:tcW w:w="2196" w:type="dxa"/>
          </w:tcPr>
          <w:p w:rsidR="008B1196" w:rsidRPr="00EB4D74" w:rsidRDefault="008B1196" w:rsidP="00EA30FC">
            <w:pPr>
              <w:ind w:left="180" w:right="186"/>
              <w:rPr>
                <w:rFonts w:eastAsia="Times New Roman" w:cs="Tahoma"/>
                <w:color w:val="000000"/>
              </w:rPr>
            </w:pPr>
          </w:p>
        </w:tc>
        <w:tc>
          <w:tcPr>
            <w:tcW w:w="2187" w:type="dxa"/>
          </w:tcPr>
          <w:p w:rsidR="008B1196" w:rsidRPr="00EB4D74" w:rsidRDefault="008B1196" w:rsidP="00EA30FC">
            <w:pPr>
              <w:ind w:left="180" w:right="186"/>
              <w:rPr>
                <w:rFonts w:eastAsia="Times New Roman" w:cs="Tahoma"/>
                <w:color w:val="000000"/>
              </w:rPr>
            </w:pPr>
            <w:r w:rsidRPr="00EB4D74">
              <w:rPr>
                <w:rFonts w:eastAsia="Times New Roman" w:cs="Tahoma"/>
                <w:color w:val="000000"/>
                <w:lang w:val="pt-BR"/>
              </w:rPr>
              <w:t>Aplicativos da Web do Office (Hospedados pela Microsoft)</w:t>
            </w:r>
          </w:p>
        </w:tc>
        <w:tc>
          <w:tcPr>
            <w:tcW w:w="2097"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Aplicativos da Web do Office (Hospedados pela Microsoft)</w:t>
            </w:r>
          </w:p>
        </w:tc>
        <w:tc>
          <w:tcPr>
            <w:tcW w:w="2196" w:type="dxa"/>
          </w:tcPr>
          <w:p w:rsidR="008B1196" w:rsidRPr="00EB4D74" w:rsidRDefault="008B1196" w:rsidP="00EA30FC">
            <w:pPr>
              <w:ind w:left="186" w:right="180"/>
              <w:rPr>
                <w:rFonts w:eastAsia="Times New Roman" w:cs="Tahoma"/>
                <w:color w:val="000000"/>
              </w:rPr>
            </w:pPr>
            <w:r w:rsidRPr="00EB4D74">
              <w:rPr>
                <w:rFonts w:cs="Tahoma"/>
                <w:color w:val="000000"/>
                <w:lang w:val="pt-BR"/>
              </w:rPr>
              <w:t>Aplicativos da Web do Office (Hospedados pela Microsoft)</w:t>
            </w:r>
          </w:p>
        </w:tc>
      </w:tr>
      <w:tr w:rsidR="008B1196" w:rsidRPr="00EB4D74" w:rsidTr="00EA30FC">
        <w:tc>
          <w:tcPr>
            <w:tcW w:w="2196" w:type="dxa"/>
          </w:tcPr>
          <w:p w:rsidR="008B1196" w:rsidRPr="00EB4D74" w:rsidRDefault="008B1196" w:rsidP="00EA30FC">
            <w:pPr>
              <w:ind w:left="180" w:right="186"/>
              <w:rPr>
                <w:rFonts w:eastAsia="Times New Roman" w:cs="Tahoma"/>
                <w:color w:val="000000"/>
              </w:rPr>
            </w:pPr>
          </w:p>
        </w:tc>
        <w:tc>
          <w:tcPr>
            <w:tcW w:w="2187" w:type="dxa"/>
          </w:tcPr>
          <w:p w:rsidR="008B1196" w:rsidRPr="00EB4D74" w:rsidRDefault="008B1196" w:rsidP="00EA30FC">
            <w:pPr>
              <w:ind w:left="180" w:right="186"/>
              <w:rPr>
                <w:rFonts w:eastAsia="Times New Roman" w:cs="Tahoma"/>
                <w:color w:val="000000"/>
              </w:rPr>
            </w:pPr>
          </w:p>
        </w:tc>
        <w:tc>
          <w:tcPr>
            <w:tcW w:w="2097" w:type="dxa"/>
          </w:tcPr>
          <w:p w:rsidR="008B1196" w:rsidRPr="00EB4D74" w:rsidRDefault="008B1196" w:rsidP="00EA30FC">
            <w:pPr>
              <w:ind w:left="138" w:right="138"/>
              <w:rPr>
                <w:rFonts w:eastAsia="Times New Roman" w:cs="Tahoma"/>
                <w:color w:val="000000"/>
              </w:rPr>
            </w:pPr>
            <w:r w:rsidRPr="00EB4D74">
              <w:rPr>
                <w:rFonts w:eastAsia="Times New Roman" w:cs="Tahoma"/>
                <w:color w:val="000000"/>
                <w:lang w:val="pt-BR"/>
              </w:rPr>
              <w:t>Assinatura do Office Professional Plus</w:t>
            </w:r>
          </w:p>
        </w:tc>
        <w:tc>
          <w:tcPr>
            <w:tcW w:w="2196" w:type="dxa"/>
          </w:tcPr>
          <w:p w:rsidR="008B1196" w:rsidRPr="00EB4D74" w:rsidRDefault="008B1196" w:rsidP="00EA30FC">
            <w:pPr>
              <w:ind w:left="186" w:right="180"/>
              <w:rPr>
                <w:rFonts w:eastAsia="Times New Roman" w:cs="Tahoma"/>
                <w:color w:val="000000"/>
              </w:rPr>
            </w:pPr>
            <w:r w:rsidRPr="00EB4D74">
              <w:rPr>
                <w:rFonts w:eastAsia="Times New Roman" w:cs="Tahoma"/>
                <w:color w:val="000000"/>
                <w:lang w:val="pt-BR"/>
              </w:rPr>
              <w:t>Assinatura do Office Professional Plus</w:t>
            </w:r>
          </w:p>
        </w:tc>
      </w:tr>
    </w:tbl>
    <w:p w:rsidR="008B1196" w:rsidRPr="00EB4D74" w:rsidRDefault="008B1196" w:rsidP="008B1196">
      <w:pPr>
        <w:ind w:left="720"/>
        <w:rPr>
          <w:rFonts w:cs="Tahoma"/>
        </w:rPr>
      </w:pPr>
    </w:p>
    <w:p w:rsidR="008B1196" w:rsidRPr="00EB4D74" w:rsidRDefault="008B1196" w:rsidP="008B1196">
      <w:pPr>
        <w:ind w:left="720"/>
        <w:rPr>
          <w:rFonts w:cs="Tahoma"/>
          <w:spacing w:val="-2"/>
          <w:lang w:val="pt-BR"/>
        </w:rPr>
      </w:pPr>
      <w:r w:rsidRPr="00EB4D74">
        <w:rPr>
          <w:rFonts w:cs="Tahoma"/>
          <w:color w:val="000000"/>
          <w:spacing w:val="-2"/>
          <w:lang w:val="pt-BR"/>
        </w:rPr>
        <w:t>Essa lista está sujeita a alterações. Os Direitos de Uso de Produto atuais prevalecerão caso haja conflitos entre os termos da licença do Office 365 Plano G1 - G4 e esta observação. Os direitos de acesso adicionais, se houver, a softwares locais licenciados separadamente estão especificados nos Direitos de Uso de Produto.</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color w:val="000000"/>
          <w:lang w:val="pt-BR"/>
        </w:rPr>
        <w:t>O Lync Online Plano 1 e Plano 2 e Plan exigem a compra e instalação separada do Microsoft Lync 2010 (ou Lync for Mac 2011). Como oferta por tempo limitado, os clientes licenciados para o Lync Online receberão uma cópia licenciada gratuita do Lync 2010 (ou Lync for Mac 2011) com cada licença de avaliação ou licença de assinatura paga do Lync Online. O software só poderá ser usado com o Lync Online, e todos os direitos de uso do software se encerrarão ao término da licença de assinatura básica ou da migração para a próxima nova versão principal do Lync Online, o que ocorrer primeiro. Os clientes que ainda não tiverem migrado do Office Communications Online poderão usar o Office Communicator 2007 R2 de acordo com esta outorga de licença no lugar do Lync 2010 (ou Lync para Mac 2011).</w:t>
      </w:r>
    </w:p>
    <w:p w:rsidR="008B1196" w:rsidRPr="00EB4D74" w:rsidRDefault="008B1196" w:rsidP="008B1196">
      <w:pPr>
        <w:ind w:left="720"/>
        <w:rPr>
          <w:rFonts w:cs="Tahoma"/>
          <w:lang w:val="it-IT"/>
        </w:rPr>
      </w:pPr>
      <w:r w:rsidRPr="00EB4D74">
        <w:rPr>
          <w:rFonts w:cs="Tahoma"/>
          <w:color w:val="000000"/>
          <w:lang w:val="pt-BR"/>
        </w:rPr>
        <w:t>G1-G4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color w:val="000000"/>
          <w:lang w:val="pt-BR"/>
        </w:rPr>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 conforme indicado na tabela a seguir:</w:t>
      </w:r>
    </w:p>
    <w:p w:rsidR="008B1196" w:rsidRPr="00EB4D74" w:rsidRDefault="008B1196" w:rsidP="008B1196">
      <w:pPr>
        <w:ind w:left="900"/>
        <w:rPr>
          <w:rFonts w:cs="Tahoma"/>
          <w:lang w:val="it-IT"/>
        </w:rPr>
      </w:pPr>
    </w:p>
    <w:tbl>
      <w:tblPr>
        <w:tblW w:w="0" w:type="auto"/>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8B1196" w:rsidRPr="00EB4D74" w:rsidTr="00EA30FC">
        <w:tc>
          <w:tcPr>
            <w:tcW w:w="4202" w:type="dxa"/>
            <w:shd w:val="clear" w:color="auto" w:fill="FABF8F"/>
          </w:tcPr>
          <w:p w:rsidR="008B1196" w:rsidRPr="00EB4D74" w:rsidRDefault="008B1196" w:rsidP="00EA30FC">
            <w:pPr>
              <w:rPr>
                <w:rFonts w:eastAsia="Times New Roman" w:cs="Tahoma"/>
                <w:b/>
                <w:color w:val="000000"/>
                <w:sz w:val="20"/>
                <w:szCs w:val="20"/>
              </w:rPr>
            </w:pPr>
            <w:r w:rsidRPr="00EB4D74">
              <w:rPr>
                <w:rFonts w:eastAsia="Times New Roman" w:cs="Tahoma"/>
                <w:b/>
                <w:color w:val="000000"/>
                <w:sz w:val="20"/>
                <w:szCs w:val="20"/>
                <w:lang w:val="pt-BR"/>
              </w:rPr>
              <w:t>Office 365 Plano E</w:t>
            </w:r>
          </w:p>
        </w:tc>
        <w:tc>
          <w:tcPr>
            <w:tcW w:w="4366" w:type="dxa"/>
            <w:shd w:val="clear" w:color="auto" w:fill="FABF8F"/>
          </w:tcPr>
          <w:p w:rsidR="008B1196" w:rsidRPr="00EB4D74" w:rsidRDefault="008B1196" w:rsidP="00EA30FC">
            <w:pPr>
              <w:rPr>
                <w:rFonts w:eastAsia="Times New Roman" w:cs="Tahoma"/>
                <w:b/>
                <w:color w:val="000000"/>
                <w:sz w:val="20"/>
                <w:szCs w:val="20"/>
              </w:rPr>
            </w:pPr>
            <w:r w:rsidRPr="00EB4D74">
              <w:rPr>
                <w:rFonts w:eastAsia="Times New Roman" w:cs="Tahoma"/>
                <w:b/>
                <w:color w:val="000000"/>
                <w:sz w:val="20"/>
                <w:szCs w:val="20"/>
                <w:lang w:val="pt-BR"/>
              </w:rPr>
              <w:t>Serviço Office 365 Plano G com Direitos de uso equivalentes</w:t>
            </w:r>
          </w:p>
        </w:tc>
      </w:tr>
      <w:tr w:rsidR="008B1196" w:rsidRPr="00EB4D74" w:rsidTr="00EA30FC">
        <w:tc>
          <w:tcPr>
            <w:tcW w:w="4202"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E1</w:t>
            </w:r>
          </w:p>
        </w:tc>
        <w:tc>
          <w:tcPr>
            <w:tcW w:w="4366"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G1</w:t>
            </w:r>
          </w:p>
        </w:tc>
      </w:tr>
      <w:tr w:rsidR="008B1196" w:rsidRPr="00EB4D74" w:rsidTr="00EA30FC">
        <w:tc>
          <w:tcPr>
            <w:tcW w:w="4202"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E2</w:t>
            </w:r>
          </w:p>
        </w:tc>
        <w:tc>
          <w:tcPr>
            <w:tcW w:w="4366"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G2</w:t>
            </w:r>
          </w:p>
        </w:tc>
      </w:tr>
      <w:tr w:rsidR="008B1196" w:rsidRPr="00EB4D74" w:rsidTr="00EA30FC">
        <w:tc>
          <w:tcPr>
            <w:tcW w:w="4202"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E3</w:t>
            </w:r>
          </w:p>
        </w:tc>
        <w:tc>
          <w:tcPr>
            <w:tcW w:w="4366"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G3</w:t>
            </w:r>
          </w:p>
        </w:tc>
      </w:tr>
      <w:tr w:rsidR="008B1196" w:rsidRPr="00EB4D74" w:rsidTr="00EA30FC">
        <w:tc>
          <w:tcPr>
            <w:tcW w:w="4202"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E4</w:t>
            </w:r>
          </w:p>
        </w:tc>
        <w:tc>
          <w:tcPr>
            <w:tcW w:w="4366" w:type="dxa"/>
          </w:tcPr>
          <w:p w:rsidR="008B1196" w:rsidRPr="00EB4D74" w:rsidRDefault="008B1196" w:rsidP="00EA30FC">
            <w:pPr>
              <w:rPr>
                <w:rFonts w:eastAsia="Times New Roman" w:cs="Tahoma"/>
                <w:color w:val="000000"/>
              </w:rPr>
            </w:pPr>
            <w:r w:rsidRPr="00EB4D74">
              <w:rPr>
                <w:rFonts w:eastAsia="Times New Roman" w:cs="Tahoma"/>
                <w:color w:val="000000"/>
                <w:lang w:val="pt-BR"/>
              </w:rPr>
              <w:t>Office 365 Plano G4</w:t>
            </w:r>
          </w:p>
        </w:tc>
      </w:tr>
    </w:tbl>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rPr>
          <w:rFonts w:ascii="Tahoma" w:hAnsi="Tahoma" w:cs="Tahoma"/>
        </w:rPr>
      </w:pPr>
      <w:bookmarkStart w:id="1359" w:name="_59_Office_Communications"/>
      <w:bookmarkStart w:id="1360" w:name="_57_Office_Communications"/>
      <w:bookmarkStart w:id="1361" w:name="_59_Office_Groove"/>
      <w:bookmarkStart w:id="1362" w:name="_Toc336338331"/>
      <w:bookmarkStart w:id="1363" w:name="Srv_74Office365PlanK1K2"/>
      <w:bookmarkStart w:id="1364" w:name="_Toc342914962"/>
      <w:bookmarkEnd w:id="1359"/>
      <w:bookmarkEnd w:id="1360"/>
      <w:bookmarkEnd w:id="1361"/>
      <w:bookmarkEnd w:id="1362"/>
      <w:bookmarkEnd w:id="1363"/>
      <w:r w:rsidRPr="00EB4D74">
        <w:rPr>
          <w:rFonts w:ascii="Tahoma" w:hAnsi="Tahoma" w:cs="Tahoma"/>
          <w:caps/>
          <w:color w:val="F66400"/>
          <w:sz w:val="22"/>
          <w:szCs w:val="20"/>
          <w:vertAlign w:val="superscript"/>
        </w:rPr>
        <w:t xml:space="preserve">67 </w:t>
      </w:r>
      <w:r w:rsidRPr="00EB4D74">
        <w:rPr>
          <w:rFonts w:ascii="Tahoma" w:hAnsi="Tahoma" w:cs="Tahoma"/>
          <w:color w:val="F66400"/>
          <w:sz w:val="22"/>
          <w:lang w:val="pt-BR"/>
        </w:rPr>
        <w:t>Office 365 Planos K1 e K2 (SL de Usuário)</w:t>
      </w:r>
      <w:bookmarkEnd w:id="1364"/>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lastRenderedPageBreak/>
        <w:t>Não obstante quaisquer disposições em contrário nos contratos de licença dos clientes, entre os usuários qualificados não estão incluídos os usuários licenciados para o Quiosque do Exchange Online, Quiosque do SharePoint Online nem para o Office 365 Plano K1 e K2</w:t>
      </w:r>
    </w:p>
    <w:p w:rsidR="008B1196" w:rsidRPr="00EB4D74" w:rsidRDefault="008B1196" w:rsidP="008B1196">
      <w:pPr>
        <w:ind w:left="720"/>
        <w:rPr>
          <w:rFonts w:cs="Tahoma"/>
          <w:lang w:val="it-IT"/>
        </w:rPr>
      </w:pPr>
      <w:r w:rsidRPr="00EB4D74">
        <w:rPr>
          <w:rFonts w:cs="Tahoma"/>
          <w:color w:val="000000"/>
          <w:szCs w:val="18"/>
          <w:lang w:val="pt-BR"/>
        </w:rPr>
        <w:t xml:space="preserve">O Office 365 Plano K1 era conhecido anteriormente como Business Productivity Online Deskless Suite (BPOS Deskless). Os Clientes no Brasil e no Chile que comprarem o Office 365 Plano K1 receberão o BPOS Deskless. </w:t>
      </w:r>
      <w:r w:rsidRPr="00EB4D74">
        <w:rPr>
          <w:rFonts w:cs="Tahoma"/>
          <w:color w:val="000000"/>
          <w:lang w:val="pt-BR"/>
        </w:rPr>
        <w:t>Esses clientes poderão migrar para o Office 365 Plano 1 posteriormente.</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Nuvem da Comunidade do Governo (Apenas para os Estados Unidos)</w:t>
      </w:r>
    </w:p>
    <w:p w:rsidR="008B1196" w:rsidRPr="00EB4D74" w:rsidRDefault="008B1196" w:rsidP="008B1196">
      <w:pPr>
        <w:ind w:left="720"/>
        <w:rPr>
          <w:rFonts w:cs="Tahoma"/>
          <w:lang w:val="it-IT"/>
        </w:rPr>
      </w:pPr>
      <w:r w:rsidRPr="00EB4D74">
        <w:rPr>
          <w:rFonts w:eastAsia="Times New Roman" w:cs="Tahoma"/>
          <w:color w:val="000000"/>
          <w:szCs w:val="18"/>
          <w:lang w:val="pt-BR"/>
        </w:rPr>
        <w:t xml:space="preserve">Alguns serviços online na família de produtos do Office 365 (incluindo Office 365 Planos K1 e K2) são oferecidos como serviços de nuvem da comunidade do governo e serviços de nuvem da comunidade não governamental. Os clientes podem ser provisionados como um ou outro, mas não com uma mistura dos dois. </w:t>
      </w:r>
      <w:r w:rsidRPr="00EB4D74">
        <w:rPr>
          <w:rFonts w:cs="Tahoma"/>
          <w:color w:val="000000"/>
          <w:lang w:val="pt-BR"/>
        </w:rPr>
        <w:t>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lang w:val="it-IT"/>
        </w:rPr>
      </w:pPr>
    </w:p>
    <w:p w:rsidR="008B1196" w:rsidRPr="00EB4D74" w:rsidRDefault="008B1196" w:rsidP="008B1196">
      <w:pPr>
        <w:ind w:left="720"/>
        <w:rPr>
          <w:rFonts w:cs="Tahoma"/>
          <w:lang w:val="pt-BR"/>
        </w:rPr>
      </w:pPr>
      <w:r w:rsidRPr="00EB4D74">
        <w:rPr>
          <w:rFonts w:cs="Tahoma"/>
          <w:color w:val="000000"/>
          <w:lang w:val="pt-BR"/>
        </w:rPr>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w:t>
      </w:r>
    </w:p>
    <w:p w:rsidR="008B1196" w:rsidRPr="00EB4D74" w:rsidRDefault="008B1196" w:rsidP="008B1196">
      <w:pPr>
        <w:rPr>
          <w:rFonts w:cs="Tahoma"/>
          <w:lang w:val="pt-BR"/>
        </w:rPr>
      </w:pPr>
    </w:p>
    <w:p w:rsidR="008B1196" w:rsidRPr="00EB4D74" w:rsidRDefault="008B1196" w:rsidP="008B1196">
      <w:pPr>
        <w:pStyle w:val="EndnoteText"/>
        <w:ind w:left="0"/>
        <w:rPr>
          <w:rFonts w:ascii="Tahoma" w:hAnsi="Tahoma" w:cs="Tahoma"/>
          <w:sz w:val="18"/>
          <w:szCs w:val="18"/>
          <w:lang w:val="pt-BR"/>
        </w:rPr>
      </w:pPr>
    </w:p>
    <w:p w:rsidR="008B1196" w:rsidRPr="00BC039F" w:rsidRDefault="008B1196" w:rsidP="008B1196">
      <w:pPr>
        <w:pStyle w:val="Heading2"/>
        <w:ind w:left="0"/>
        <w:rPr>
          <w:rFonts w:ascii="Tahoma" w:hAnsi="Tahoma" w:cs="Tahoma"/>
          <w:sz w:val="22"/>
          <w:szCs w:val="22"/>
        </w:rPr>
      </w:pPr>
      <w:bookmarkStart w:id="1365" w:name="_Toc336338334"/>
      <w:bookmarkStart w:id="1366" w:name="Srv_62OfficePerfPointSvr07"/>
      <w:bookmarkStart w:id="1367" w:name="Srv_73SharepointOnlinePlan1"/>
      <w:bookmarkStart w:id="1368" w:name="Srv_74SharepointOnlinePlan1"/>
      <w:bookmarkStart w:id="1369" w:name="_68_SharePoint_Online"/>
      <w:bookmarkStart w:id="1370" w:name="_Toc342914963"/>
      <w:bookmarkEnd w:id="1365"/>
      <w:bookmarkEnd w:id="1366"/>
      <w:bookmarkEnd w:id="1367"/>
      <w:bookmarkEnd w:id="1368"/>
      <w:bookmarkEnd w:id="1369"/>
      <w:r w:rsidRPr="00EB4D74">
        <w:rPr>
          <w:rFonts w:ascii="Tahoma" w:hAnsi="Tahoma" w:cs="Tahoma"/>
          <w:caps/>
          <w:color w:val="FF6600"/>
          <w:sz w:val="22"/>
          <w:vertAlign w:val="superscript"/>
          <w:lang w:val="pt-BR"/>
        </w:rPr>
        <w:t>68</w:t>
      </w:r>
      <w:r w:rsidRPr="00EB4D74">
        <w:rPr>
          <w:rFonts w:ascii="Tahoma" w:hAnsi="Tahoma" w:cs="Tahoma"/>
          <w:color w:val="FF6600"/>
          <w:lang w:val="pt-BR"/>
        </w:rPr>
        <w:t xml:space="preserve"> </w:t>
      </w:r>
      <w:r w:rsidRPr="00BC039F">
        <w:rPr>
          <w:rFonts w:ascii="Tahoma" w:hAnsi="Tahoma" w:cs="Tahoma"/>
          <w:color w:val="FF6600"/>
          <w:sz w:val="22"/>
          <w:szCs w:val="22"/>
          <w:lang w:val="pt-BR"/>
        </w:rPr>
        <w:t>SharePoint Online Plano 1 e Plano 2</w:t>
      </w:r>
      <w:bookmarkEnd w:id="1370"/>
    </w:p>
    <w:p w:rsidR="008B1196" w:rsidRPr="00EB4D74" w:rsidRDefault="008B1196" w:rsidP="008B1196">
      <w:pPr>
        <w:rPr>
          <w:rFonts w:cs="Tahoma"/>
        </w:rPr>
      </w:pPr>
    </w:p>
    <w:p w:rsidR="008B1196" w:rsidRPr="00EB4D74" w:rsidRDefault="008B1196" w:rsidP="008B1196">
      <w:pPr>
        <w:pStyle w:val="EndnoteText"/>
        <w:ind w:left="720"/>
        <w:rPr>
          <w:rFonts w:ascii="Tahoma" w:hAnsi="Tahoma" w:cs="Tahoma"/>
        </w:rPr>
      </w:pPr>
      <w:r w:rsidRPr="00EB4D74">
        <w:rPr>
          <w:rFonts w:ascii="Tahoma" w:hAnsi="Tahoma" w:cs="Tahoma"/>
          <w:color w:val="000000"/>
          <w:sz w:val="18"/>
        </w:rPr>
        <w:t>O SharePoint Online Plano 1 era conhecido anteriormente como SharePoint Online Standard.</w:t>
      </w:r>
    </w:p>
    <w:p w:rsidR="008B1196" w:rsidRPr="00EB4D74" w:rsidRDefault="008B1196" w:rsidP="008B1196">
      <w:pPr>
        <w:pStyle w:val="EndnoteText"/>
        <w:ind w:left="720"/>
        <w:rPr>
          <w:rFonts w:ascii="Tahoma" w:hAnsi="Tahoma" w:cs="Tahoma"/>
          <w:sz w:val="18"/>
          <w:szCs w:val="18"/>
        </w:rPr>
      </w:pPr>
    </w:p>
    <w:p w:rsidR="008B1196" w:rsidRPr="00EB4D74" w:rsidRDefault="008B1196" w:rsidP="008B1196">
      <w:pPr>
        <w:pStyle w:val="EndnoteText"/>
        <w:ind w:left="720"/>
        <w:rPr>
          <w:rFonts w:ascii="Tahoma" w:hAnsi="Tahoma" w:cs="Tahoma"/>
          <w:lang w:val="it-IT"/>
        </w:rPr>
      </w:pPr>
      <w:r w:rsidRPr="00EB4D74">
        <w:rPr>
          <w:rFonts w:ascii="Tahoma" w:hAnsi="Tahoma" w:cs="Tahoma"/>
          <w:color w:val="000000"/>
          <w:sz w:val="18"/>
        </w:rPr>
        <w:t xml:space="preserve">Os Clientes no Brasil ou no Chile que comprarem o SharePoint Online Plano 1 receberão o SharePoint Online Standard. </w:t>
      </w:r>
      <w:r w:rsidRPr="00EB4D74">
        <w:rPr>
          <w:rFonts w:ascii="Tahoma" w:hAnsi="Tahoma" w:cs="Tahoma"/>
          <w:color w:val="000000"/>
          <w:sz w:val="18"/>
          <w:lang w:val="it-IT"/>
        </w:rPr>
        <w:t>Esses clientes poderão migrar para o SharePoint Online Plano 1 posteriormente.</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color w:val="000000"/>
          <w:lang w:val="pt-BR"/>
        </w:rPr>
        <w:t>Nuvem da Comunidade do Governo (Apenas para os Estados Unidos)</w:t>
      </w:r>
    </w:p>
    <w:p w:rsidR="008B1196" w:rsidRPr="00EB4D74" w:rsidRDefault="008B1196" w:rsidP="008B1196">
      <w:pPr>
        <w:ind w:left="720"/>
        <w:rPr>
          <w:rFonts w:cs="Tahoma"/>
          <w:lang w:val="it-IT"/>
        </w:rPr>
      </w:pPr>
      <w:r w:rsidRPr="00EB4D74">
        <w:rPr>
          <w:rFonts w:eastAsia="Times New Roman" w:cs="Tahoma"/>
          <w:color w:val="000000"/>
          <w:szCs w:val="18"/>
          <w:lang w:val="pt-BR"/>
        </w:rPr>
        <w:t xml:space="preserve">Alguns serviços online na família de produtos do Office 365 (incluindo SharePoint Online Planos 1, 2 e 3) são oferecidos como serviços de nuvem da comunidade do governo e serviços de nuvem da comunidade não governamental. Os clientes podem ser provisionados como um ou outro, mas não com uma mistura dos dois. </w:t>
      </w:r>
      <w:r w:rsidRPr="00EB4D74">
        <w:rPr>
          <w:rFonts w:cs="Tahoma"/>
          <w:color w:val="000000"/>
          <w:lang w:val="pt-BR"/>
        </w:rPr>
        <w:t>Os Serviços Online projetados como nuvem de comunidade do governo não podem ser implantados no mesmo domínio que os serviços de nuvem da comunidade não governamental específicos. Esta limitação se estende a qualquer serviço online que faça parte da família de produtos do Office 365, incluindo Exchange Online, SharePoint Online e Lync Online.</w:t>
      </w:r>
    </w:p>
    <w:p w:rsidR="008B1196" w:rsidRPr="00EB4D74" w:rsidRDefault="008B1196" w:rsidP="008B1196">
      <w:pPr>
        <w:ind w:left="720"/>
        <w:rPr>
          <w:rFonts w:cs="Tahoma"/>
          <w:sz w:val="16"/>
          <w:szCs w:val="16"/>
          <w:lang w:val="it-IT"/>
        </w:rPr>
      </w:pPr>
    </w:p>
    <w:p w:rsidR="008B1196" w:rsidRPr="00EB4D74" w:rsidRDefault="008B1196" w:rsidP="008B1196">
      <w:pPr>
        <w:ind w:left="720"/>
        <w:rPr>
          <w:rFonts w:cs="Tahoma"/>
          <w:lang w:val="pt-BR"/>
        </w:rPr>
      </w:pPr>
      <w:r w:rsidRPr="00EB4D74">
        <w:rPr>
          <w:rFonts w:cs="Tahoma"/>
          <w:color w:val="000000"/>
          <w:lang w:val="pt-BR"/>
        </w:rPr>
        <w:t>Assim que um serviço online é provisionado na nuvem de comunidade do governo, ele permanecerá lá pela duração da vigência da assinatura. Clientes que são instituições governamentais federais, estaduais, locais ou tribais dos Estados Unidos devem fazer parte de um Registro Enterprise do Governo Americano ou Registro Enterprise Subscription para estar qualificado para comprar serviços online designados como nuvem da comunidade do governo. Os Direitos de Uso para serviços de nuvem da comunidade do governo são equivalentes àqueles dos seus diversos locatários padrão.</w:t>
      </w:r>
    </w:p>
    <w:p w:rsidR="008B1196" w:rsidRPr="00EB4D74" w:rsidRDefault="008B1196" w:rsidP="008B1196">
      <w:pPr>
        <w:pStyle w:val="EndnoteText"/>
        <w:ind w:left="0"/>
        <w:rPr>
          <w:rFonts w:ascii="Tahoma" w:hAnsi="Tahoma" w:cs="Tahoma"/>
          <w:sz w:val="16"/>
          <w:szCs w:val="16"/>
          <w:lang w:val="pt-BR"/>
        </w:rPr>
      </w:pPr>
    </w:p>
    <w:p w:rsidR="008B1196" w:rsidRPr="00EB4D74" w:rsidRDefault="008B1196" w:rsidP="008B1196">
      <w:pPr>
        <w:pStyle w:val="EndnoteText"/>
        <w:ind w:left="0"/>
        <w:rPr>
          <w:rFonts w:ascii="Tahoma" w:hAnsi="Tahoma" w:cs="Tahoma"/>
          <w:sz w:val="16"/>
          <w:szCs w:val="16"/>
          <w:lang w:val="pt-BR"/>
        </w:rPr>
      </w:pPr>
    </w:p>
    <w:p w:rsidR="008B1196" w:rsidRPr="00EB4D74" w:rsidRDefault="008B1196" w:rsidP="008B1196">
      <w:pPr>
        <w:pStyle w:val="Heading2"/>
        <w:ind w:left="0"/>
        <w:rPr>
          <w:rFonts w:ascii="Tahoma" w:hAnsi="Tahoma" w:cs="Tahoma"/>
        </w:rPr>
      </w:pPr>
      <w:bookmarkStart w:id="1371" w:name="_Toc336338335"/>
      <w:bookmarkStart w:id="1372" w:name="Srv_65ShareptSvr10"/>
      <w:bookmarkStart w:id="1373" w:name="Srv_64OfficeShareptSvr10"/>
      <w:bookmarkStart w:id="1374" w:name="Srv_63OfficeShareptSvr07"/>
      <w:bookmarkStart w:id="1375" w:name="Srv_62OfficeShareptSvr07"/>
      <w:bookmarkStart w:id="1376" w:name="_69_SharePoint_Server"/>
      <w:bookmarkStart w:id="1377" w:name="_Toc342914964"/>
      <w:bookmarkEnd w:id="1371"/>
      <w:bookmarkEnd w:id="1372"/>
      <w:bookmarkEnd w:id="1373"/>
      <w:bookmarkEnd w:id="1374"/>
      <w:bookmarkEnd w:id="1375"/>
      <w:bookmarkEnd w:id="1376"/>
      <w:r w:rsidRPr="00EB4D74">
        <w:rPr>
          <w:rFonts w:ascii="Tahoma" w:hAnsi="Tahoma" w:cs="Tahoma"/>
          <w:caps/>
          <w:color w:val="FA6500"/>
          <w:sz w:val="22"/>
          <w:vertAlign w:val="superscript"/>
          <w:lang w:val="pt-BR"/>
        </w:rPr>
        <w:t xml:space="preserve">69 </w:t>
      </w:r>
      <w:r w:rsidRPr="00EB4D74">
        <w:rPr>
          <w:rFonts w:ascii="Tahoma" w:hAnsi="Tahoma" w:cs="Tahoma"/>
          <w:color w:val="FA6500"/>
          <w:sz w:val="22"/>
          <w:lang w:val="pt-BR"/>
        </w:rPr>
        <w:t>SharePoint Server 2013</w:t>
      </w:r>
      <w:bookmarkEnd w:id="1377"/>
    </w:p>
    <w:p w:rsidR="008B1196" w:rsidRPr="00EB4D74" w:rsidRDefault="008B1196" w:rsidP="008B1196">
      <w:pPr>
        <w:ind w:left="720"/>
        <w:rPr>
          <w:rFonts w:cs="Tahoma"/>
          <w:sz w:val="16"/>
          <w:szCs w:val="16"/>
        </w:rPr>
      </w:pPr>
    </w:p>
    <w:p w:rsidR="008B1196" w:rsidRPr="00EB4D74" w:rsidRDefault="008B1196" w:rsidP="008B1196">
      <w:pPr>
        <w:ind w:left="720"/>
        <w:rPr>
          <w:rFonts w:cs="Tahoma"/>
        </w:rPr>
      </w:pPr>
      <w:r w:rsidRPr="00EB4D74">
        <w:rPr>
          <w:rFonts w:cs="Tahoma"/>
          <w:color w:val="000000"/>
          <w:lang w:val="pt-BR"/>
        </w:rPr>
        <w:t>SharePoint Server 2013 é a versão mais recente do SharePoint Server.</w:t>
      </w:r>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para SharePoint 2010 para Internet Sites Enterprise, SharePoint Server 2010 para Internet Sites Standard, FAST Search Server 2010 para Clientes do SharePoint Server, Search Server 2010</w:t>
      </w:r>
    </w:p>
    <w:p w:rsidR="008B1196" w:rsidRDefault="008B1196" w:rsidP="008B1196">
      <w:pPr>
        <w:ind w:left="720"/>
        <w:rPr>
          <w:rFonts w:cs="Tahoma"/>
          <w:color w:val="000000"/>
          <w:lang w:val="pt-BR"/>
        </w:rPr>
      </w:pPr>
      <w:r w:rsidRPr="00EB4D74">
        <w:rPr>
          <w:rFonts w:cs="Tahoma"/>
          <w:color w:val="000000"/>
          <w:lang w:val="pt-BR"/>
        </w:rPr>
        <w:t xml:space="preserve">A versão 2010 do SharePoint Server para Internet Sites Enterprise e SharePoint Server para Internet Sites Standard, FAST Search Server para SharePoint Server e Search Server é a versão final desses produtos. Tendo isso em visto, os clientes com licenças para SharePoint Server 2010 para Internet Sites Enterprise, </w:t>
      </w:r>
      <w:r w:rsidRPr="00EB4D74">
        <w:rPr>
          <w:rFonts w:cs="Tahoma"/>
          <w:color w:val="000000"/>
          <w:lang w:val="pt-BR"/>
        </w:rPr>
        <w:lastRenderedPageBreak/>
        <w:t>SharePoint Server 2010 para Internet Sites Standard, FAST Search Server 2010 para SharePoint, Search Server 2010 com cobertura do Software Assurance ativa a partir de 1º de dezembro de 2012 estão qualificados para as seguintes outorgas de licença.</w:t>
      </w:r>
    </w:p>
    <w:p w:rsidR="008B1196" w:rsidRDefault="008B1196" w:rsidP="008B1196">
      <w:pPr>
        <w:ind w:left="720"/>
        <w:rPr>
          <w:rFonts w:cs="Tahoma"/>
          <w:color w:val="000000"/>
          <w:lang w:val="pt-BR"/>
        </w:rPr>
      </w:pPr>
    </w:p>
    <w:p w:rsidR="008B1196" w:rsidRDefault="008B1196" w:rsidP="008B1196">
      <w:pPr>
        <w:ind w:left="720"/>
        <w:rPr>
          <w:rFonts w:cs="Tahoma"/>
          <w:color w:val="000000"/>
          <w:lang w:val="pt-BR"/>
        </w:rPr>
      </w:pPr>
    </w:p>
    <w:p w:rsidR="008B1196" w:rsidRDefault="008B1196" w:rsidP="008B1196">
      <w:pPr>
        <w:ind w:left="720"/>
        <w:rPr>
          <w:rFonts w:cs="Tahoma"/>
          <w:color w:val="000000"/>
          <w:lang w:val="pt-BR"/>
        </w:rPr>
      </w:pPr>
    </w:p>
    <w:p w:rsidR="008B1196" w:rsidRPr="00EB4D74" w:rsidRDefault="008B1196" w:rsidP="008B1196">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8B1196" w:rsidRPr="00EB4D74" w:rsidTr="00EA30FC">
        <w:trPr>
          <w:trHeight w:val="332"/>
        </w:trPr>
        <w:tc>
          <w:tcPr>
            <w:tcW w:w="4500" w:type="dxa"/>
            <w:shd w:val="clear" w:color="auto" w:fill="FABF8F"/>
          </w:tcPr>
          <w:p w:rsidR="008B1196" w:rsidRPr="00EB4D74" w:rsidRDefault="008B1196" w:rsidP="00EA30FC">
            <w:pPr>
              <w:rPr>
                <w:rFonts w:cs="Tahoma"/>
                <w:b/>
                <w:color w:val="000000"/>
                <w:szCs w:val="18"/>
              </w:rPr>
            </w:pPr>
            <w:r w:rsidRPr="00EB4D74">
              <w:rPr>
                <w:rFonts w:cs="Tahoma"/>
                <w:b/>
                <w:color w:val="000000"/>
                <w:szCs w:val="18"/>
                <w:lang w:val="pt-BR"/>
              </w:rPr>
              <w:t>Licença de Qualificação</w:t>
            </w:r>
          </w:p>
        </w:tc>
        <w:tc>
          <w:tcPr>
            <w:tcW w:w="3600" w:type="dxa"/>
            <w:shd w:val="clear" w:color="auto" w:fill="FABF8F"/>
          </w:tcPr>
          <w:p w:rsidR="008B1196" w:rsidRPr="00EB4D74" w:rsidRDefault="008B1196" w:rsidP="00EA30FC">
            <w:pPr>
              <w:rPr>
                <w:rFonts w:cs="Tahoma"/>
                <w:b/>
                <w:color w:val="000000"/>
                <w:szCs w:val="18"/>
              </w:rPr>
            </w:pPr>
            <w:r w:rsidRPr="00EB4D74">
              <w:rPr>
                <w:rFonts w:cs="Tahoma"/>
                <w:b/>
                <w:color w:val="000000"/>
                <w:lang w:val="pt-BR"/>
              </w:rPr>
              <w:t>Licença Complementar e Benefícios</w:t>
            </w:r>
          </w:p>
        </w:tc>
      </w:tr>
      <w:tr w:rsidR="008B1196" w:rsidRPr="00EB4D74" w:rsidTr="00EA30FC">
        <w:trPr>
          <w:trHeight w:val="70"/>
        </w:trPr>
        <w:tc>
          <w:tcPr>
            <w:tcW w:w="4500" w:type="dxa"/>
          </w:tcPr>
          <w:p w:rsidR="008B1196" w:rsidRPr="00EB4D74" w:rsidRDefault="008B1196" w:rsidP="00EA30FC">
            <w:pPr>
              <w:rPr>
                <w:rFonts w:cs="Tahoma"/>
                <w:color w:val="000000"/>
                <w:szCs w:val="18"/>
              </w:rPr>
            </w:pPr>
            <w:r w:rsidRPr="00EB4D74">
              <w:rPr>
                <w:rFonts w:cs="Tahoma"/>
                <w:color w:val="000000"/>
                <w:lang w:val="pt-BR"/>
              </w:rPr>
              <w:t>Licença do SharePoint Server 2010 para Internet Sites Enterprise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lang w:val="pt-BR"/>
              </w:rPr>
              <w:t>Uma licença do SharePoint Server 2013</w:t>
            </w:r>
          </w:p>
        </w:tc>
      </w:tr>
      <w:tr w:rsidR="008B1196" w:rsidRPr="00EB4D74" w:rsidTr="00EA30FC">
        <w:trPr>
          <w:trHeight w:val="152"/>
        </w:trPr>
        <w:tc>
          <w:tcPr>
            <w:tcW w:w="4500" w:type="dxa"/>
          </w:tcPr>
          <w:p w:rsidR="008B1196" w:rsidRPr="00EB4D74" w:rsidRDefault="008B1196" w:rsidP="00EA30FC">
            <w:pPr>
              <w:rPr>
                <w:rFonts w:cs="Tahoma"/>
                <w:color w:val="000000"/>
                <w:szCs w:val="18"/>
              </w:rPr>
            </w:pPr>
            <w:r w:rsidRPr="00EB4D74">
              <w:rPr>
                <w:rFonts w:cs="Tahoma"/>
                <w:color w:val="000000"/>
                <w:szCs w:val="18"/>
                <w:lang w:val="pt-BR"/>
              </w:rPr>
              <w:t>Licença do SharePoint Server 2010 para Internet Sites Standard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szCs w:val="18"/>
                <w:lang w:val="pt-BR"/>
              </w:rPr>
              <w:t>Uma licença do SharePoint Server 2013</w:t>
            </w:r>
          </w:p>
        </w:tc>
      </w:tr>
      <w:tr w:rsidR="008B1196" w:rsidRPr="00EB4D74" w:rsidTr="00EA30FC">
        <w:trPr>
          <w:trHeight w:val="152"/>
        </w:trPr>
        <w:tc>
          <w:tcPr>
            <w:tcW w:w="4500" w:type="dxa"/>
          </w:tcPr>
          <w:p w:rsidR="008B1196" w:rsidRPr="00EB4D74" w:rsidRDefault="008B1196" w:rsidP="00EA30FC">
            <w:pPr>
              <w:rPr>
                <w:rFonts w:cs="Tahoma"/>
                <w:color w:val="000000"/>
                <w:szCs w:val="18"/>
              </w:rPr>
            </w:pPr>
            <w:r w:rsidRPr="00EB4D74">
              <w:rPr>
                <w:rFonts w:cs="Tahoma"/>
                <w:color w:val="000000"/>
                <w:lang w:val="pt-BR"/>
              </w:rPr>
              <w:t>Licença do FAST Search Server 2010 para SharePoint Server com Software Assurance ativo em 1º de dezembro de 2012</w:t>
            </w:r>
          </w:p>
        </w:tc>
        <w:tc>
          <w:tcPr>
            <w:tcW w:w="3600" w:type="dxa"/>
          </w:tcPr>
          <w:p w:rsidR="008B1196" w:rsidRPr="00EB4D74" w:rsidRDefault="008B1196" w:rsidP="00EA30FC">
            <w:pPr>
              <w:rPr>
                <w:rFonts w:cs="Tahoma"/>
                <w:color w:val="000000"/>
                <w:szCs w:val="18"/>
              </w:rPr>
            </w:pPr>
            <w:r w:rsidRPr="00EB4D74">
              <w:rPr>
                <w:rFonts w:cs="Tahoma"/>
                <w:color w:val="000000"/>
                <w:lang w:val="pt-BR"/>
              </w:rPr>
              <w:t>Uma licença do SharePoint Server 2013</w:t>
            </w:r>
          </w:p>
        </w:tc>
      </w:tr>
      <w:tr w:rsidR="008B1196" w:rsidRPr="00EB4D74" w:rsidTr="00EA30FC">
        <w:trPr>
          <w:trHeight w:val="233"/>
        </w:trPr>
        <w:tc>
          <w:tcPr>
            <w:tcW w:w="4500" w:type="dxa"/>
          </w:tcPr>
          <w:p w:rsidR="008B1196" w:rsidRPr="00EB4D74" w:rsidRDefault="008B1196" w:rsidP="00EA30FC">
            <w:pPr>
              <w:rPr>
                <w:rFonts w:cs="Tahoma"/>
                <w:color w:val="000000"/>
                <w:szCs w:val="18"/>
              </w:rPr>
            </w:pPr>
            <w:r w:rsidRPr="00EB4D74">
              <w:rPr>
                <w:rFonts w:cs="Tahoma"/>
                <w:color w:val="000000"/>
                <w:lang w:val="pt-BR"/>
              </w:rPr>
              <w:t>Licença do Search Server 2010 com Software Assurance ativo em 1º de dezembro de 2012</w:t>
            </w:r>
          </w:p>
        </w:tc>
        <w:tc>
          <w:tcPr>
            <w:tcW w:w="3600" w:type="dxa"/>
          </w:tcPr>
          <w:p w:rsidR="008B1196" w:rsidRPr="00EB4D74" w:rsidRDefault="008B1196" w:rsidP="00EA30FC">
            <w:pPr>
              <w:rPr>
                <w:rFonts w:cs="Tahoma"/>
              </w:rPr>
            </w:pPr>
            <w:r w:rsidRPr="00EB4D74">
              <w:rPr>
                <w:rFonts w:cs="Tahoma"/>
                <w:color w:val="000000"/>
                <w:lang w:val="pt-BR"/>
              </w:rPr>
              <w:t xml:space="preserve">Uma licença do SharePoint Server 2013 </w:t>
            </w:r>
            <w:r w:rsidRPr="00EB4D74">
              <w:rPr>
                <w:rFonts w:cs="Tahoma"/>
                <w:b/>
                <w:color w:val="000000"/>
                <w:lang w:val="pt-BR"/>
              </w:rPr>
              <w:t>e</w:t>
            </w:r>
          </w:p>
          <w:p w:rsidR="008B1196" w:rsidRPr="00EB4D74" w:rsidRDefault="008B1196" w:rsidP="00EA30FC">
            <w:pPr>
              <w:rPr>
                <w:rFonts w:cs="Tahoma"/>
              </w:rPr>
            </w:pPr>
          </w:p>
          <w:p w:rsidR="008B1196" w:rsidRPr="00EB4D74" w:rsidRDefault="008B1196" w:rsidP="00EA30FC">
            <w:pPr>
              <w:rPr>
                <w:rFonts w:cs="Tahoma"/>
                <w:color w:val="000000"/>
                <w:szCs w:val="18"/>
              </w:rPr>
            </w:pPr>
            <w:r w:rsidRPr="00EB4D74">
              <w:rPr>
                <w:rFonts w:cs="Tahoma"/>
                <w:color w:val="000000"/>
                <w:lang w:val="pt-BR"/>
              </w:rPr>
              <w:t>100 CALs do SharePoint Server 2013 Standard</w:t>
            </w:r>
          </w:p>
        </w:tc>
      </w:tr>
    </w:tbl>
    <w:p w:rsidR="008B1196" w:rsidRPr="00EB4D74" w:rsidRDefault="008B1196" w:rsidP="008B1196">
      <w:pPr>
        <w:rPr>
          <w:rFonts w:cs="Tahoma"/>
          <w:sz w:val="16"/>
          <w:szCs w:val="16"/>
        </w:rPr>
      </w:pPr>
    </w:p>
    <w:p w:rsidR="008B1196" w:rsidRPr="00EB4D74" w:rsidRDefault="008B1196" w:rsidP="008B1196">
      <w:pPr>
        <w:ind w:left="720"/>
        <w:rPr>
          <w:rFonts w:cs="Tahoma"/>
          <w:lang w:val="it-IT"/>
        </w:rPr>
      </w:pPr>
      <w:r w:rsidRPr="00EB4D74">
        <w:rPr>
          <w:rFonts w:cs="Tahoma"/>
          <w:color w:val="000000"/>
          <w:lang w:val="pt-BR"/>
        </w:rPr>
        <w:t>Os termos e as condições a seguir se aplicam à outorga de licença acima.</w:t>
      </w:r>
    </w:p>
    <w:p w:rsidR="008B1196" w:rsidRPr="00EB4D74" w:rsidRDefault="008B1196" w:rsidP="008B1196">
      <w:pPr>
        <w:ind w:left="720"/>
        <w:rPr>
          <w:rFonts w:cs="Tahoma"/>
          <w:sz w:val="16"/>
          <w:szCs w:val="16"/>
          <w:lang w:val="it-IT"/>
        </w:rPr>
      </w:pPr>
    </w:p>
    <w:p w:rsidR="008B1196" w:rsidRPr="00EB4D74" w:rsidRDefault="008B1196" w:rsidP="008B1196">
      <w:pPr>
        <w:numPr>
          <w:ilvl w:val="0"/>
          <w:numId w:val="118"/>
        </w:numPr>
        <w:spacing w:after="60"/>
        <w:ind w:left="1440"/>
        <w:rPr>
          <w:rFonts w:cs="Tahoma"/>
          <w:lang w:val="it-IT"/>
        </w:rPr>
      </w:pPr>
      <w:r w:rsidRPr="00EB4D74">
        <w:rPr>
          <w:rFonts w:cs="Tahoma"/>
          <w:color w:val="000000"/>
          <w:u w:val="single"/>
          <w:lang w:val="pt-BR"/>
        </w:rPr>
        <w:t>Caminho de Migração</w:t>
      </w:r>
      <w:r w:rsidRPr="00EB4D74">
        <w:rPr>
          <w:rFonts w:cs="Tahoma"/>
          <w:color w:val="000000"/>
          <w:lang w:val="pt-BR"/>
        </w:rPr>
        <w:t>: os clientes com cobertura do Software Assurance ativa para uma determinada Licença de qualificação a partir de 1º de dezembro de 2012 e mediante o lançamento do SharePoint Server 2013 estão qualificados para atualizar e usar o software SharePoint 2013 sob a Licença Complementar em vez da cópia licenciada correspondente do software de 2010.</w:t>
      </w:r>
    </w:p>
    <w:p w:rsidR="008B1196" w:rsidRPr="00EB4D74" w:rsidRDefault="008B1196" w:rsidP="008B1196">
      <w:pPr>
        <w:numPr>
          <w:ilvl w:val="0"/>
          <w:numId w:val="118"/>
        </w:numPr>
        <w:spacing w:after="60"/>
        <w:ind w:left="1440"/>
        <w:rPr>
          <w:rFonts w:cs="Tahoma"/>
          <w:spacing w:val="-2"/>
          <w:lang w:val="it-IT"/>
        </w:rPr>
      </w:pPr>
      <w:r w:rsidRPr="00EB4D74">
        <w:rPr>
          <w:rFonts w:cs="Tahoma"/>
          <w:color w:val="000000"/>
          <w:spacing w:val="-2"/>
          <w:u w:val="single"/>
          <w:lang w:val="pt-BR"/>
        </w:rPr>
        <w:t>Direitos de uso</w:t>
      </w:r>
      <w:r w:rsidRPr="00EB4D74">
        <w:rPr>
          <w:rFonts w:cs="Tahoma"/>
          <w:color w:val="000000"/>
          <w:spacing w:val="-2"/>
          <w:lang w:val="pt-BR"/>
        </w:rPr>
        <w:t xml:space="preserve">: </w:t>
      </w:r>
      <w:r w:rsidRPr="00EB4D74">
        <w:rPr>
          <w:rFonts w:cs="Tahoma"/>
          <w:color w:val="000000"/>
          <w:spacing w:val="-2"/>
          <w:szCs w:val="18"/>
          <w:lang w:val="pt-BR"/>
        </w:rPr>
        <w:t xml:space="preserve">O direito de usar o software sob as Licenças Complementares nessa oferta expirará quando o direito de usar o software sob as Licenças de Qualificação expirar. O uso desse software é regido pelos direitos de uso do software e pelos termos e condições do contrato de licenciamento por volume do cliente. </w:t>
      </w:r>
      <w:r w:rsidRPr="00EB4D74">
        <w:rPr>
          <w:rFonts w:cs="Tahoma"/>
          <w:color w:val="000000"/>
          <w:spacing w:val="-2"/>
          <w:lang w:val="pt-BR"/>
        </w:rPr>
        <w:t>Essa nota de condição do produto e a evidência do cliente da Licença de Qualificação e do Software Assurance do cliente juntas comprovam o direito de usar o software sob a Licença Complementar nessa oferta.</w:t>
      </w:r>
    </w:p>
    <w:p w:rsidR="008B1196" w:rsidRPr="00EB4D74" w:rsidRDefault="008B1196" w:rsidP="008B1196">
      <w:pPr>
        <w:numPr>
          <w:ilvl w:val="0"/>
          <w:numId w:val="69"/>
        </w:numPr>
        <w:spacing w:after="60"/>
        <w:ind w:left="1440"/>
        <w:rPr>
          <w:rFonts w:cs="Tahoma"/>
          <w:lang w:val="it-IT"/>
        </w:rPr>
      </w:pPr>
      <w:r w:rsidRPr="00EB4D74">
        <w:rPr>
          <w:rFonts w:cs="Tahoma"/>
          <w:color w:val="000000"/>
          <w:u w:val="single"/>
          <w:lang w:val="pt-BR"/>
        </w:rPr>
        <w:t>Licença e Software Assurance (L&amp;SA)</w:t>
      </w:r>
      <w:r w:rsidRPr="00EB4D74">
        <w:rPr>
          <w:rFonts w:cs="Tahoma"/>
          <w:color w:val="000000"/>
          <w:lang w:val="pt-BR"/>
        </w:rPr>
        <w:t xml:space="preserve">: </w:t>
      </w:r>
      <w:r w:rsidRPr="00EB4D74">
        <w:rPr>
          <w:rFonts w:cs="Tahoma"/>
          <w:color w:val="000000"/>
          <w:szCs w:val="18"/>
          <w:lang w:val="pt-BR"/>
        </w:rPr>
        <w:t xml:space="preserve">A Licença Complementar inclui a cobertura do Software Assurance. A cobertura do Software Assurance sobre a Licença Complementar expirará quando a cobertura da Licença de Qualificação expirar. </w:t>
      </w:r>
      <w:r w:rsidRPr="00EB4D74">
        <w:rPr>
          <w:rFonts w:cs="Tahoma"/>
          <w:color w:val="000000"/>
          <w:lang w:val="pt-BR"/>
        </w:rPr>
        <w:t>No término da cobertura do Software Assurance para a Licença de Qualificação, o cliente poderá renovar o Software Assurance para a Licença Complementar sem precisar adquirir uma nova licença separadamente.</w:t>
      </w:r>
    </w:p>
    <w:p w:rsidR="008B1196" w:rsidRPr="00EB4D74" w:rsidRDefault="008B1196" w:rsidP="008B1196">
      <w:pPr>
        <w:numPr>
          <w:ilvl w:val="0"/>
          <w:numId w:val="80"/>
        </w:numPr>
        <w:spacing w:after="60"/>
        <w:ind w:left="1440"/>
        <w:rPr>
          <w:rFonts w:cs="Tahoma"/>
        </w:rPr>
      </w:pPr>
      <w:r w:rsidRPr="00EB4D74">
        <w:rPr>
          <w:rFonts w:cs="Tahoma"/>
          <w:color w:val="000000"/>
          <w:u w:val="single"/>
          <w:lang w:val="pt-BR"/>
        </w:rPr>
        <w:t xml:space="preserve">Adequações (“true-ups”). </w:t>
      </w:r>
      <w:r w:rsidRPr="00EB4D74">
        <w:rPr>
          <w:rFonts w:cs="Tahoma"/>
          <w:color w:val="000000"/>
          <w:lang w:val="pt-BR"/>
        </w:rPr>
        <w:t>Para os clientes do Contrato Enterprise qualificados para essas Licenças Complementares e esses direitos conforme descrito acima, as licenças do SharePoint Server 2010 para Internet Sites Enterprise, SharePoint Server 2010 para Internet Sites Standard e FAST Search Server 2010 para SharePoint Server adquiridas como parte de um processo de adequações (“true-ups”) anuais do cliente também são licenças de qualificação.</w:t>
      </w:r>
    </w:p>
    <w:p w:rsidR="008B1196" w:rsidRPr="00EB4D74" w:rsidRDefault="008B1196" w:rsidP="008B1196">
      <w:pPr>
        <w:numPr>
          <w:ilvl w:val="0"/>
          <w:numId w:val="80"/>
        </w:numPr>
        <w:spacing w:after="60"/>
        <w:ind w:left="1440"/>
        <w:rPr>
          <w:rFonts w:cs="Tahoma"/>
          <w:lang w:val="it-IT"/>
        </w:rPr>
      </w:pPr>
      <w:r w:rsidRPr="00EB4D74">
        <w:rPr>
          <w:rFonts w:cs="Tahoma"/>
          <w:color w:val="000000"/>
          <w:u w:val="single"/>
          <w:lang w:val="pt-BR"/>
        </w:rPr>
        <w:t>Contratos Subscription</w:t>
      </w:r>
      <w:r w:rsidRPr="00EB4D74">
        <w:rPr>
          <w:rFonts w:cs="Tahoma"/>
          <w:color w:val="000000"/>
          <w:lang w:val="pt-BR"/>
        </w:rPr>
        <w:t xml:space="preserve">. </w:t>
      </w:r>
      <w:r w:rsidRPr="00EB4D74">
        <w:rPr>
          <w:rFonts w:cs="Tahoma"/>
          <w:lang w:val="pt-BR"/>
        </w:rPr>
        <w:t xml:space="preserve">Para Enterprise Subscription, Open Value Subscription, Campus e School, Enrollment for Education Solutions e Open Value Subscription – Education Solutions, os mesmos direitos serão outorgados temporariamente sob as mesmas condições até o final do prazo do registro atual (ou prazo do contrato no caso do Open Value). </w:t>
      </w:r>
      <w:r w:rsidRPr="00EB4D74">
        <w:rPr>
          <w:rFonts w:cs="Tahoma"/>
          <w:color w:val="000000"/>
          <w:lang w:val="pt-BR"/>
        </w:rPr>
        <w:t>O cliente deverá manter uma cobertura contínua da assinatura. Esses direitos só se tornarão permanentes se a opção de compra (“buy-out”) for exercida e continuarão sujeitos a todos os termos e condições do contrato de licença do cliente.</w:t>
      </w:r>
    </w:p>
    <w:p w:rsidR="008B1196" w:rsidRPr="00EB4D74" w:rsidRDefault="008B1196" w:rsidP="008B1196">
      <w:pPr>
        <w:numPr>
          <w:ilvl w:val="0"/>
          <w:numId w:val="119"/>
        </w:numPr>
        <w:spacing w:after="60"/>
        <w:ind w:left="1440"/>
        <w:rPr>
          <w:rFonts w:cs="Tahoma"/>
          <w:spacing w:val="-2"/>
          <w:lang w:val="it-IT"/>
        </w:rPr>
      </w:pPr>
      <w:r w:rsidRPr="00EB4D74">
        <w:rPr>
          <w:rFonts w:cs="Tahoma"/>
          <w:spacing w:val="-2"/>
          <w:u w:val="single"/>
          <w:lang w:val="pt-BR"/>
        </w:rPr>
        <w:t>Transições do Contrato Campus e School</w:t>
      </w:r>
      <w:r w:rsidRPr="00EB4D74">
        <w:rPr>
          <w:rFonts w:cs="Tahoma"/>
          <w:spacing w:val="-2"/>
          <w:lang w:val="pt-BR"/>
        </w:rPr>
        <w:t>. Para os clientes que estão fazendo transição a médio prazo dos contratos Campus e School para os contratos Enrollment for Education Solutions ou Open Value Subscription – Education Solutions enquanto mantêm a cobertura contínua deassinatura:</w:t>
      </w:r>
    </w:p>
    <w:p w:rsidR="008B1196" w:rsidRPr="00EB4D74" w:rsidRDefault="008B1196" w:rsidP="008B1196">
      <w:pPr>
        <w:pStyle w:val="ListParagraph"/>
        <w:numPr>
          <w:ilvl w:val="0"/>
          <w:numId w:val="105"/>
        </w:numPr>
        <w:spacing w:after="60"/>
        <w:ind w:left="1800"/>
        <w:rPr>
          <w:rFonts w:ascii="Tahoma" w:hAnsi="Tahoma" w:cs="Tahoma"/>
          <w:sz w:val="18"/>
          <w:szCs w:val="18"/>
        </w:rPr>
      </w:pPr>
      <w:r w:rsidRPr="00EB4D74">
        <w:rPr>
          <w:rFonts w:ascii="Tahoma" w:hAnsi="Tahoma" w:cs="Tahoma"/>
          <w:sz w:val="18"/>
          <w:szCs w:val="18"/>
        </w:rPr>
        <w:lastRenderedPageBreak/>
        <w:t xml:space="preserve">Os mesmos direitos serão concedidos temporariamente sob as mesmas condições até o final dos seus contratos Enrollment for Education Solutions ou Open Value Subscription – Education Solutions, respectivamente. </w:t>
      </w:r>
    </w:p>
    <w:p w:rsidR="008B1196" w:rsidRPr="00EB4D74" w:rsidRDefault="008B1196" w:rsidP="008B1196">
      <w:pPr>
        <w:pStyle w:val="ListParagraph"/>
        <w:numPr>
          <w:ilvl w:val="0"/>
          <w:numId w:val="105"/>
        </w:numPr>
        <w:spacing w:after="60"/>
        <w:ind w:left="1800"/>
        <w:rPr>
          <w:rFonts w:ascii="Tahoma" w:hAnsi="Tahoma" w:cs="Tahoma"/>
          <w:sz w:val="18"/>
          <w:szCs w:val="18"/>
          <w:lang w:val="it-IT"/>
        </w:rPr>
      </w:pPr>
      <w:r w:rsidRPr="00EB4D74">
        <w:rPr>
          <w:rFonts w:ascii="Tahoma" w:hAnsi="Tahoma" w:cs="Tahoma"/>
          <w:sz w:val="18"/>
          <w:lang w:val="it-IT"/>
        </w:rPr>
        <w:t>Esses direitos só se tornarão permanentes se a opção de compra (“buy-out”) for exercida e continuarão sujeitos a todos os termos e condições do contrato de licença do cliente.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color w:val="000000"/>
          <w:lang w:val="pt-BR"/>
        </w:rPr>
        <w:t>Direitos excepcionais de downgrade do SharePoint Server 2013</w:t>
      </w:r>
    </w:p>
    <w:p w:rsidR="008B1196" w:rsidRPr="00EB4D74" w:rsidRDefault="008B1196" w:rsidP="008B1196">
      <w:pPr>
        <w:ind w:left="720"/>
        <w:rPr>
          <w:rFonts w:cs="Tahoma"/>
        </w:rPr>
      </w:pPr>
      <w:r w:rsidRPr="00EB4D74">
        <w:rPr>
          <w:rFonts w:cs="Tahoma"/>
          <w:lang w:val="pt-BR"/>
        </w:rPr>
        <w:t>Os clientes licenciados para o SharePoint Server 2013 poderão acessar e usar qualquer um dos produtos listados na tabela abaixo em vez do SharePoint Server 2013, como pode ser visto a seguir:</w:t>
      </w:r>
    </w:p>
    <w:p w:rsidR="008B1196" w:rsidRPr="00EB4D74" w:rsidRDefault="008B1196" w:rsidP="008B1196">
      <w:pPr>
        <w:ind w:left="810"/>
        <w:rPr>
          <w:rFonts w:cs="Tahoma"/>
        </w:rPr>
      </w:pPr>
    </w:p>
    <w:tbl>
      <w:tblPr>
        <w:tblW w:w="8688" w:type="dxa"/>
        <w:tblInd w:w="960" w:type="dxa"/>
        <w:tblCellMar>
          <w:left w:w="0" w:type="dxa"/>
          <w:right w:w="0" w:type="dxa"/>
        </w:tblCellMar>
        <w:tblLook w:val="04A0" w:firstRow="1" w:lastRow="0" w:firstColumn="1" w:lastColumn="0" w:noHBand="0" w:noVBand="1"/>
      </w:tblPr>
      <w:tblGrid>
        <w:gridCol w:w="4392"/>
        <w:gridCol w:w="4296"/>
      </w:tblGrid>
      <w:tr w:rsidR="008B1196" w:rsidRPr="00EB4D74" w:rsidTr="00EA30FC">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8B1196" w:rsidRPr="00EB4D74" w:rsidRDefault="008B1196" w:rsidP="00EA30FC">
            <w:pPr>
              <w:ind w:left="162"/>
              <w:rPr>
                <w:rFonts w:cs="Tahoma"/>
                <w:b/>
                <w:bCs/>
                <w:color w:val="000000"/>
                <w:szCs w:val="18"/>
              </w:rPr>
            </w:pPr>
            <w:r w:rsidRPr="00EB4D74">
              <w:rPr>
                <w:rFonts w:cs="Tahoma"/>
                <w:b/>
                <w:color w:val="000000"/>
                <w:lang w:val="pt-BR"/>
              </w:rPr>
              <w:t>Licenças do SharePoint Server 2013</w:t>
            </w:r>
          </w:p>
        </w:tc>
        <w:tc>
          <w:tcPr>
            <w:tcW w:w="4050" w:type="dxa"/>
            <w:tcBorders>
              <w:top w:val="single" w:sz="8" w:space="0" w:color="000000"/>
              <w:left w:val="nil"/>
              <w:bottom w:val="single" w:sz="8" w:space="0" w:color="000000"/>
              <w:right w:val="single" w:sz="8" w:space="0" w:color="auto"/>
            </w:tcBorders>
            <w:shd w:val="clear" w:color="auto" w:fill="FABF8F"/>
          </w:tcPr>
          <w:p w:rsidR="008B1196" w:rsidRPr="00EB4D74" w:rsidRDefault="008B1196" w:rsidP="00EA30FC">
            <w:pPr>
              <w:ind w:left="180"/>
              <w:rPr>
                <w:rFonts w:cs="Tahoma"/>
                <w:b/>
                <w:bCs/>
                <w:color w:val="000000"/>
                <w:szCs w:val="18"/>
                <w:lang w:val="it-IT"/>
              </w:rPr>
            </w:pPr>
            <w:r w:rsidRPr="00EB4D74">
              <w:rPr>
                <w:rFonts w:cs="Tahoma"/>
                <w:b/>
                <w:bCs/>
                <w:color w:val="000000"/>
                <w:szCs w:val="18"/>
                <w:lang w:val="pt-BR"/>
              </w:rPr>
              <w:t>Uso de Versão Anterior (Downgrade) para</w:t>
            </w:r>
          </w:p>
        </w:tc>
      </w:tr>
      <w:tr w:rsidR="008B1196" w:rsidRPr="00EB4D74" w:rsidTr="00EA30FC">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8B1196" w:rsidRPr="00EB4D74" w:rsidRDefault="008B1196" w:rsidP="00EA30FC">
            <w:pPr>
              <w:ind w:left="162"/>
              <w:rPr>
                <w:rFonts w:cs="Tahoma"/>
                <w:color w:val="000000"/>
                <w:szCs w:val="18"/>
              </w:rPr>
            </w:pPr>
            <w:r w:rsidRPr="00EB4D74">
              <w:rPr>
                <w:rFonts w:cs="Tahoma"/>
                <w:color w:val="000000"/>
                <w:lang w:val="pt-BR"/>
              </w:rPr>
              <w:t>Licença do SharePoint Server 2013</w:t>
            </w:r>
          </w:p>
        </w:tc>
        <w:tc>
          <w:tcPr>
            <w:tcW w:w="4050" w:type="dxa"/>
            <w:tcBorders>
              <w:top w:val="nil"/>
              <w:left w:val="nil"/>
              <w:bottom w:val="single" w:sz="8" w:space="0" w:color="000000"/>
              <w:right w:val="single" w:sz="8" w:space="0" w:color="000000"/>
            </w:tcBorders>
          </w:tcPr>
          <w:p w:rsidR="008B1196" w:rsidRPr="00EB4D74" w:rsidRDefault="008B1196" w:rsidP="00EA30FC">
            <w:pPr>
              <w:ind w:left="162" w:right="180"/>
              <w:rPr>
                <w:rFonts w:cs="Tahoma"/>
              </w:rPr>
            </w:pPr>
            <w:r w:rsidRPr="00EB4D74">
              <w:rPr>
                <w:rFonts w:cs="Tahoma"/>
                <w:color w:val="000000"/>
                <w:lang w:val="pt-BR"/>
              </w:rPr>
              <w:t xml:space="preserve">SharePoint Server 2010 </w:t>
            </w:r>
            <w:r w:rsidRPr="00EB4D74">
              <w:rPr>
                <w:rFonts w:cs="Tahoma"/>
                <w:b/>
                <w:color w:val="000000"/>
                <w:lang w:val="pt-BR"/>
              </w:rPr>
              <w:t>ou</w:t>
            </w:r>
          </w:p>
          <w:p w:rsidR="008B1196" w:rsidRPr="00EB4D74" w:rsidRDefault="008B1196" w:rsidP="00EA30FC">
            <w:pPr>
              <w:ind w:left="162" w:right="180"/>
              <w:rPr>
                <w:rFonts w:cs="Tahoma"/>
              </w:rPr>
            </w:pPr>
          </w:p>
          <w:p w:rsidR="008B1196" w:rsidRPr="00EB4D74" w:rsidRDefault="008B1196" w:rsidP="00EA30FC">
            <w:pPr>
              <w:ind w:left="162" w:right="180"/>
              <w:rPr>
                <w:rFonts w:cs="Tahoma"/>
                <w:color w:val="000000"/>
                <w:szCs w:val="18"/>
              </w:rPr>
            </w:pPr>
            <w:r w:rsidRPr="00EB4D74">
              <w:rPr>
                <w:rFonts w:cs="Tahoma"/>
                <w:color w:val="000000"/>
                <w:lang w:val="pt-BR"/>
              </w:rPr>
              <w:t>FAST Search Server 2010 para SharePoint Server</w:t>
            </w:r>
          </w:p>
        </w:tc>
      </w:tr>
    </w:tbl>
    <w:p w:rsidR="008B1196" w:rsidRPr="00EB4D74" w:rsidRDefault="008B1196" w:rsidP="008B1196">
      <w:pPr>
        <w:ind w:left="810"/>
        <w:rPr>
          <w:rFonts w:cs="Tahoma"/>
        </w:rPr>
      </w:pPr>
    </w:p>
    <w:p w:rsidR="008B1196" w:rsidRPr="00EB4D74" w:rsidRDefault="008B1196" w:rsidP="008B1196">
      <w:pPr>
        <w:ind w:left="720"/>
        <w:rPr>
          <w:rFonts w:cs="Tahoma"/>
        </w:rPr>
      </w:pPr>
      <w:r w:rsidRPr="00EB4D74">
        <w:rPr>
          <w:rFonts w:cs="Tahoma"/>
          <w:color w:val="000000"/>
          <w:lang w:val="pt-BR"/>
        </w:rPr>
        <w:t>O direito do cliente de acessar e usar c</w:t>
      </w:r>
      <w:r>
        <w:rPr>
          <w:rFonts w:cs="Tahoma"/>
          <w:color w:val="000000"/>
          <w:lang w:val="pt-BR"/>
        </w:rPr>
        <w:t>ópias do SharePoint Server 2010 ou</w:t>
      </w:r>
      <w:r w:rsidRPr="00EB4D74">
        <w:rPr>
          <w:rFonts w:cs="Tahoma"/>
          <w:color w:val="000000"/>
          <w:lang w:val="pt-BR"/>
        </w:rPr>
        <w:t xml:space="preserve"> FAST Search Server 2010 para SharePoint Server em vez de cópias licenciadas do SharePoint Server 2013 sob esta oferta está sujeito aos termos e às condições de um contrato de licenciamento por volume de um cliente, dos direitos de uso do produto para SharePoint Server 2013 e destes termos. Esse direito expirará em caso de término ou rescisão das licenças do SharePoint Server.</w:t>
      </w:r>
    </w:p>
    <w:p w:rsidR="008B1196" w:rsidRPr="00EB4D74" w:rsidRDefault="008B1196" w:rsidP="008B1196">
      <w:pPr>
        <w:ind w:left="720"/>
        <w:rPr>
          <w:rFonts w:cs="Tahoma"/>
        </w:rPr>
      </w:pPr>
    </w:p>
    <w:p w:rsidR="008B1196" w:rsidRPr="00EB4D74" w:rsidRDefault="008B1196" w:rsidP="008B1196">
      <w:pPr>
        <w:spacing w:after="60"/>
        <w:ind w:left="720"/>
        <w:rPr>
          <w:rFonts w:cs="Tahoma"/>
        </w:rPr>
      </w:pPr>
      <w:bookmarkStart w:id="1378" w:name="Srv_65SharepointSvr10IntSites"/>
      <w:bookmarkStart w:id="1379" w:name="_Toc336338336"/>
      <w:bookmarkStart w:id="1380" w:name="Srv_66SharepointSvr10IntSites"/>
      <w:bookmarkStart w:id="1381" w:name="Srv_63SharepointSvr07IntSites"/>
      <w:bookmarkStart w:id="1382" w:name="Srv_64SharepointSvr07IntSites"/>
      <w:bookmarkEnd w:id="1378"/>
      <w:bookmarkEnd w:id="1379"/>
      <w:bookmarkEnd w:id="1380"/>
      <w:bookmarkEnd w:id="1381"/>
      <w:r w:rsidRPr="00EB4D74">
        <w:rPr>
          <w:rFonts w:cs="Tahoma"/>
          <w:b/>
          <w:color w:val="000000"/>
          <w:lang w:val="pt-BR"/>
        </w:rPr>
        <w:t>Extensão dos direitos de Aplicativos Auto-hospedados de Software Assurance para Clientes do SharePoint Server para Internet Sites Enterprise</w:t>
      </w:r>
    </w:p>
    <w:bookmarkEnd w:id="1382"/>
    <w:p w:rsidR="008B1196" w:rsidRPr="00EB4D74" w:rsidRDefault="008B1196" w:rsidP="008B1196">
      <w:pPr>
        <w:ind w:left="720"/>
        <w:rPr>
          <w:rFonts w:cs="Tahoma"/>
          <w:color w:val="000000"/>
          <w:szCs w:val="18"/>
          <w:lang w:val="pt-BR"/>
        </w:rPr>
      </w:pPr>
      <w:r w:rsidRPr="00EB4D74">
        <w:rPr>
          <w:rFonts w:cs="Tahoma"/>
          <w:color w:val="000000"/>
          <w:lang w:val="pt-BR"/>
        </w:rPr>
        <w:t xml:space="preserve">Os clientes do SharePoint Server 2010 para Internet Sites Enterprise aos quais são concedidas as licenças do SharePoint Server 2013 por meio da outorga de licença realçada acima poderão atualizar para o SharePoint 2013 (conforme fornecido a outorga exposta acima) e usar o SharePoint Server 2013 sob os direitos de uso do produto para SharePoint Server 2013 e os termos e as condições da seção “Servidores – Aplicativos Auto-hospedados” dos Direitos de Uso do Produto. </w:t>
      </w:r>
      <w:r w:rsidRPr="00EB4D74">
        <w:rPr>
          <w:rFonts w:cs="Tahoma"/>
          <w:color w:val="000000"/>
          <w:szCs w:val="18"/>
          <w:lang w:val="pt-BR"/>
        </w:rPr>
        <w:t>Uma vez que os clientes mantêm a cobertura de Software Assurance em suas licenças complementares do SharePoint Server 2013, o direito de usar o SharePoint Server 2013 desta forma se aplica até a disponibilidade da versão sucessora do SharePoint Server 2013.</w:t>
      </w:r>
    </w:p>
    <w:p w:rsidR="008B1196" w:rsidRPr="00EB4D74" w:rsidRDefault="008B1196" w:rsidP="008B1196">
      <w:pPr>
        <w:ind w:left="720"/>
        <w:rPr>
          <w:rFonts w:cs="Tahoma"/>
          <w:color w:val="000000"/>
          <w:szCs w:val="18"/>
          <w:lang w:val="pt-BR"/>
        </w:rPr>
      </w:pPr>
    </w:p>
    <w:p w:rsidR="008B1196" w:rsidRPr="00EB4D74" w:rsidRDefault="008B1196" w:rsidP="008B1196">
      <w:pPr>
        <w:ind w:left="720"/>
        <w:rPr>
          <w:rFonts w:cs="Tahoma"/>
          <w:color w:val="000000"/>
          <w:szCs w:val="18"/>
          <w:lang w:val="pt-BR"/>
        </w:rPr>
      </w:pPr>
    </w:p>
    <w:p w:rsidR="008B1196" w:rsidRPr="00EB4D74" w:rsidRDefault="008B1196" w:rsidP="008B1196">
      <w:pPr>
        <w:pStyle w:val="Heading3"/>
        <w:rPr>
          <w:rFonts w:ascii="Tahoma" w:hAnsi="Tahoma" w:cs="Tahoma"/>
          <w:lang w:val="it-IT"/>
        </w:rPr>
      </w:pPr>
      <w:bookmarkStart w:id="1383" w:name="_78_SharePoint™_Server"/>
      <w:bookmarkStart w:id="1384" w:name="_Toc342914965"/>
      <w:bookmarkStart w:id="1385" w:name="Srv_81SQLSvr08R2DataCenter"/>
      <w:bookmarkEnd w:id="1383"/>
      <w:r w:rsidRPr="00EB4D74">
        <w:rPr>
          <w:rFonts w:ascii="Tahoma" w:hAnsi="Tahoma" w:cs="Tahoma"/>
          <w:caps/>
          <w:color w:val="F66400"/>
          <w:sz w:val="22"/>
          <w:vertAlign w:val="superscript"/>
          <w:lang w:val="pt-BR"/>
        </w:rPr>
        <w:t>70</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2008 R2 Datacenter</w:t>
      </w:r>
      <w:bookmarkEnd w:id="1384"/>
    </w:p>
    <w:bookmarkEnd w:id="1385"/>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bookmarkStart w:id="1386" w:name="Srv_69SQLSvr08EntandEntProc"/>
      <w:bookmarkStart w:id="1387" w:name="Srv_70SQLSvr08EntandEntProc"/>
      <w:bookmarkStart w:id="1388" w:name="Srv_72SQLSvr08R2developer"/>
      <w:bookmarkStart w:id="1389" w:name="Srv_72SQLSvr08R2DataCenter"/>
      <w:bookmarkEnd w:id="1386"/>
      <w:bookmarkEnd w:id="1387"/>
      <w:bookmarkEnd w:id="1388"/>
      <w:bookmarkEnd w:id="1389"/>
      <w:r w:rsidRPr="00EB4D74">
        <w:rPr>
          <w:rFonts w:cs="Tahoma"/>
          <w:b/>
          <w:color w:val="000000"/>
          <w:lang w:val="pt-BR"/>
        </w:rPr>
        <w:t>Outorga de Licença Associadas à Alteração no Modelo de Licenciamento e ao Término da Validade do SQL Server Datacenter</w:t>
      </w:r>
    </w:p>
    <w:p w:rsidR="008B1196" w:rsidRPr="00EB4D74" w:rsidRDefault="008B1196" w:rsidP="008B1196">
      <w:pPr>
        <w:ind w:left="720"/>
        <w:rPr>
          <w:rFonts w:cs="Tahoma"/>
          <w:lang w:val="pt-BR"/>
        </w:rPr>
      </w:pPr>
      <w:r w:rsidRPr="00EB4D74">
        <w:rPr>
          <w:rFonts w:cs="Tahoma"/>
          <w:color w:val="000000"/>
          <w:lang w:val="pt-BR"/>
        </w:rPr>
        <w:t>O SQL Server 2008 R2 será a última versão do SQL Server licenciada sob o modelo de licenciamento por processador e a última versão do SQL Server Datacenter. Como uma exceção, aos clientes de licenciamento por volume com Software Assurance ativo para licenças do processador do SQL Server 2008 R2 Datacenter em 1º de abril de 2012 (“licenças de qualificação”) são concedidas as seguintes opções. As licenças do processador do SQL Server 2008 R2 Datacenter adquiridas posteriormente no mesmo prazo de registro, mas antes de 1º de abril de 2015 como parte de um processo de adequação (“true-up”) programado do cliente Enterprise, Enterprise Subscription, Open Value Subscription ou EES também são “licenças de qualificação” para fins dessas opções. As licenças adquiridas depois de 1º de abril de 2015 ou sob um prazo de registro subsequente, um contrato separado ou qualquer registro com uma data de início de vigência após 1º de abril de 2012 não são licenças de qualificação.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r w:rsidRPr="00EB4D74">
        <w:rPr>
          <w:rFonts w:cs="Tahoma"/>
          <w:b/>
          <w:color w:val="000000"/>
          <w:lang w:val="pt-BR"/>
        </w:rPr>
        <w:t>Prazo Atual</w:t>
      </w:r>
    </w:p>
    <w:p w:rsidR="008B1196" w:rsidRPr="00EB4D74" w:rsidRDefault="008B1196" w:rsidP="008B1196">
      <w:pPr>
        <w:ind w:left="720"/>
        <w:contextualSpacing/>
        <w:rPr>
          <w:rFonts w:cs="Tahoma"/>
          <w:lang w:val="it-IT"/>
        </w:rPr>
      </w:pPr>
      <w:r w:rsidRPr="00EB4D74">
        <w:rPr>
          <w:rFonts w:eastAsia="Times New Roman" w:cs="Tahoma"/>
          <w:szCs w:val="18"/>
          <w:lang w:val="pt-BR"/>
        </w:rPr>
        <w:t xml:space="preserve">Durante o prazo atual da sua cobertura de Software Assurance a partir de 1º de abril de 2012, os clientes (incluindo aqueles sob contratos de assinatura) podem, sob qualquer licença de qualificação, atualizar e usar o SQL Server 2012 Enterprise Core em vez do SQL Server 2008 R2 Datacenter sujeito aos direitos de uso do produto de licença do processador do SQL Server 2008 R2 Enterprise (conforme os Direitos de Uso </w:t>
      </w:r>
      <w:r w:rsidRPr="00EB4D74">
        <w:rPr>
          <w:rFonts w:eastAsia="Times New Roman" w:cs="Tahoma"/>
          <w:szCs w:val="18"/>
          <w:lang w:val="pt-BR"/>
        </w:rPr>
        <w:lastRenderedPageBreak/>
        <w:t xml:space="preserve">do Produto de janeiro de 2012). </w:t>
      </w:r>
      <w:r w:rsidRPr="00EB4D74">
        <w:rPr>
          <w:rFonts w:cs="Tahoma"/>
          <w:lang w:val="pt-BR"/>
        </w:rPr>
        <w:t>Esses clientes também têm os direitos de uso da “Virtualização Ilimitada” conforme descrito nas notas do produto do SQL Server 2012 Enterprise nesta Lista de Produtos.</w:t>
      </w:r>
    </w:p>
    <w:p w:rsidR="008B1196" w:rsidRPr="00EB4D74" w:rsidRDefault="008B1196" w:rsidP="008B1196">
      <w:pPr>
        <w:ind w:left="720"/>
        <w:contextualSpacing/>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Primeiro Prazo de Renovação (antes de 1º de abril de 2015)</w:t>
      </w:r>
    </w:p>
    <w:p w:rsidR="008B1196" w:rsidRPr="00EB4D74" w:rsidRDefault="008B1196" w:rsidP="008B1196">
      <w:pPr>
        <w:tabs>
          <w:tab w:val="left" w:pos="720"/>
        </w:tabs>
        <w:ind w:left="720"/>
        <w:contextualSpacing/>
        <w:rPr>
          <w:rFonts w:cs="Tahoma"/>
          <w:lang w:val="it-IT"/>
        </w:rPr>
      </w:pPr>
      <w:r w:rsidRPr="00EB4D74">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8B1196" w:rsidRPr="00EB4D74" w:rsidRDefault="008B1196" w:rsidP="008B1196">
      <w:pPr>
        <w:numPr>
          <w:ilvl w:val="1"/>
          <w:numId w:val="91"/>
        </w:numPr>
        <w:tabs>
          <w:tab w:val="left" w:pos="1440"/>
        </w:tabs>
        <w:contextualSpacing/>
        <w:rPr>
          <w:rFonts w:cs="Tahoma"/>
          <w:lang w:val="it-IT"/>
        </w:rPr>
      </w:pPr>
      <w:r w:rsidRPr="00EB4D74">
        <w:rPr>
          <w:rFonts w:cs="Tahoma"/>
          <w:lang w:val="pt-BR"/>
        </w:rPr>
        <w:t>um número igual ao menor número de licenças de qualificação atribuído ao servidor ou o número total de processadores físicos no servidor multiplicado pelo maior de:</w:t>
      </w:r>
    </w:p>
    <w:p w:rsidR="008B1196" w:rsidRPr="00EB4D74" w:rsidRDefault="008B1196" w:rsidP="008B1196">
      <w:pPr>
        <w:numPr>
          <w:ilvl w:val="2"/>
          <w:numId w:val="95"/>
        </w:numPr>
        <w:tabs>
          <w:tab w:val="left" w:pos="1800"/>
        </w:tabs>
        <w:ind w:left="1800" w:hanging="360"/>
        <w:contextualSpacing/>
        <w:rPr>
          <w:rFonts w:cs="Tahoma"/>
        </w:rPr>
      </w:pPr>
      <w:r w:rsidRPr="00EB4D74">
        <w:rPr>
          <w:rFonts w:cs="Tahoma"/>
          <w:lang w:val="pt-BR"/>
        </w:rPr>
        <w:t>Oito OU</w:t>
      </w:r>
    </w:p>
    <w:p w:rsidR="008B1196" w:rsidRPr="00EB4D74" w:rsidRDefault="008B1196" w:rsidP="008B1196">
      <w:pPr>
        <w:numPr>
          <w:ilvl w:val="2"/>
          <w:numId w:val="95"/>
        </w:numPr>
        <w:tabs>
          <w:tab w:val="left" w:pos="1800"/>
        </w:tabs>
        <w:ind w:left="1800" w:hanging="360"/>
        <w:contextualSpacing/>
        <w:rPr>
          <w:rFonts w:cs="Tahoma"/>
          <w:lang w:val="it-IT"/>
        </w:rPr>
      </w:pPr>
      <w:r w:rsidRPr="00EB4D74">
        <w:rPr>
          <w:rFonts w:eastAsia="Times New Roman" w:cs="Tahoma"/>
          <w:szCs w:val="18"/>
          <w:lang w:val="pt-BR"/>
        </w:rPr>
        <w:t>o número real de núcleos por processador físico multiplicado pelo fator do núcleo apropriado. (Nos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p>
    <w:p w:rsidR="008B1196" w:rsidRPr="00EB4D74" w:rsidRDefault="008B1196" w:rsidP="008B1196">
      <w:pPr>
        <w:numPr>
          <w:ilvl w:val="1"/>
          <w:numId w:val="91"/>
        </w:numPr>
        <w:tabs>
          <w:tab w:val="left" w:pos="1440"/>
          <w:tab w:val="left" w:pos="2970"/>
        </w:tabs>
        <w:contextualSpacing/>
        <w:rPr>
          <w:rFonts w:cs="Tahoma"/>
          <w:lang w:val="it-IT"/>
        </w:rPr>
      </w:pPr>
      <w:r w:rsidRPr="00EB4D74">
        <w:rPr>
          <w:rFonts w:cs="Tahoma"/>
          <w:lang w:val="pt-BR"/>
        </w:rPr>
        <w:t>um número igual ao número das licenças qatribuído ao servidor em excesso do número real de processadores físicos no servidor multiplicado por oito.</w:t>
      </w:r>
    </w:p>
    <w:p w:rsidR="008B1196" w:rsidRPr="00EB4D74" w:rsidRDefault="008B1196" w:rsidP="008B1196">
      <w:pPr>
        <w:ind w:left="720"/>
        <w:contextualSpacing/>
        <w:rPr>
          <w:rFonts w:cs="Tahoma"/>
          <w:lang w:val="it-IT"/>
        </w:rPr>
      </w:pPr>
    </w:p>
    <w:p w:rsidR="008B1196" w:rsidRPr="00EB4D74" w:rsidRDefault="008B1196" w:rsidP="008B1196">
      <w:pPr>
        <w:spacing w:after="60"/>
        <w:ind w:left="720"/>
        <w:rPr>
          <w:rFonts w:cs="Tahoma"/>
          <w:lang w:val="it-IT"/>
        </w:rPr>
      </w:pPr>
      <w:r w:rsidRPr="00EB4D74">
        <w:rPr>
          <w:rFonts w:cs="Tahoma"/>
          <w:b/>
          <w:lang w:val="pt-BR"/>
        </w:rPr>
        <w:t>Primeiro Prazo de Renovação (em ou após 1º de abril de 2015)</w:t>
      </w:r>
    </w:p>
    <w:p w:rsidR="008B1196" w:rsidRPr="00EB4D74" w:rsidRDefault="008B1196" w:rsidP="008B1196">
      <w:pPr>
        <w:ind w:left="720"/>
        <w:contextualSpacing/>
        <w:rPr>
          <w:rFonts w:cs="Tahoma"/>
          <w:lang w:val="it-IT"/>
        </w:rPr>
      </w:pPr>
      <w:r w:rsidRPr="00EB4D7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8B1196" w:rsidRPr="00EB4D74" w:rsidRDefault="008B1196" w:rsidP="008B1196">
      <w:pPr>
        <w:ind w:left="720"/>
        <w:contextualSpacing/>
        <w:rPr>
          <w:rFonts w:cs="Tahoma"/>
          <w:lang w:val="it-IT"/>
        </w:rPr>
      </w:pPr>
    </w:p>
    <w:p w:rsidR="008B1196" w:rsidRPr="00EB4D74" w:rsidRDefault="008B1196" w:rsidP="008B1196">
      <w:pPr>
        <w:numPr>
          <w:ilvl w:val="2"/>
          <w:numId w:val="91"/>
        </w:numPr>
        <w:spacing w:after="60"/>
        <w:ind w:left="1440"/>
        <w:rPr>
          <w:rFonts w:cs="Tahoma"/>
          <w:lang w:val="it-IT"/>
        </w:rPr>
      </w:pPr>
      <w:r w:rsidRPr="00EB4D74">
        <w:rPr>
          <w:rFonts w:cs="Tahoma"/>
          <w:lang w:val="pt-BR"/>
        </w:rPr>
        <w:t>Conforme fornecido no primeiro parágrafo desta nota do produto, as licenças adquiridas antes de 1º de abril de 2015 são licenças de qualificação, e os clientes poderão renovar o SA de acordo com os termos na seção “Primeiro Prazo de Renovação (Antes de 1º de abril de 2015) “ acima e</w:t>
      </w:r>
    </w:p>
    <w:p w:rsidR="008B1196" w:rsidRPr="00EB4D74" w:rsidRDefault="008B1196" w:rsidP="008B1196">
      <w:pPr>
        <w:numPr>
          <w:ilvl w:val="2"/>
          <w:numId w:val="91"/>
        </w:numPr>
        <w:spacing w:after="60"/>
        <w:ind w:left="1440"/>
        <w:rPr>
          <w:rFonts w:cs="Tahoma"/>
          <w:lang w:val="pt-BR"/>
        </w:rPr>
      </w:pPr>
      <w:r w:rsidRPr="00EB4D74">
        <w:rPr>
          <w:rFonts w:cs="Tahoma"/>
          <w:lang w:val="pt-BR"/>
        </w:rPr>
        <w:t>Para as licenças adquiridas depois de 1º de abril de 2015, os clientes poderão renovar a SA para oito licenças principais do SQL Server Enterprise sem adquirir as licenças principais subjacentes para cada licença do processador SQL Server 2008 R2 Datacenter. Para o uso contínuo do SQL Server 2012 em processadores que exigem mais de oito licenças principais por processador, o cliente tem que adquirir licenças principais adicionais.</w:t>
      </w:r>
    </w:p>
    <w:p w:rsidR="008B1196" w:rsidRPr="00EB4D74" w:rsidRDefault="008B1196" w:rsidP="008B1196">
      <w:pPr>
        <w:ind w:left="1440"/>
        <w:contextualSpacing/>
        <w:rPr>
          <w:rFonts w:cs="Tahoma"/>
          <w:lang w:val="pt-BR"/>
        </w:rPr>
      </w:pPr>
    </w:p>
    <w:p w:rsidR="008B1196" w:rsidRPr="00EB4D74" w:rsidRDefault="008B1196" w:rsidP="008B1196">
      <w:pPr>
        <w:ind w:left="720"/>
        <w:contextualSpacing/>
        <w:rPr>
          <w:rFonts w:cs="Tahoma"/>
          <w:lang w:val="pt-BR"/>
        </w:rPr>
      </w:pPr>
      <w:r w:rsidRPr="00EB4D74">
        <w:rPr>
          <w:rFonts w:eastAsia="Times New Roman" w:cs="Tahoma"/>
          <w:szCs w:val="18"/>
          <w:lang w:val="pt-BR"/>
        </w:rPr>
        <w:t xml:space="preserve">As licenças do processador dos clientes não são mais válidas na aquisição do Software Assurance para as licenças de núcleo sob esta oferta. </w:t>
      </w:r>
      <w:r w:rsidRPr="00EB4D74">
        <w:rPr>
          <w:rFonts w:cs="Tahoma"/>
          <w:lang w:val="pt-BR"/>
        </w:rPr>
        <w:t>A opção de adquirir o Software Assurance para licenças principais do SQL Server não é aplicável à renovação de cobertura sob os programas de assinatura.</w:t>
      </w:r>
    </w:p>
    <w:p w:rsidR="008B1196" w:rsidRPr="00EB4D74" w:rsidRDefault="008B1196" w:rsidP="008B1196">
      <w:pPr>
        <w:ind w:left="720"/>
        <w:contextualSpacing/>
        <w:rPr>
          <w:rFonts w:cs="Tahoma"/>
          <w:lang w:val="pt-BR"/>
        </w:rPr>
      </w:pPr>
    </w:p>
    <w:p w:rsidR="008B1196" w:rsidRPr="00EB4D74" w:rsidRDefault="008B1196" w:rsidP="008B1196">
      <w:pPr>
        <w:tabs>
          <w:tab w:val="left" w:pos="720"/>
        </w:tabs>
        <w:spacing w:after="60"/>
        <w:ind w:left="720"/>
        <w:rPr>
          <w:rFonts w:cs="Tahoma"/>
          <w:spacing w:val="-2"/>
          <w:lang w:val="pt-BR"/>
        </w:rPr>
      </w:pPr>
      <w:r w:rsidRPr="00EB4D74">
        <w:rPr>
          <w:rFonts w:cs="Tahoma"/>
          <w:b/>
          <w:spacing w:val="-2"/>
          <w:lang w:val="pt-BR"/>
        </w:rPr>
        <w:t>Para os clientes com cobertura de Software Assurance que expiram antes de 1º de abril de 2015 que optaram pela não renovação</w:t>
      </w:r>
    </w:p>
    <w:p w:rsidR="008B1196" w:rsidRPr="00EB4D74" w:rsidRDefault="008B1196" w:rsidP="008B1196">
      <w:pPr>
        <w:tabs>
          <w:tab w:val="left" w:pos="720"/>
        </w:tabs>
        <w:ind w:left="720"/>
        <w:contextualSpacing/>
        <w:rPr>
          <w:rFonts w:cs="Tahoma"/>
          <w:lang w:val="pt-BR"/>
        </w:rPr>
      </w:pPr>
      <w:r w:rsidRPr="00EB4D74">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8B1196" w:rsidRPr="00EB4D74" w:rsidRDefault="008B1196" w:rsidP="008B1196">
      <w:pPr>
        <w:tabs>
          <w:tab w:val="left" w:pos="720"/>
        </w:tabs>
        <w:ind w:left="720"/>
        <w:contextualSpacing/>
        <w:rPr>
          <w:rFonts w:cs="Tahoma"/>
          <w:lang w:val="pt-BR"/>
        </w:rPr>
      </w:pPr>
    </w:p>
    <w:p w:rsidR="008B1196" w:rsidRPr="00EB4D74" w:rsidRDefault="008B1196" w:rsidP="008B1196">
      <w:pPr>
        <w:numPr>
          <w:ilvl w:val="0"/>
          <w:numId w:val="92"/>
        </w:numPr>
        <w:tabs>
          <w:tab w:val="left" w:pos="1440"/>
        </w:tabs>
        <w:spacing w:after="60"/>
        <w:rPr>
          <w:rFonts w:cs="Tahoma"/>
          <w:lang w:val="pt-BR"/>
        </w:rPr>
      </w:pPr>
      <w:r w:rsidRPr="00EB4D74">
        <w:rPr>
          <w:rFonts w:cs="Tahoma"/>
          <w:b/>
          <w:lang w:val="pt-BR"/>
        </w:rPr>
        <w:t xml:space="preserve">SQL Server 2008 R2 Datacenter: </w:t>
      </w:r>
      <w:r w:rsidRPr="00EB4D74">
        <w:rPr>
          <w:rFonts w:eastAsia="Times New Roman" w:cs="Tahoma"/>
          <w:szCs w:val="18"/>
          <w:lang w:val="pt-BR"/>
        </w:rPr>
        <w:t>O uso contínuo desta versão do software está sujeito aos direitos de uso do produto de licença do processador do SQL Server 2008 R2 Datacenter.</w:t>
      </w:r>
    </w:p>
    <w:p w:rsidR="008B1196" w:rsidRPr="00EB4D74" w:rsidRDefault="008B1196" w:rsidP="008B1196">
      <w:pPr>
        <w:numPr>
          <w:ilvl w:val="0"/>
          <w:numId w:val="92"/>
        </w:numPr>
        <w:tabs>
          <w:tab w:val="left" w:pos="1440"/>
          <w:tab w:val="left" w:pos="2970"/>
        </w:tabs>
        <w:spacing w:after="60"/>
        <w:rPr>
          <w:rFonts w:cs="Tahoma"/>
          <w:lang w:val="pt-BR"/>
        </w:rPr>
      </w:pPr>
      <w:r w:rsidRPr="00EB4D74">
        <w:rPr>
          <w:rFonts w:eastAsia="Times New Roman" w:cs="Tahoma"/>
          <w:b/>
          <w:szCs w:val="18"/>
          <w:lang w:val="pt-BR"/>
        </w:rPr>
        <w:t xml:space="preserve">SQL Server 2012 Enterprise Core: </w:t>
      </w:r>
      <w:r w:rsidRPr="00EB4D74">
        <w:rPr>
          <w:rFonts w:eastAsia="Times New Roman" w:cs="Tahoma"/>
          <w:szCs w:val="18"/>
          <w:lang w:val="pt-BR"/>
        </w:rPr>
        <w:t>O uso desta versão do software está sujeito aos direitos de uso do produto de licença do processador do SQL Server 2008 R2 Enterprise, no entanto:</w:t>
      </w:r>
    </w:p>
    <w:p w:rsidR="008B1196" w:rsidRPr="00EB4D74" w:rsidRDefault="008B1196" w:rsidP="008B1196">
      <w:pPr>
        <w:numPr>
          <w:ilvl w:val="1"/>
          <w:numId w:val="92"/>
        </w:numPr>
        <w:tabs>
          <w:tab w:val="left" w:pos="1800"/>
        </w:tabs>
        <w:spacing w:after="60"/>
        <w:ind w:left="1800"/>
        <w:rPr>
          <w:rFonts w:cs="Tahoma"/>
          <w:lang w:val="pt-BR"/>
        </w:rPr>
      </w:pPr>
      <w:r w:rsidRPr="00EB4D74">
        <w:rPr>
          <w:rFonts w:cs="Tahoma"/>
          <w:lang w:val="pt-BR"/>
        </w:rPr>
        <w:t>os clientes não têm mais direitos de uso de Virtualização Ilimitada, Mobilidade de Licença nos Farms de Servidores nem Mobilidade de Licença por meio de Software Assurance e</w:t>
      </w:r>
    </w:p>
    <w:p w:rsidR="008B1196" w:rsidRPr="00EB4D74" w:rsidRDefault="008B1196" w:rsidP="008B1196">
      <w:pPr>
        <w:tabs>
          <w:tab w:val="left" w:pos="1800"/>
        </w:tabs>
        <w:spacing w:after="60"/>
        <w:rPr>
          <w:rFonts w:cs="Tahoma"/>
          <w:lang w:val="pt-BR"/>
        </w:rPr>
      </w:pPr>
    </w:p>
    <w:p w:rsidR="008B1196" w:rsidRPr="00EB4D74" w:rsidRDefault="008B1196" w:rsidP="008B1196">
      <w:pPr>
        <w:tabs>
          <w:tab w:val="left" w:pos="1800"/>
        </w:tabs>
        <w:spacing w:after="60"/>
        <w:rPr>
          <w:rFonts w:cs="Tahoma"/>
          <w:lang w:val="pt-BR"/>
        </w:rPr>
      </w:pPr>
    </w:p>
    <w:p w:rsidR="008B1196" w:rsidRPr="00EB4D74" w:rsidRDefault="008B1196" w:rsidP="008B1196">
      <w:pPr>
        <w:tabs>
          <w:tab w:val="left" w:pos="1800"/>
        </w:tabs>
        <w:spacing w:after="60"/>
        <w:rPr>
          <w:rFonts w:cs="Tahoma"/>
          <w:lang w:val="pt-BR"/>
        </w:rPr>
      </w:pPr>
    </w:p>
    <w:p w:rsidR="008B1196" w:rsidRPr="00EB4D74" w:rsidRDefault="008B1196" w:rsidP="008B1196">
      <w:pPr>
        <w:tabs>
          <w:tab w:val="left" w:pos="1800"/>
        </w:tabs>
        <w:spacing w:after="60"/>
        <w:rPr>
          <w:rFonts w:cs="Tahoma"/>
          <w:lang w:val="pt-BR"/>
        </w:rPr>
      </w:pPr>
    </w:p>
    <w:p w:rsidR="008B1196" w:rsidRPr="00EB4D74" w:rsidRDefault="008B1196" w:rsidP="008B1196">
      <w:pPr>
        <w:tabs>
          <w:tab w:val="left" w:pos="1800"/>
        </w:tabs>
        <w:spacing w:after="60"/>
        <w:rPr>
          <w:rFonts w:cs="Tahoma"/>
          <w:lang w:val="pt-BR"/>
        </w:rPr>
      </w:pPr>
    </w:p>
    <w:p w:rsidR="008B1196" w:rsidRPr="00EB4D74" w:rsidRDefault="008B1196" w:rsidP="008B1196">
      <w:pPr>
        <w:numPr>
          <w:ilvl w:val="1"/>
          <w:numId w:val="92"/>
        </w:numPr>
        <w:tabs>
          <w:tab w:val="left" w:pos="1800"/>
        </w:tabs>
        <w:spacing w:after="60"/>
        <w:ind w:left="1800"/>
        <w:rPr>
          <w:rFonts w:cs="Tahoma"/>
          <w:lang w:val="it-IT"/>
        </w:rPr>
      </w:pPr>
      <w:r w:rsidRPr="00EB4D74">
        <w:rPr>
          <w:rFonts w:eastAsia="Times New Roman" w:cs="Tahoma"/>
          <w:szCs w:val="18"/>
          <w:lang w:val="pt-BR"/>
        </w:rPr>
        <w:t>quaisquer reatribuição de licenças está sujeita a limitações em (i) e (ii) abaixo relacionada a sua “equivalência de licença de núcleo”. A equivalência de licença de núcleo é determinada da seguinte forma:</w:t>
      </w:r>
    </w:p>
    <w:p w:rsidR="008B1196" w:rsidRPr="00EB4D74" w:rsidRDefault="008B1196" w:rsidP="008B1196">
      <w:pPr>
        <w:numPr>
          <w:ilvl w:val="2"/>
          <w:numId w:val="92"/>
        </w:numPr>
        <w:tabs>
          <w:tab w:val="left" w:pos="2160"/>
        </w:tabs>
        <w:spacing w:after="60"/>
        <w:ind w:left="2160" w:hanging="360"/>
        <w:rPr>
          <w:rFonts w:cs="Tahoma"/>
          <w:lang w:val="it-IT"/>
        </w:rPr>
      </w:pPr>
      <w:r w:rsidRPr="00EB4D7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8B1196" w:rsidRPr="00EB4D74" w:rsidRDefault="008B1196" w:rsidP="008B1196">
      <w:pPr>
        <w:numPr>
          <w:ilvl w:val="4"/>
          <w:numId w:val="91"/>
        </w:numPr>
        <w:tabs>
          <w:tab w:val="left" w:pos="2520"/>
        </w:tabs>
        <w:spacing w:after="60"/>
        <w:ind w:left="2520"/>
        <w:rPr>
          <w:rFonts w:cs="Tahoma"/>
        </w:rPr>
      </w:pPr>
      <w:r w:rsidRPr="00EB4D74">
        <w:rPr>
          <w:rFonts w:cs="Tahoma"/>
          <w:lang w:val="pt-BR"/>
        </w:rPr>
        <w:t>oito núcleos por licença de processador OU</w:t>
      </w:r>
    </w:p>
    <w:p w:rsidR="008B1196" w:rsidRPr="00EB4D74" w:rsidRDefault="008B1196" w:rsidP="008B1196">
      <w:pPr>
        <w:numPr>
          <w:ilvl w:val="4"/>
          <w:numId w:val="91"/>
        </w:numPr>
        <w:tabs>
          <w:tab w:val="left" w:pos="2520"/>
        </w:tabs>
        <w:spacing w:after="60"/>
        <w:ind w:left="2520"/>
        <w:rPr>
          <w:rFonts w:cs="Tahoma"/>
          <w:lang w:val="it-IT"/>
        </w:rPr>
      </w:pPr>
      <w:r w:rsidRPr="00EB4D74">
        <w:rPr>
          <w:rFonts w:eastAsia="Times New Roman" w:cs="Tahoma"/>
          <w:szCs w:val="18"/>
          <w:lang w:val="pt-BR"/>
        </w:rPr>
        <w:t>um número de núcleos por licença do processador com base no número real de núcleos por processador físico multiplicado pelo fator de núcleo apropriado. (Nos casos em que o número real de núcleos por processador físico excede oito,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8B1196" w:rsidRPr="00EB4D74" w:rsidRDefault="008B1196" w:rsidP="008B1196">
      <w:pPr>
        <w:numPr>
          <w:ilvl w:val="2"/>
          <w:numId w:val="92"/>
        </w:numPr>
        <w:tabs>
          <w:tab w:val="left" w:pos="2160"/>
        </w:tabs>
        <w:spacing w:after="60"/>
        <w:ind w:left="2160" w:hanging="360"/>
        <w:rPr>
          <w:rFonts w:cs="Tahoma"/>
          <w:lang w:val="it-IT"/>
        </w:rPr>
      </w:pPr>
      <w:r w:rsidRPr="00EB4D74">
        <w:rPr>
          <w:rFonts w:cs="Tahoma"/>
          <w:lang w:val="pt-BR"/>
        </w:rPr>
        <w:t>Para qualquer licença de processador com um Software Assurance expirando atribuído ao mesmo servidor licenciado em excesso do número real de processadores físicos no servidor, a equivalência de núcleo é de oito núcleos por licença de processador.</w:t>
      </w:r>
    </w:p>
    <w:p w:rsidR="008B1196" w:rsidRPr="00EB4D74" w:rsidRDefault="008B1196" w:rsidP="008B1196">
      <w:pPr>
        <w:numPr>
          <w:ilvl w:val="1"/>
          <w:numId w:val="92"/>
        </w:numPr>
        <w:tabs>
          <w:tab w:val="left" w:pos="1800"/>
          <w:tab w:val="left" w:pos="2970"/>
        </w:tabs>
        <w:spacing w:after="60"/>
        <w:ind w:left="1800"/>
        <w:rPr>
          <w:rFonts w:cs="Tahoma"/>
        </w:rPr>
      </w:pPr>
      <w:r w:rsidRPr="00EB4D74">
        <w:rPr>
          <w:rFonts w:cs="Tahoma"/>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8B1196" w:rsidRPr="00EB4D74" w:rsidRDefault="008B1196" w:rsidP="008B1196">
      <w:pPr>
        <w:numPr>
          <w:ilvl w:val="1"/>
          <w:numId w:val="92"/>
        </w:numPr>
        <w:tabs>
          <w:tab w:val="left" w:pos="1800"/>
        </w:tabs>
        <w:spacing w:after="60"/>
        <w:ind w:left="1800"/>
        <w:rPr>
          <w:rFonts w:cs="Tahoma"/>
        </w:rPr>
      </w:pPr>
      <w:r w:rsidRPr="00EB4D74">
        <w:rPr>
          <w:rFonts w:cs="Tahoma"/>
          <w:lang w:val="pt-BR"/>
        </w:rPr>
        <w:t>A equivalência de licença de núcleo dos clientes não implica que eles podem atribuir uma única licença de processador a núcleos por dois ou mais processadores.</w:t>
      </w:r>
    </w:p>
    <w:p w:rsidR="008B1196" w:rsidRPr="00EB4D74" w:rsidRDefault="008B1196" w:rsidP="008B1196">
      <w:pPr>
        <w:tabs>
          <w:tab w:val="left" w:pos="720"/>
        </w:tabs>
        <w:ind w:left="720"/>
        <w:contextualSpacing/>
        <w:rPr>
          <w:rFonts w:cs="Tahoma"/>
        </w:rPr>
      </w:pPr>
    </w:p>
    <w:p w:rsidR="008B1196" w:rsidRPr="00EB4D74" w:rsidRDefault="008B1196" w:rsidP="008B1196">
      <w:pPr>
        <w:tabs>
          <w:tab w:val="left" w:pos="720"/>
        </w:tabs>
        <w:spacing w:after="60"/>
        <w:ind w:left="720"/>
        <w:rPr>
          <w:rFonts w:cs="Tahoma"/>
        </w:rPr>
      </w:pPr>
      <w:r w:rsidRPr="00EB4D74">
        <w:rPr>
          <w:rFonts w:cs="Tahoma"/>
          <w:b/>
          <w:lang w:val="pt-BR"/>
        </w:rPr>
        <w:t>Para os clientes com cobertura de Software Assurance que expiram em ou depois de 1º de abril de 2015 que optaram pela não renovação</w:t>
      </w:r>
    </w:p>
    <w:p w:rsidR="008B1196" w:rsidRPr="00EB4D74" w:rsidRDefault="008B1196" w:rsidP="008B1196">
      <w:pPr>
        <w:tabs>
          <w:tab w:val="left" w:pos="720"/>
        </w:tabs>
        <w:ind w:left="720"/>
        <w:contextualSpacing/>
        <w:rPr>
          <w:rFonts w:cs="Tahoma"/>
        </w:rPr>
      </w:pPr>
      <w:r w:rsidRPr="00EB4D7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8B1196" w:rsidRPr="00EB4D74" w:rsidRDefault="008B1196" w:rsidP="008B1196">
      <w:pPr>
        <w:tabs>
          <w:tab w:val="left" w:pos="720"/>
        </w:tabs>
        <w:ind w:left="720"/>
        <w:contextualSpacing/>
        <w:rPr>
          <w:rFonts w:cs="Tahoma"/>
        </w:rPr>
      </w:pPr>
    </w:p>
    <w:p w:rsidR="008B1196" w:rsidRPr="00EB4D74" w:rsidRDefault="008B1196" w:rsidP="008B1196">
      <w:pPr>
        <w:numPr>
          <w:ilvl w:val="2"/>
          <w:numId w:val="91"/>
        </w:numPr>
        <w:tabs>
          <w:tab w:val="left" w:pos="1440"/>
        </w:tabs>
        <w:spacing w:after="60"/>
        <w:ind w:left="1440"/>
        <w:rPr>
          <w:rFonts w:cs="Tahoma"/>
          <w:lang w:val="it-IT"/>
        </w:rPr>
      </w:pPr>
      <w:r w:rsidRPr="00EB4D74">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8B1196" w:rsidRPr="00EB4D74" w:rsidRDefault="008B1196" w:rsidP="008B1196">
      <w:pPr>
        <w:tabs>
          <w:tab w:val="left" w:pos="1440"/>
        </w:tabs>
        <w:spacing w:after="60"/>
        <w:ind w:left="1440"/>
        <w:rPr>
          <w:rFonts w:cs="Tahoma"/>
          <w:lang w:val="it-IT"/>
        </w:rPr>
      </w:pPr>
    </w:p>
    <w:p w:rsidR="008B1196" w:rsidRPr="00EB4D74" w:rsidRDefault="008B1196" w:rsidP="008B1196">
      <w:pPr>
        <w:numPr>
          <w:ilvl w:val="2"/>
          <w:numId w:val="91"/>
        </w:numPr>
        <w:tabs>
          <w:tab w:val="left" w:pos="1440"/>
        </w:tabs>
        <w:spacing w:after="60"/>
        <w:ind w:left="1440"/>
        <w:rPr>
          <w:rFonts w:cs="Tahoma"/>
          <w:lang w:val="pt-BR"/>
        </w:rPr>
      </w:pPr>
      <w:r w:rsidRPr="00EB4D74">
        <w:rPr>
          <w:rFonts w:cs="Tahoma"/>
          <w:lang w:val="pt-BR"/>
        </w:rPr>
        <w:t>Para as licenças adquiridas depois de 1º de abril de2015, a licença do processador de clientes terá uma equivalência de núcleo de oito licenças principais do SQL Server 2012 Enterprise. Para o uso contínuo do SQL Server 2012 em processadores que exigem mais de oito licenças principais por processador, o cliente tem que adquirir licenças principais adicionais.</w:t>
      </w:r>
    </w:p>
    <w:p w:rsidR="008B1196" w:rsidRPr="00EB4D74" w:rsidRDefault="008B1196" w:rsidP="008B1196">
      <w:pPr>
        <w:tabs>
          <w:tab w:val="left" w:pos="1440"/>
        </w:tabs>
        <w:ind w:left="1440"/>
        <w:contextualSpacing/>
        <w:rPr>
          <w:rFonts w:cs="Tahoma"/>
          <w:lang w:val="pt-BR"/>
        </w:rPr>
      </w:pPr>
    </w:p>
    <w:p w:rsidR="008B1196" w:rsidRPr="00EB4D74" w:rsidRDefault="008B1196" w:rsidP="008B1196">
      <w:pPr>
        <w:tabs>
          <w:tab w:val="left" w:pos="720"/>
        </w:tabs>
        <w:spacing w:after="60"/>
        <w:ind w:left="720"/>
        <w:rPr>
          <w:rFonts w:cs="Tahoma"/>
          <w:lang w:val="it-IT"/>
        </w:rPr>
      </w:pPr>
      <w:r w:rsidRPr="00EB4D74">
        <w:rPr>
          <w:rFonts w:cs="Tahoma"/>
          <w:b/>
          <w:lang w:val="pt-BR"/>
        </w:rPr>
        <w:t>Para os clientes localizados na República Popular da China e para os que estão adquirindo licenças de processador e Software Assurance para SQL Server 2008 R2</w:t>
      </w:r>
    </w:p>
    <w:p w:rsidR="008B1196" w:rsidRPr="00EB4D74" w:rsidRDefault="008B1196" w:rsidP="008B1196">
      <w:pPr>
        <w:tabs>
          <w:tab w:val="left" w:pos="720"/>
        </w:tabs>
        <w:ind w:left="720"/>
        <w:contextualSpacing/>
        <w:rPr>
          <w:rFonts w:cs="Tahoma"/>
        </w:rPr>
      </w:pPr>
      <w:r w:rsidRPr="00EB4D74">
        <w:rPr>
          <w:rFonts w:cs="Tahoma"/>
          <w:lang w:val="pt-BR"/>
        </w:rPr>
        <w:t>As referências a 1º de abril de 2012 e 1º de abril de 2015 nesta nota da lista de produtos não são aplicáveis. As datas aplicáveis para esses clientes são 1º de julho de 2012 e 1º de julho de 2015, respectivamente.</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390" w:name="_Toc336338340"/>
      <w:bookmarkStart w:id="1391" w:name="_Toc342914966"/>
      <w:bookmarkStart w:id="1392" w:name="Srv_82SQL2008Paralleldata"/>
      <w:bookmarkEnd w:id="1390"/>
      <w:r w:rsidRPr="00EB4D74">
        <w:rPr>
          <w:rFonts w:ascii="Tahoma" w:hAnsi="Tahoma" w:cs="Tahoma"/>
          <w:caps/>
          <w:color w:val="F66400"/>
          <w:sz w:val="22"/>
          <w:vertAlign w:val="superscript"/>
          <w:lang w:val="pt-BR"/>
        </w:rPr>
        <w:t>71</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2008 R2 Parallel Data Warehouse</w:t>
      </w:r>
      <w:bookmarkEnd w:id="1391"/>
    </w:p>
    <w:bookmarkEnd w:id="1392"/>
    <w:p w:rsidR="008B1196" w:rsidRPr="00EB4D74" w:rsidRDefault="008B1196" w:rsidP="008B1196">
      <w:pPr>
        <w:ind w:left="900"/>
        <w:rPr>
          <w:rFonts w:cs="Tahoma"/>
        </w:rPr>
      </w:pPr>
    </w:p>
    <w:p w:rsidR="008B1196" w:rsidRPr="00EB4D74" w:rsidRDefault="008B1196" w:rsidP="008B1196">
      <w:pPr>
        <w:ind w:left="720"/>
        <w:rPr>
          <w:rFonts w:cs="Tahoma"/>
          <w:lang w:val="it-IT"/>
        </w:rPr>
      </w:pPr>
      <w:r w:rsidRPr="00EB4D74">
        <w:rPr>
          <w:rFonts w:eastAsia="Times New Roman" w:cs="Tahoma"/>
          <w:szCs w:val="18"/>
          <w:lang w:val="pt-BR"/>
        </w:rPr>
        <w:lastRenderedPageBreak/>
        <w:t xml:space="preserve">Este software está disponível somente em configurações de software e hardware aprovadas pela Microsoft. Não há suporte para o uso do software em outras configurações e, nesse caso, o desempenho será afetado. </w:t>
      </w:r>
      <w:r w:rsidRPr="00EB4D74">
        <w:rPr>
          <w:rFonts w:cs="Tahoma"/>
          <w:lang w:val="pt-BR"/>
        </w:rPr>
        <w:t xml:space="preserve">Consulte o site </w:t>
      </w:r>
      <w:hyperlink r:id="rId38" w:history="1">
        <w:r w:rsidRPr="00EB4D74">
          <w:rPr>
            <w:rStyle w:val="Hyperlink"/>
            <w:rFonts w:cs="Tahoma"/>
            <w:lang w:val="pt-BR"/>
          </w:rPr>
          <w:t>http://www.microsoft.com/sqlserver/2008/en/us/parallel-data-warehouse.aspx</w:t>
        </w:r>
      </w:hyperlink>
    </w:p>
    <w:p w:rsidR="008B1196" w:rsidRPr="00EB4D74" w:rsidRDefault="008B1196" w:rsidP="008B1196">
      <w:pPr>
        <w:pStyle w:val="Heading3"/>
        <w:rPr>
          <w:rFonts w:ascii="Tahoma" w:hAnsi="Tahoma" w:cs="Tahoma"/>
        </w:rPr>
      </w:pPr>
      <w:bookmarkStart w:id="1393" w:name="_Toc336338341"/>
      <w:bookmarkStart w:id="1394" w:name="Srv_83SQL2008R2Smallbiz"/>
      <w:bookmarkStart w:id="1395" w:name="_Toc342914967"/>
      <w:bookmarkEnd w:id="1393"/>
      <w:bookmarkEnd w:id="1394"/>
      <w:r w:rsidRPr="00EB4D74">
        <w:rPr>
          <w:rFonts w:ascii="Tahoma" w:hAnsi="Tahoma" w:cs="Tahoma"/>
          <w:caps/>
          <w:color w:val="FE6700"/>
          <w:sz w:val="22"/>
          <w:vertAlign w:val="superscript"/>
          <w:lang w:val="pt-BR"/>
        </w:rPr>
        <w:t>72</w:t>
      </w:r>
      <w:r w:rsidRPr="00EB4D74">
        <w:rPr>
          <w:rFonts w:ascii="Tahoma" w:hAnsi="Tahoma" w:cs="Tahoma"/>
          <w:color w:val="FE6700"/>
          <w:sz w:val="22"/>
          <w:lang w:val="pt-BR"/>
        </w:rPr>
        <w:t xml:space="preserve"> SQL Server</w:t>
      </w:r>
      <w:r w:rsidRPr="00EB4D74">
        <w:rPr>
          <w:rFonts w:ascii="Tahoma" w:hAnsi="Tahoma" w:cs="Tahoma"/>
          <w:color w:val="FE6700"/>
          <w:sz w:val="22"/>
          <w:vertAlign w:val="superscript"/>
          <w:lang w:val="pt-BR"/>
        </w:rPr>
        <w:t>®</w:t>
      </w:r>
      <w:r w:rsidRPr="00EB4D74">
        <w:rPr>
          <w:rFonts w:ascii="Tahoma" w:hAnsi="Tahoma" w:cs="Tahoma"/>
          <w:color w:val="FE6700"/>
          <w:sz w:val="22"/>
          <w:lang w:val="pt-BR"/>
        </w:rPr>
        <w:t xml:space="preserve"> 2008 R2 Small Business</w:t>
      </w:r>
      <w:bookmarkEnd w:id="1395"/>
    </w:p>
    <w:p w:rsidR="008B1196" w:rsidRPr="00EB4D74" w:rsidRDefault="008B1196" w:rsidP="008B1196">
      <w:pPr>
        <w:rPr>
          <w:rFonts w:cs="Tahoma"/>
        </w:rPr>
      </w:pPr>
    </w:p>
    <w:p w:rsidR="008B1196" w:rsidRPr="00EB4D74" w:rsidRDefault="008B1196" w:rsidP="008B1196">
      <w:pPr>
        <w:spacing w:after="60" w:line="276" w:lineRule="auto"/>
        <w:ind w:left="720"/>
        <w:rPr>
          <w:rFonts w:cs="Tahoma"/>
        </w:rPr>
      </w:pPr>
      <w:r w:rsidRPr="00EB4D74">
        <w:rPr>
          <w:rFonts w:cs="Tahoma"/>
          <w:b/>
          <w:lang w:val="pt-BR"/>
        </w:rPr>
        <w:t>Outorgas de Licença Associadas ao término da validade da edição do SQL Server Small Business</w:t>
      </w:r>
    </w:p>
    <w:p w:rsidR="008B1196" w:rsidRPr="00EB4D74" w:rsidRDefault="008B1196" w:rsidP="008B1196">
      <w:pPr>
        <w:spacing w:after="200"/>
        <w:ind w:left="720"/>
        <w:rPr>
          <w:rFonts w:cs="Tahoma"/>
        </w:rPr>
      </w:pPr>
      <w:r w:rsidRPr="00EB4D74">
        <w:rPr>
          <w:rFonts w:eastAsia="Times New Roman" w:cs="Tahoma"/>
          <w:szCs w:val="18"/>
          <w:lang w:val="pt-BR"/>
        </w:rPr>
        <w:t xml:space="preserve">O SQL Server 2008 R2 para Small Business será a última versão da edição do SQL Server para Small Business. Como exceção, os clientes de licenciamento por volume com Software Assurance ativo para licenças do SQL Server 2008 R2 para Small Business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para Small Business em 1º de abril de 2012 poderão fazer atualização e usar as CALs do SQL Server 2012 (ou qualquer versão posterior dessa CAL disponibilizada durante sua cobertura) no lugar da CAL do SQL Server Small Business e adquirir o Software Assurance para CAL do SQL Server quando sua cobertura atual expirar. </w:t>
      </w:r>
      <w:r w:rsidRPr="00EB4D74">
        <w:rPr>
          <w:rFonts w:cs="Tahoma"/>
          <w:lang w:val="pt-BR"/>
        </w:rPr>
        <w:t>As licenças do SQL Server Small Business dos clientes não são mais válidas quando eles adquirem o Software Assurance do SQL Server Standard sob esta oferta.</w:t>
      </w:r>
    </w:p>
    <w:p w:rsidR="008B1196" w:rsidRPr="00EB4D74" w:rsidRDefault="008B1196" w:rsidP="008B1196">
      <w:pPr>
        <w:spacing w:after="60" w:line="276" w:lineRule="auto"/>
        <w:ind w:left="720"/>
        <w:rPr>
          <w:rFonts w:cs="Tahoma"/>
          <w:lang w:val="it-IT"/>
        </w:rPr>
      </w:pPr>
      <w:r w:rsidRPr="00EB4D74">
        <w:rPr>
          <w:rFonts w:cs="Tahoma"/>
          <w:b/>
          <w:lang w:val="pt-BR"/>
        </w:rPr>
        <w:t>Para os clientes localizados na República Popular da China e para os que estão adquirindo licenças e Software Assurance para SQL Server 2008 R2</w:t>
      </w:r>
    </w:p>
    <w:p w:rsidR="008B1196" w:rsidRPr="00EB4D74" w:rsidRDefault="008B1196" w:rsidP="008B1196">
      <w:pPr>
        <w:ind w:left="720"/>
        <w:rPr>
          <w:rFonts w:cs="Tahoma"/>
          <w:lang w:val="pt-BR"/>
        </w:rPr>
      </w:pPr>
      <w:r w:rsidRPr="00EB4D74">
        <w:rPr>
          <w:rFonts w:cs="Tahoma"/>
          <w:lang w:val="pt-BR"/>
        </w:rPr>
        <w:t>As referências a 1º de abril de 2012 nesta nota da lista de produtos não são aplicáveis. A data aplicável para esses clientes é 1º de julho de 2012.</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pStyle w:val="Heading3"/>
        <w:rPr>
          <w:rFonts w:ascii="Tahoma" w:hAnsi="Tahoma" w:cs="Tahoma"/>
          <w:lang w:val="pt-BR"/>
        </w:rPr>
      </w:pPr>
      <w:bookmarkStart w:id="1396" w:name="_Toc336338342"/>
      <w:bookmarkStart w:id="1397" w:name="Srv_84SQL2008R2Webproc"/>
      <w:bookmarkStart w:id="1398" w:name="_Toc342914968"/>
      <w:bookmarkEnd w:id="1396"/>
      <w:bookmarkEnd w:id="1397"/>
      <w:r w:rsidRPr="00EB4D74">
        <w:rPr>
          <w:rFonts w:ascii="Tahoma" w:hAnsi="Tahoma" w:cs="Tahoma"/>
          <w:caps/>
          <w:color w:val="FE6700"/>
          <w:sz w:val="22"/>
          <w:vertAlign w:val="superscript"/>
          <w:lang w:val="pt-BR"/>
        </w:rPr>
        <w:t>73</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2008 R2 Web Processador</w:t>
      </w:r>
      <w:bookmarkEnd w:id="1398"/>
    </w:p>
    <w:p w:rsidR="008B1196" w:rsidRPr="00EB4D74" w:rsidRDefault="008B1196" w:rsidP="008B1196">
      <w:pPr>
        <w:rPr>
          <w:rFonts w:cs="Tahoma"/>
          <w:lang w:val="pt-BR"/>
        </w:rPr>
      </w:pPr>
    </w:p>
    <w:p w:rsidR="008B1196" w:rsidRPr="00EB4D74" w:rsidRDefault="008B1196" w:rsidP="008B1196">
      <w:pPr>
        <w:spacing w:after="60"/>
        <w:ind w:left="720"/>
        <w:rPr>
          <w:rFonts w:cs="Tahoma"/>
          <w:lang w:val="pt-BR"/>
        </w:rPr>
      </w:pPr>
      <w:r w:rsidRPr="00EB4D74">
        <w:rPr>
          <w:rFonts w:cs="Tahoma"/>
          <w:b/>
          <w:lang w:val="pt-BR"/>
        </w:rPr>
        <w:t>Outorgas de Licença Associadas à Alteração no Modelo de Licenciamento</w:t>
      </w:r>
    </w:p>
    <w:p w:rsidR="008B1196" w:rsidRPr="00EB4D74" w:rsidRDefault="008B1196" w:rsidP="008B1196">
      <w:pPr>
        <w:ind w:left="720"/>
        <w:rPr>
          <w:rFonts w:cs="Tahoma"/>
          <w:lang w:val="pt-BR"/>
        </w:rPr>
      </w:pPr>
      <w:r w:rsidRPr="00EB4D74">
        <w:rPr>
          <w:rFonts w:eastAsia="Times New Roman" w:cs="Tahoma"/>
          <w:szCs w:val="18"/>
          <w:lang w:val="pt-BR"/>
        </w:rPr>
        <w:t xml:space="preserve">O SQL Server 2008 R2 será a última versão do SQL Server licenciada sob o modelo de licenciamento por processador e a última versão da edição da Web do SQL Server sob programas de usuário final de licenciamento por volume. Como uma exceção, aos clientes de licenciamento por volume com Software Assurance ativo para licenças do processador do SQL Server 2008 R2 Web em 1º de abril de 2012 (“licenças de qualificação”) são concedidas as seguintes opções. </w:t>
      </w:r>
      <w:r w:rsidRPr="00EB4D74">
        <w:rPr>
          <w:rFonts w:cs="Tahoma"/>
          <w:lang w:val="pt-BR"/>
        </w:rPr>
        <w:t xml:space="preserve">As licenças do processador do SQL Server 2008 R2 Web adquiridas posteriormente no mesmo prazo de registro, mas antes de 1º de abril de 2015 como parte de um processo de adequação (“true-up”) programado do cliente Enterprise, Enterprise Subscription, Open Value Subscription ou EES também são “licenças de qualificação” para fins dessas opções. </w:t>
      </w:r>
      <w:r w:rsidRPr="00EB4D74">
        <w:rPr>
          <w:rFonts w:cs="Tahoma"/>
          <w:color w:val="000000"/>
          <w:lang w:val="pt-BR"/>
        </w:rPr>
        <w:t>As licenças adquiridas depois de 1º de abril de 2015 ou sob um prazo de registro subsequente, um contrato separado ou qualquer registro com uma data de início de vigência após 1º de abril de 2012 não são licenças de qualificação.</w:t>
      </w:r>
    </w:p>
    <w:p w:rsidR="008B1196" w:rsidRPr="00EB4D74" w:rsidRDefault="008B1196" w:rsidP="008B1196">
      <w:pPr>
        <w:spacing w:after="60"/>
        <w:ind w:left="720"/>
        <w:rPr>
          <w:rFonts w:cs="Tahoma"/>
          <w:lang w:val="it-IT"/>
        </w:rPr>
      </w:pPr>
      <w:r w:rsidRPr="00EB4D74">
        <w:rPr>
          <w:rFonts w:cs="Tahoma"/>
          <w:b/>
          <w:lang w:val="pt-BR"/>
        </w:rPr>
        <w:t>Prazo Atual</w:t>
      </w:r>
    </w:p>
    <w:p w:rsidR="008B1196" w:rsidRPr="00EB4D74" w:rsidRDefault="008B1196" w:rsidP="008B1196">
      <w:pPr>
        <w:ind w:left="720"/>
        <w:rPr>
          <w:rFonts w:cs="Tahoma"/>
          <w:lang w:val="pt-BR"/>
        </w:rPr>
      </w:pPr>
      <w:r w:rsidRPr="00EB4D74">
        <w:rPr>
          <w:rFonts w:eastAsia="Times New Roman" w:cs="Tahoma"/>
          <w:szCs w:val="18"/>
          <w:lang w:val="pt-BR"/>
        </w:rPr>
        <w:t xml:space="preserve">Durante o prazo atual da sua cobertura de Software Assurance a partir de 1º de abril de 2012, os clientes (incluindo aqueles sob contratos de assinatura) podem, sob qualquer licença de qualificação, atualizar e usar o SQL Server 2012 Standard Core em vez do SQL Server 2008 R2 Web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w:t>
      </w:r>
      <w:r w:rsidRPr="00EB4D74">
        <w:rPr>
          <w:rFonts w:cs="Tahoma"/>
          <w:lang w:val="pt-BR"/>
        </w:rPr>
        <w:t>Os clientes devem consultar os Direitos de Uso do Produto para SQL Server 2012 Standard Core quanto aos termos de licença para Mobilidade de Licença.</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r w:rsidRPr="00EB4D74">
        <w:rPr>
          <w:rFonts w:cs="Tahoma"/>
          <w:b/>
          <w:lang w:val="pt-BR"/>
        </w:rPr>
        <w:t>Primeiro Prazo de Renovação (antes de 1º de abril de 2015)</w:t>
      </w:r>
    </w:p>
    <w:p w:rsidR="008B1196" w:rsidRPr="00EB4D74" w:rsidRDefault="008B1196" w:rsidP="008B1196">
      <w:pPr>
        <w:ind w:left="720"/>
        <w:rPr>
          <w:rFonts w:cs="Tahoma"/>
          <w:lang w:val="it-IT"/>
        </w:rPr>
      </w:pPr>
      <w:r w:rsidRPr="00EB4D74">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rsidR="008B1196" w:rsidRPr="00EB4D74" w:rsidRDefault="008B1196" w:rsidP="008B1196">
      <w:pPr>
        <w:numPr>
          <w:ilvl w:val="0"/>
          <w:numId w:val="121"/>
        </w:numPr>
        <w:tabs>
          <w:tab w:val="left" w:pos="1800"/>
        </w:tabs>
        <w:spacing w:after="60"/>
        <w:rPr>
          <w:rFonts w:cs="Tahoma"/>
          <w:lang w:val="it-IT"/>
        </w:rPr>
      </w:pPr>
      <w:r w:rsidRPr="00EB4D74">
        <w:rPr>
          <w:rFonts w:cs="Tahoma"/>
          <w:lang w:val="pt-BR"/>
        </w:rPr>
        <w:lastRenderedPageBreak/>
        <w:t>um número igual ao menor número de licenças de qualificação atribuído ao servidor ou o número total de processadores físicos no servidor multiplicado pelo maior de:</w:t>
      </w:r>
    </w:p>
    <w:p w:rsidR="008B1196" w:rsidRPr="00EB4D74" w:rsidRDefault="008B1196" w:rsidP="008B1196">
      <w:pPr>
        <w:numPr>
          <w:ilvl w:val="3"/>
          <w:numId w:val="96"/>
        </w:numPr>
        <w:spacing w:after="60"/>
        <w:ind w:left="2160"/>
        <w:rPr>
          <w:rFonts w:cs="Tahoma"/>
        </w:rPr>
      </w:pPr>
      <w:r w:rsidRPr="00EB4D74">
        <w:rPr>
          <w:rFonts w:cs="Tahoma"/>
          <w:lang w:val="pt-BR"/>
        </w:rPr>
        <w:t>Quatro OU</w:t>
      </w:r>
    </w:p>
    <w:p w:rsidR="008B1196" w:rsidRPr="00EB4D74" w:rsidRDefault="008B1196" w:rsidP="008B1196">
      <w:pPr>
        <w:numPr>
          <w:ilvl w:val="3"/>
          <w:numId w:val="96"/>
        </w:numPr>
        <w:spacing w:after="60" w:line="200" w:lineRule="exact"/>
        <w:ind w:left="2160"/>
        <w:rPr>
          <w:rFonts w:cs="Tahoma"/>
          <w:lang w:val="it-IT"/>
        </w:rPr>
      </w:pPr>
      <w:r w:rsidRPr="00EB4D74">
        <w:rPr>
          <w:rFonts w:eastAsia="Times New Roman" w:cs="Tahoma"/>
          <w:szCs w:val="18"/>
          <w:lang w:val="pt-BR"/>
        </w:rPr>
        <w:t>o número real de núcleos por processador físico multiplicado pelo fator do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p>
    <w:p w:rsidR="008B1196" w:rsidRPr="00EB4D74" w:rsidRDefault="008B1196" w:rsidP="008B1196">
      <w:pPr>
        <w:numPr>
          <w:ilvl w:val="0"/>
          <w:numId w:val="121"/>
        </w:numPr>
        <w:tabs>
          <w:tab w:val="left" w:pos="1800"/>
        </w:tabs>
        <w:spacing w:after="60"/>
        <w:rPr>
          <w:rFonts w:cs="Tahoma"/>
          <w:lang w:val="it-IT"/>
        </w:rPr>
      </w:pPr>
      <w:r w:rsidRPr="00EB4D74">
        <w:rPr>
          <w:rFonts w:cs="Tahoma"/>
          <w:lang w:val="pt-BR"/>
        </w:rPr>
        <w:t>um número igual ao número das licenças de qualificação atribuído ao servidor em excesso do número real de processadores físicos no servidor multiplicado por quatro.</w:t>
      </w:r>
    </w:p>
    <w:p w:rsidR="008B1196" w:rsidRPr="00EB4D74" w:rsidRDefault="008B1196" w:rsidP="008B1196">
      <w:pPr>
        <w:tabs>
          <w:tab w:val="left" w:pos="1800"/>
        </w:tabs>
        <w:ind w:left="1080"/>
        <w:rPr>
          <w:rFonts w:cs="Tahoma"/>
          <w:sz w:val="14"/>
          <w:szCs w:val="18"/>
          <w:lang w:val="it-IT"/>
        </w:rPr>
      </w:pPr>
    </w:p>
    <w:p w:rsidR="008B1196" w:rsidRPr="00EB4D74" w:rsidRDefault="008B1196" w:rsidP="008B1196">
      <w:pPr>
        <w:spacing w:after="60"/>
        <w:ind w:left="720"/>
        <w:rPr>
          <w:rFonts w:cs="Tahoma"/>
          <w:lang w:val="it-IT"/>
        </w:rPr>
      </w:pPr>
      <w:r w:rsidRPr="00EB4D74">
        <w:rPr>
          <w:rFonts w:cs="Tahoma"/>
          <w:b/>
          <w:lang w:val="pt-BR"/>
        </w:rPr>
        <w:t>Primeiro Prazo de Renovação (em ou após 1º de abril de 2015)</w:t>
      </w:r>
    </w:p>
    <w:p w:rsidR="008B1196" w:rsidRPr="00EB4D74" w:rsidRDefault="008B1196" w:rsidP="008B1196">
      <w:pPr>
        <w:ind w:left="720"/>
        <w:contextualSpacing/>
        <w:rPr>
          <w:rFonts w:cs="Tahoma"/>
          <w:lang w:val="it-IT"/>
        </w:rPr>
      </w:pPr>
      <w:r w:rsidRPr="00EB4D7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8B1196" w:rsidRPr="00EB4D74" w:rsidRDefault="008B1196" w:rsidP="008B1196">
      <w:pPr>
        <w:ind w:left="720"/>
        <w:contextualSpacing/>
        <w:rPr>
          <w:rFonts w:cs="Tahoma"/>
          <w:sz w:val="14"/>
          <w:szCs w:val="18"/>
          <w:lang w:val="it-IT"/>
        </w:rPr>
      </w:pPr>
    </w:p>
    <w:p w:rsidR="008B1196" w:rsidRPr="00EB4D74" w:rsidRDefault="008B1196" w:rsidP="008B1196">
      <w:pPr>
        <w:numPr>
          <w:ilvl w:val="3"/>
          <w:numId w:val="107"/>
        </w:numPr>
        <w:spacing w:after="60"/>
        <w:ind w:left="1440"/>
        <w:rPr>
          <w:rFonts w:cs="Tahoma"/>
          <w:lang w:val="it-IT"/>
        </w:rPr>
      </w:pPr>
      <w:r w:rsidRPr="00EB4D74">
        <w:rPr>
          <w:rFonts w:cs="Tahoma"/>
          <w:lang w:val="pt-BR"/>
        </w:rPr>
        <w:t>Conforme fornecido no primeiro parágrafo desta nota do produto, as licenças adquiridas antes de 1º de abril de 2015 são licenças de qualificação, e os clientes poderão renovar o SA de acordo com os termos na seção “Primeiro Prazo de Renovação (Antes de 1º de abril de 2015) “ acima e</w:t>
      </w:r>
    </w:p>
    <w:p w:rsidR="008B1196" w:rsidRPr="00EB4D74" w:rsidRDefault="008B1196" w:rsidP="008B1196">
      <w:pPr>
        <w:numPr>
          <w:ilvl w:val="3"/>
          <w:numId w:val="107"/>
        </w:numPr>
        <w:spacing w:after="60"/>
        <w:ind w:left="1440"/>
        <w:rPr>
          <w:rFonts w:cs="Tahoma"/>
          <w:lang w:val="pt-BR"/>
        </w:rPr>
      </w:pPr>
      <w:r w:rsidRPr="00EB4D74">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Web. Para o uso contínuo do SQL Server 2012 em processadores que exigem mais de quatro licenças principais por processador, o cliente tem que adquirir licenças principais adicionais.</w:t>
      </w:r>
    </w:p>
    <w:p w:rsidR="008B1196" w:rsidRPr="00EB4D74" w:rsidRDefault="008B1196" w:rsidP="008B1196">
      <w:pPr>
        <w:numPr>
          <w:ilvl w:val="0"/>
          <w:numId w:val="91"/>
        </w:numPr>
        <w:spacing w:after="60"/>
        <w:ind w:left="1440"/>
        <w:rPr>
          <w:rFonts w:cs="Tahoma"/>
          <w:lang w:val="pt-BR"/>
        </w:rPr>
      </w:pPr>
      <w:r w:rsidRPr="00EB4D74">
        <w:rPr>
          <w:rFonts w:eastAsia="Times New Roman" w:cs="Tahoma"/>
          <w:szCs w:val="18"/>
          <w:lang w:val="pt-BR"/>
        </w:rPr>
        <w:t xml:space="preserve">As licenças do processador dos clientes não são mais válidas na aquisição do Software Assurance para as licenças de núcleo sob esta oferta. </w:t>
      </w:r>
      <w:r w:rsidRPr="00EB4D74">
        <w:rPr>
          <w:rFonts w:cs="Tahoma"/>
          <w:lang w:val="pt-BR"/>
        </w:rPr>
        <w:t>A opção de adquirir o Software Assurance para licenças principais do SQL Server não é aplicável à renovação de cobertura sob os programas de assinatura.</w:t>
      </w:r>
    </w:p>
    <w:p w:rsidR="008B1196" w:rsidRPr="00EB4D74" w:rsidRDefault="008B1196" w:rsidP="008B1196">
      <w:pPr>
        <w:ind w:left="1080"/>
        <w:rPr>
          <w:rFonts w:cs="Tahoma"/>
          <w:sz w:val="14"/>
          <w:szCs w:val="18"/>
          <w:lang w:val="pt-BR"/>
        </w:rPr>
      </w:pPr>
    </w:p>
    <w:p w:rsidR="008B1196" w:rsidRPr="00EB4D74" w:rsidRDefault="008B1196" w:rsidP="008B1196">
      <w:pPr>
        <w:spacing w:after="60"/>
        <w:ind w:left="720"/>
        <w:rPr>
          <w:rFonts w:cs="Tahoma"/>
          <w:spacing w:val="-2"/>
          <w:lang w:val="pt-BR"/>
        </w:rPr>
      </w:pPr>
      <w:r w:rsidRPr="00EB4D74">
        <w:rPr>
          <w:rFonts w:cs="Tahoma"/>
          <w:b/>
          <w:spacing w:val="-2"/>
          <w:lang w:val="pt-BR"/>
        </w:rPr>
        <w:t>Para os clientes com cobertura de Software Assurance que expiram antes de 1º de abril de 2015 que optaram pela não renovação</w:t>
      </w:r>
    </w:p>
    <w:p w:rsidR="008B1196" w:rsidRPr="00EB4D74" w:rsidRDefault="008B1196" w:rsidP="008B1196">
      <w:pPr>
        <w:ind w:left="720"/>
        <w:contextualSpacing/>
        <w:rPr>
          <w:rFonts w:cs="Tahoma"/>
          <w:lang w:val="pt-BR"/>
        </w:rPr>
      </w:pPr>
      <w:r w:rsidRPr="00EB4D74">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8B1196" w:rsidRPr="00EB4D74" w:rsidRDefault="008B1196" w:rsidP="008B1196">
      <w:pPr>
        <w:numPr>
          <w:ilvl w:val="0"/>
          <w:numId w:val="108"/>
        </w:numPr>
        <w:tabs>
          <w:tab w:val="left" w:pos="1800"/>
        </w:tabs>
        <w:spacing w:after="60"/>
        <w:ind w:left="1800"/>
        <w:rPr>
          <w:rFonts w:cs="Tahoma"/>
          <w:lang w:val="pt-BR"/>
        </w:rPr>
      </w:pPr>
      <w:r w:rsidRPr="00EB4D74">
        <w:rPr>
          <w:rFonts w:cs="Tahoma"/>
          <w:b/>
          <w:lang w:val="pt-BR"/>
        </w:rPr>
        <w:t xml:space="preserve">SQL Server 2008 R2 Web: </w:t>
      </w:r>
      <w:r w:rsidRPr="00EB4D74">
        <w:rPr>
          <w:rFonts w:eastAsia="Times New Roman" w:cs="Tahoma"/>
          <w:szCs w:val="18"/>
          <w:lang w:val="pt-BR"/>
        </w:rPr>
        <w:t>O uso contínuo do referido software está sujeito aos direitos de uso do produto de licença do processador do SQL Server 2008 R2 Web. Os clientes não têm mais direitos sob Mobilidade de Licença nos Farms de Servidores nem Mobilidade de Licença por meio de Software Assurance.</w:t>
      </w:r>
    </w:p>
    <w:p w:rsidR="008B1196" w:rsidRPr="00EB4D74" w:rsidRDefault="008B1196" w:rsidP="008B1196">
      <w:pPr>
        <w:numPr>
          <w:ilvl w:val="0"/>
          <w:numId w:val="108"/>
        </w:numPr>
        <w:tabs>
          <w:tab w:val="left" w:pos="1800"/>
        </w:tabs>
        <w:spacing w:after="60"/>
        <w:ind w:left="1800"/>
        <w:rPr>
          <w:rFonts w:cs="Tahoma"/>
          <w:lang w:val="pt-BR"/>
        </w:rPr>
      </w:pPr>
      <w:r w:rsidRPr="00EB4D74">
        <w:rPr>
          <w:rFonts w:eastAsia="Times New Roman" w:cs="Tahoma"/>
          <w:b/>
          <w:szCs w:val="18"/>
          <w:lang w:val="pt-BR"/>
        </w:rPr>
        <w:t xml:space="preserve">SQL Server 2012 Standard Core: </w:t>
      </w:r>
      <w:r w:rsidRPr="00EB4D74">
        <w:rPr>
          <w:rFonts w:eastAsia="Times New Roman" w:cs="Tahoma"/>
          <w:szCs w:val="18"/>
          <w:lang w:val="pt-BR"/>
        </w:rPr>
        <w:t>O uso desta versão do software está sujeito aos direitos de uso do produto de licença do processador do SQL Server 2008 R2 Standard, no entanto:</w:t>
      </w:r>
    </w:p>
    <w:p w:rsidR="008B1196" w:rsidRPr="00EB4D74" w:rsidRDefault="008B1196" w:rsidP="008B1196">
      <w:pPr>
        <w:numPr>
          <w:ilvl w:val="1"/>
          <w:numId w:val="93"/>
        </w:numPr>
        <w:tabs>
          <w:tab w:val="left" w:pos="2160"/>
        </w:tabs>
        <w:spacing w:after="60"/>
        <w:ind w:left="2160"/>
        <w:rPr>
          <w:rFonts w:cs="Tahoma"/>
          <w:lang w:val="pt-BR"/>
        </w:rPr>
      </w:pPr>
      <w:r w:rsidRPr="00EB4D74">
        <w:rPr>
          <w:rFonts w:cs="Tahoma"/>
          <w:lang w:val="pt-BR"/>
        </w:rPr>
        <w:t>os clientes não têm mais direitos sob Mobilidade de Licença nos Farms de Servidores nem Mobilidade de Licença por meio de Software Assurance e</w:t>
      </w:r>
    </w:p>
    <w:p w:rsidR="008B1196" w:rsidRPr="00EB4D74" w:rsidRDefault="008B1196" w:rsidP="008B1196">
      <w:pPr>
        <w:numPr>
          <w:ilvl w:val="1"/>
          <w:numId w:val="93"/>
        </w:numPr>
        <w:tabs>
          <w:tab w:val="left" w:pos="2160"/>
        </w:tabs>
        <w:spacing w:after="60"/>
        <w:ind w:left="2160"/>
        <w:rPr>
          <w:rFonts w:cs="Tahoma"/>
          <w:lang w:val="it-IT"/>
        </w:rPr>
      </w:pPr>
      <w:r w:rsidRPr="00EB4D74">
        <w:rPr>
          <w:rFonts w:eastAsia="Times New Roman" w:cs="Tahoma"/>
          <w:szCs w:val="18"/>
          <w:lang w:val="pt-BR"/>
        </w:rPr>
        <w:t>quaisquer reatribuição de licenças está sujeita a limitações em (i) e (ii) abaixo relacionada a sua “equivalência de licença de núcleo”. A equivalência de licença de núcleo é determinada da seguinte forma:</w:t>
      </w:r>
    </w:p>
    <w:p w:rsidR="008B1196" w:rsidRPr="00EB4D74" w:rsidRDefault="008B1196" w:rsidP="008B1196">
      <w:pPr>
        <w:numPr>
          <w:ilvl w:val="2"/>
          <w:numId w:val="93"/>
        </w:numPr>
        <w:tabs>
          <w:tab w:val="left" w:pos="2520"/>
        </w:tabs>
        <w:spacing w:after="60"/>
        <w:ind w:left="2520"/>
        <w:rPr>
          <w:rFonts w:cs="Tahoma"/>
          <w:lang w:val="it-IT"/>
        </w:rPr>
      </w:pPr>
      <w:r w:rsidRPr="00EB4D7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8B1196" w:rsidRPr="00EB4D74" w:rsidRDefault="008B1196" w:rsidP="008B1196">
      <w:pPr>
        <w:numPr>
          <w:ilvl w:val="4"/>
          <w:numId w:val="91"/>
        </w:numPr>
        <w:tabs>
          <w:tab w:val="left" w:pos="2880"/>
        </w:tabs>
        <w:spacing w:after="60"/>
        <w:ind w:left="2880"/>
        <w:rPr>
          <w:rFonts w:cs="Tahoma"/>
        </w:rPr>
      </w:pPr>
      <w:r w:rsidRPr="00EB4D74">
        <w:rPr>
          <w:rFonts w:cs="Tahoma"/>
          <w:lang w:val="pt-BR"/>
        </w:rPr>
        <w:t>quatro núcleos por licença de processador OU</w:t>
      </w:r>
    </w:p>
    <w:p w:rsidR="008B1196" w:rsidRPr="00EB4D74" w:rsidRDefault="008B1196" w:rsidP="008B1196">
      <w:pPr>
        <w:numPr>
          <w:ilvl w:val="4"/>
          <w:numId w:val="91"/>
        </w:numPr>
        <w:tabs>
          <w:tab w:val="left" w:pos="2880"/>
        </w:tabs>
        <w:spacing w:after="60"/>
        <w:ind w:left="2880"/>
        <w:rPr>
          <w:rFonts w:cs="Tahoma"/>
          <w:lang w:val="it-IT"/>
        </w:rPr>
      </w:pPr>
      <w:r w:rsidRPr="00EB4D74">
        <w:rPr>
          <w:rFonts w:eastAsia="Times New Roman" w:cs="Tahoma"/>
          <w:szCs w:val="18"/>
          <w:lang w:val="pt-BR"/>
        </w:rPr>
        <w:t xml:space="preserve">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w:t>
      </w:r>
      <w:r w:rsidRPr="00EB4D74">
        <w:rPr>
          <w:rFonts w:eastAsia="Times New Roman" w:cs="Tahoma"/>
          <w:szCs w:val="18"/>
          <w:lang w:val="pt-BR"/>
        </w:rPr>
        <w:lastRenderedPageBreak/>
        <w:t>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8B1196" w:rsidRPr="00EB4D74" w:rsidRDefault="008B1196" w:rsidP="008B1196">
      <w:pPr>
        <w:numPr>
          <w:ilvl w:val="2"/>
          <w:numId w:val="93"/>
        </w:numPr>
        <w:tabs>
          <w:tab w:val="left" w:pos="2520"/>
        </w:tabs>
        <w:spacing w:after="60"/>
        <w:ind w:left="2520"/>
        <w:rPr>
          <w:rFonts w:cs="Tahoma"/>
          <w:lang w:val="it-IT"/>
        </w:rPr>
      </w:pPr>
      <w:r w:rsidRPr="00EB4D74">
        <w:rPr>
          <w:rFonts w:cs="Tahoma"/>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8B1196" w:rsidRPr="00EB4D74" w:rsidRDefault="008B1196" w:rsidP="008B1196">
      <w:pPr>
        <w:numPr>
          <w:ilvl w:val="1"/>
          <w:numId w:val="93"/>
        </w:numPr>
        <w:tabs>
          <w:tab w:val="left" w:pos="2160"/>
        </w:tabs>
        <w:spacing w:after="60"/>
        <w:ind w:left="2160"/>
        <w:rPr>
          <w:rFonts w:cs="Tahoma"/>
        </w:rPr>
      </w:pPr>
      <w:r w:rsidRPr="00EB4D74">
        <w:rPr>
          <w:rFonts w:eastAsia="Times New Roman" w:cs="Tahoma"/>
          <w:szCs w:val="18"/>
          <w:lang w:val="pt-BR"/>
        </w:rPr>
        <w:t xml:space="preserve">Os Clientes poderão transferir as Licenças para outro servidor. No entanto, se o cliente transferir uma licença para outro servidor, o cliente terá que seguir os direitos de uso do SQL Server 2012. </w:t>
      </w:r>
      <w:r w:rsidRPr="00EB4D74">
        <w:rPr>
          <w:rFonts w:cs="Tahoma"/>
          <w:lang w:val="pt-BR"/>
        </w:rPr>
        <w:t>Ao transferir licenças principais para servidores sob os direitos de uso do SQL 2012, o cliente poderá combinar a equivalência de núcleo de suas licenças existentes com as licenças principais do SQL Server 2012 adicionais.</w:t>
      </w:r>
    </w:p>
    <w:p w:rsidR="008B1196" w:rsidRPr="00EB4D74" w:rsidRDefault="008B1196" w:rsidP="008B1196">
      <w:pPr>
        <w:numPr>
          <w:ilvl w:val="1"/>
          <w:numId w:val="93"/>
        </w:numPr>
        <w:tabs>
          <w:tab w:val="left" w:pos="2160"/>
        </w:tabs>
        <w:spacing w:after="60"/>
        <w:ind w:left="2160"/>
        <w:rPr>
          <w:rFonts w:cs="Tahoma"/>
        </w:rPr>
      </w:pPr>
      <w:r w:rsidRPr="00EB4D74">
        <w:rPr>
          <w:rFonts w:cs="Tahoma"/>
          <w:lang w:val="pt-BR"/>
        </w:rPr>
        <w:t>A equivalência de licença de núcleo dos clientes não implica que eles podem atribuir uma única licença de processador a núcleos por dois ou mais processadores.</w:t>
      </w:r>
    </w:p>
    <w:p w:rsidR="008B1196" w:rsidRPr="00EB4D74" w:rsidRDefault="008B1196" w:rsidP="008B1196">
      <w:pPr>
        <w:tabs>
          <w:tab w:val="left" w:pos="2160"/>
        </w:tabs>
        <w:spacing w:after="60"/>
        <w:rPr>
          <w:rFonts w:cs="Tahoma"/>
        </w:rPr>
      </w:pPr>
    </w:p>
    <w:p w:rsidR="008B1196" w:rsidRPr="00EB4D74" w:rsidRDefault="008B1196" w:rsidP="008B1196">
      <w:pPr>
        <w:tabs>
          <w:tab w:val="left" w:pos="720"/>
        </w:tabs>
        <w:spacing w:after="60"/>
        <w:ind w:left="720"/>
        <w:rPr>
          <w:rFonts w:cs="Tahoma"/>
        </w:rPr>
      </w:pPr>
      <w:r w:rsidRPr="00EB4D74">
        <w:rPr>
          <w:rFonts w:cs="Tahoma"/>
          <w:b/>
          <w:lang w:val="pt-BR"/>
        </w:rPr>
        <w:t>Para os clientes com cobertura de Software Assurance que expiram em ou depois de 1º de abril de 2015 que optaram pela não renovação</w:t>
      </w:r>
    </w:p>
    <w:p w:rsidR="008B1196" w:rsidRPr="00EB4D74" w:rsidRDefault="008B1196" w:rsidP="008B1196">
      <w:pPr>
        <w:tabs>
          <w:tab w:val="left" w:pos="720"/>
        </w:tabs>
        <w:ind w:left="720"/>
        <w:contextualSpacing/>
        <w:rPr>
          <w:rFonts w:cs="Tahoma"/>
        </w:rPr>
      </w:pPr>
      <w:r w:rsidRPr="00EB4D7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8B1196" w:rsidRPr="00EB4D74" w:rsidRDefault="008B1196" w:rsidP="008B1196">
      <w:pPr>
        <w:tabs>
          <w:tab w:val="left" w:pos="720"/>
        </w:tabs>
        <w:ind w:left="720"/>
        <w:contextualSpacing/>
        <w:rPr>
          <w:rFonts w:cs="Tahoma"/>
        </w:rPr>
      </w:pPr>
    </w:p>
    <w:p w:rsidR="008B1196" w:rsidRPr="00EB4D74" w:rsidRDefault="008B1196" w:rsidP="008B1196">
      <w:pPr>
        <w:numPr>
          <w:ilvl w:val="2"/>
          <w:numId w:val="91"/>
        </w:numPr>
        <w:spacing w:after="60"/>
        <w:ind w:left="1440"/>
        <w:rPr>
          <w:rFonts w:cs="Tahoma"/>
          <w:lang w:val="it-IT"/>
        </w:rPr>
      </w:pPr>
      <w:r w:rsidRPr="00EB4D74">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8B1196" w:rsidRPr="00EB4D74" w:rsidRDefault="008B1196" w:rsidP="008B1196">
      <w:pPr>
        <w:numPr>
          <w:ilvl w:val="2"/>
          <w:numId w:val="91"/>
        </w:numPr>
        <w:spacing w:after="60"/>
        <w:ind w:left="1440"/>
        <w:rPr>
          <w:rFonts w:cs="Tahoma"/>
          <w:lang w:val="pt-BR"/>
        </w:rPr>
      </w:pPr>
      <w:r w:rsidRPr="00EB4D74">
        <w:rPr>
          <w:rFonts w:cs="Tahoma"/>
          <w:lang w:val="pt-BR"/>
        </w:rPr>
        <w:t>Para as licenças adquiridas depois de 1º de abril de2015,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8B1196" w:rsidRPr="00EB4D74" w:rsidRDefault="008B1196" w:rsidP="008B1196">
      <w:pPr>
        <w:ind w:left="1440"/>
        <w:rPr>
          <w:rFonts w:cs="Tahoma"/>
          <w:lang w:val="pt-BR"/>
        </w:rPr>
      </w:pPr>
    </w:p>
    <w:p w:rsidR="008B1196" w:rsidRPr="00EB4D74" w:rsidRDefault="008B1196" w:rsidP="008B1196">
      <w:pPr>
        <w:tabs>
          <w:tab w:val="left" w:pos="720"/>
        </w:tabs>
        <w:spacing w:after="60"/>
        <w:ind w:left="720"/>
        <w:rPr>
          <w:rFonts w:cs="Tahoma"/>
          <w:lang w:val="it-IT"/>
        </w:rPr>
      </w:pPr>
      <w:r w:rsidRPr="00EB4D74">
        <w:rPr>
          <w:rFonts w:cs="Tahoma"/>
          <w:b/>
          <w:lang w:val="pt-BR"/>
        </w:rPr>
        <w:t>Para os clientes localizados na República Popular da China e para os que estão adquirindo licenças de processador e Software Assurance para SQL Server 2008 R2</w:t>
      </w:r>
    </w:p>
    <w:p w:rsidR="008B1196" w:rsidRPr="00EB4D74" w:rsidRDefault="008B1196" w:rsidP="008B1196">
      <w:pPr>
        <w:tabs>
          <w:tab w:val="left" w:pos="720"/>
        </w:tabs>
        <w:ind w:left="720"/>
        <w:contextualSpacing/>
        <w:rPr>
          <w:rFonts w:cs="Tahoma"/>
          <w:lang w:val="pt-BR"/>
        </w:rPr>
      </w:pPr>
      <w:r w:rsidRPr="00EB4D74">
        <w:rPr>
          <w:rFonts w:cs="Tahoma"/>
          <w:lang w:val="pt-BR"/>
        </w:rPr>
        <w:t>As referências a 1º de abril de 2012 e 1º de abril de 2015 nesta nota da lista de produtos não são aplicáveis. As datas aplicáveis para esses clientes são 1º de julho de 2012 e 1º de julho de 2015, respectivamente.</w:t>
      </w:r>
    </w:p>
    <w:p w:rsidR="008B1196" w:rsidRPr="00EB4D74" w:rsidRDefault="008B1196" w:rsidP="008B1196">
      <w:pPr>
        <w:ind w:left="900"/>
        <w:rPr>
          <w:rFonts w:cs="Tahoma"/>
          <w:lang w:val="pt-BR"/>
        </w:rPr>
      </w:pPr>
    </w:p>
    <w:p w:rsidR="008B1196" w:rsidRPr="00EB4D74" w:rsidRDefault="008B1196" w:rsidP="008B1196">
      <w:pPr>
        <w:rPr>
          <w:rFonts w:cs="Tahoma"/>
          <w:lang w:val="pt-BR"/>
        </w:rPr>
      </w:pPr>
    </w:p>
    <w:p w:rsidR="008B1196" w:rsidRPr="00EB4D74" w:rsidRDefault="008B1196" w:rsidP="008B1196">
      <w:pPr>
        <w:pStyle w:val="Heading3"/>
        <w:rPr>
          <w:rFonts w:ascii="Tahoma" w:hAnsi="Tahoma" w:cs="Tahoma"/>
          <w:lang w:val="pt-BR"/>
        </w:rPr>
      </w:pPr>
      <w:bookmarkStart w:id="1399" w:name="_85_84_SQL"/>
      <w:bookmarkStart w:id="1400" w:name="_Toc336338343"/>
      <w:bookmarkStart w:id="1401" w:name="Srv_85SQL2008R2Workgroup5ClientAddon"/>
      <w:bookmarkStart w:id="1402" w:name="_Toc342914969"/>
      <w:bookmarkEnd w:id="1399"/>
      <w:bookmarkEnd w:id="1400"/>
      <w:bookmarkEnd w:id="1401"/>
      <w:r w:rsidRPr="00EB4D74">
        <w:rPr>
          <w:rFonts w:ascii="Tahoma" w:hAnsi="Tahoma" w:cs="Tahoma"/>
          <w:color w:val="F66400"/>
          <w:sz w:val="22"/>
          <w:vertAlign w:val="superscript"/>
          <w:lang w:val="pt-BR"/>
        </w:rPr>
        <w:t>74</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2008 R2 Workgroup (Complementar para 5 Clientes)</w:t>
      </w:r>
      <w:bookmarkEnd w:id="1402"/>
    </w:p>
    <w:p w:rsidR="008B1196" w:rsidRPr="00EB4D74" w:rsidRDefault="008B1196" w:rsidP="008B1196">
      <w:pPr>
        <w:pStyle w:val="EndnoteText"/>
        <w:ind w:left="0"/>
        <w:rPr>
          <w:rFonts w:ascii="Tahoma" w:hAnsi="Tahoma" w:cs="Tahoma"/>
          <w:lang w:val="pt-BR"/>
        </w:rPr>
      </w:pPr>
    </w:p>
    <w:p w:rsidR="008B1196" w:rsidRPr="00EB4D74" w:rsidRDefault="008B1196" w:rsidP="008B1196">
      <w:pPr>
        <w:spacing w:after="60"/>
        <w:ind w:left="720"/>
        <w:rPr>
          <w:rFonts w:cs="Tahoma"/>
          <w:lang w:val="pt-BR"/>
        </w:rPr>
      </w:pPr>
      <w:r w:rsidRPr="00EB4D74">
        <w:rPr>
          <w:rFonts w:cs="Tahoma"/>
          <w:b/>
          <w:lang w:val="pt-BR"/>
        </w:rPr>
        <w:t>Outorgas de Licença Associadas ao término da validade da edição do SQL Server Workgroup</w:t>
      </w:r>
    </w:p>
    <w:p w:rsidR="008B1196" w:rsidRPr="00EB4D74" w:rsidRDefault="008B1196" w:rsidP="008B1196">
      <w:pPr>
        <w:ind w:left="720"/>
        <w:rPr>
          <w:rFonts w:cs="Tahoma"/>
        </w:rPr>
      </w:pPr>
      <w:r w:rsidRPr="00EB4D74">
        <w:rPr>
          <w:rFonts w:eastAsia="Times New Roman" w:cs="Tahoma"/>
          <w:szCs w:val="18"/>
          <w:lang w:val="pt-BR"/>
        </w:rPr>
        <w:t xml:space="preserve">O SQL Server 2008 R2 Workgroup será a última versão da edição do SQL Server Workgroup. Como exceção, os clientes de licenciamento por volume com Software Assurance ativo para licenças do SQL Server 2008 R2 Workgroup Server em 1º de abril de 2012 poderão fazer atualização e usar o SQL Server 2012 Standard Server (ou qualquer versão posterior desse produto disponibilizado durante sua cobertura) no lugar da edição do SQL Server Workgroup e adquirir o Software Assurance para SQL Server Standard quando sua cobertura atual expirar. Além disso, os clientes de licenciamento por volume com Software Assurance ativo para CALs do SQL Server 2008 R2 Workgroup em 1º de abril de 2012 poderão fazer atualização e usar as CALs do SQL Server 2012 (ou qualquer versão posterior dessa CAL disponibilizada durante sua cobertura) no lugar das CALs do SQL Server Workgroup e adquirir o Software Assurance para CAL do SQL Server em sua próxima renovação. </w:t>
      </w:r>
      <w:r w:rsidRPr="00EB4D74">
        <w:rPr>
          <w:rFonts w:cs="Tahoma"/>
          <w:lang w:val="pt-BR"/>
        </w:rPr>
        <w:t>As licenças do SQL Server Workgroup dos clientes não são mais válidas quando eles adquirem o Software Assurance do SQL Server Standard sob esta oferta.</w:t>
      </w:r>
    </w:p>
    <w:p w:rsidR="008B1196" w:rsidRPr="00EB4D74" w:rsidRDefault="008B1196" w:rsidP="008B1196">
      <w:pPr>
        <w:ind w:left="720"/>
        <w:rPr>
          <w:rFonts w:cs="Tahoma"/>
        </w:rPr>
      </w:pPr>
    </w:p>
    <w:p w:rsidR="008B1196" w:rsidRPr="00EB4D74" w:rsidRDefault="008B1196" w:rsidP="008B1196">
      <w:pPr>
        <w:spacing w:after="60"/>
        <w:ind w:left="720"/>
        <w:rPr>
          <w:rFonts w:cs="Tahoma"/>
          <w:b/>
          <w:lang w:val="it-IT"/>
        </w:rPr>
      </w:pPr>
      <w:r w:rsidRPr="00EB4D74">
        <w:rPr>
          <w:rFonts w:cs="Tahoma"/>
          <w:b/>
          <w:lang w:val="pt-BR"/>
        </w:rPr>
        <w:t>Para os clientes localizados na República Popular da China e para os que estão adquirindo licenças e Software Assurance para SQL Server 2008 R2</w:t>
      </w:r>
    </w:p>
    <w:p w:rsidR="008B1196" w:rsidRPr="00EB4D74" w:rsidRDefault="008B1196" w:rsidP="008B1196">
      <w:pPr>
        <w:ind w:left="720"/>
        <w:rPr>
          <w:rFonts w:cs="Tahoma"/>
          <w:lang w:val="pt-BR"/>
        </w:rPr>
      </w:pPr>
      <w:r w:rsidRPr="00EB4D74">
        <w:rPr>
          <w:rFonts w:cs="Tahoma"/>
          <w:lang w:val="pt-BR"/>
        </w:rPr>
        <w:lastRenderedPageBreak/>
        <w:t>As referências a 1º de abril de 2012 nesta nota da lista de produtos não são aplicáveis. A data aplicável para esses clientes é 1º de julho de 2012.</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pStyle w:val="Heading3"/>
        <w:ind w:left="720" w:hanging="720"/>
        <w:rPr>
          <w:rFonts w:ascii="Tahoma" w:hAnsi="Tahoma" w:cs="Tahoma"/>
          <w:lang w:val="pt-BR"/>
        </w:rPr>
      </w:pPr>
      <w:bookmarkStart w:id="1403" w:name="_Toc336338344"/>
      <w:bookmarkStart w:id="1404" w:name="Srv_72SQLSvr08R2WorkgroupProc"/>
      <w:bookmarkStart w:id="1405" w:name="_75_SQL_Server®"/>
      <w:bookmarkStart w:id="1406" w:name="_Toc342914970"/>
      <w:bookmarkEnd w:id="1403"/>
      <w:bookmarkEnd w:id="1404"/>
      <w:bookmarkEnd w:id="1405"/>
      <w:r w:rsidRPr="00EB4D74">
        <w:rPr>
          <w:rFonts w:ascii="Tahoma" w:hAnsi="Tahoma" w:cs="Tahoma"/>
          <w:color w:val="F66400"/>
          <w:sz w:val="22"/>
          <w:vertAlign w:val="superscript"/>
          <w:lang w:val="pt-BR"/>
        </w:rPr>
        <w:t>75</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2008 R2 Workgroup Processor</w:t>
      </w:r>
      <w:bookmarkEnd w:id="1406"/>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Outorgas de Licença Associadas à Alteração no Modelo de Licenciamento</w:t>
      </w:r>
    </w:p>
    <w:p w:rsidR="008B1196" w:rsidRPr="00EB4D74" w:rsidRDefault="008B1196" w:rsidP="008B1196">
      <w:pPr>
        <w:ind w:left="720"/>
        <w:rPr>
          <w:rFonts w:cs="Tahoma"/>
          <w:lang w:val="pt-BR"/>
        </w:rPr>
      </w:pPr>
      <w:r w:rsidRPr="00EB4D74">
        <w:rPr>
          <w:rFonts w:eastAsia="Times New Roman" w:cs="Tahoma"/>
          <w:color w:val="000000"/>
          <w:szCs w:val="18"/>
          <w:lang w:val="pt-BR"/>
        </w:rPr>
        <w:t xml:space="preserve">O SQL Server 2008 R2 será a última versão do SQL Server licenciada sob o modelo de licenciamento por processador e a última versão da edição do SQL Server Workgroup. Como uma exceção, aos clientes de licenciamento por volume com Software Assurance ativo para licenças do processador do SQL Server 2008 R2 Workgroup em 1º de abril de 2012 (“licenças de qualificação”) são concedidas as seguintes opções. </w:t>
      </w:r>
      <w:r w:rsidRPr="00EB4D74">
        <w:rPr>
          <w:rFonts w:cs="Tahoma"/>
          <w:color w:val="000000"/>
          <w:lang w:val="pt-BR"/>
        </w:rPr>
        <w:t>As licenças do processador do SQL Server 2008 R2 Workgroup adquiridas posteriormente no mesmo prazo de registro, mas antes de 1º de abril de 2015 como parte de um processo de adequação (“true-up”) programado do cliente Enterprise, Enterprise Subscription, Open Value Subscription ou EES também são “licenças de qualificação” para fins dessas opções. As licenças adquiridas depois de 1º de abril de 2015 ou sob um prazo de registro subsequente, um contrato separado ou qualquer registro com uma data de início de vigência após 1º de abril de 2012 não são licenças de qualificação.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Prazo Atual</w:t>
      </w:r>
    </w:p>
    <w:p w:rsidR="008B1196" w:rsidRPr="00EB4D74" w:rsidRDefault="008B1196" w:rsidP="008B1196">
      <w:pPr>
        <w:tabs>
          <w:tab w:val="left" w:pos="720"/>
        </w:tabs>
        <w:ind w:left="720"/>
        <w:rPr>
          <w:rFonts w:cs="Tahoma"/>
          <w:spacing w:val="-4"/>
          <w:lang w:val="pt-BR"/>
        </w:rPr>
      </w:pPr>
      <w:r w:rsidRPr="00EB4D74">
        <w:rPr>
          <w:rFonts w:eastAsia="Times New Roman" w:cs="Tahoma"/>
          <w:spacing w:val="-4"/>
          <w:szCs w:val="18"/>
          <w:lang w:val="pt-BR"/>
        </w:rPr>
        <w:t xml:space="preserve">Durante o prazo atual da sua cobertura de Software Assurance a partir de 1º de abril de 2012, os clientes (incluindo aqueles sob contratos de assinatura) podem, sob qualquer licença de qualificação, atualizar e usar o SQL Server 2012 Standard Core em vez do SQL Server 2008 R2 Workgroup sujeito aos direitos de uso do produto de licença do processador do SQL Server 2008 R2 Standard (conforme os Direitos de Uso do Produto de janeiro de 2012). Aos clientes são concedidos direitos adicionais sob a Mobilidade de Licença por meio de Software Assurance e Mobilidade de Licença nos Farms de Servidores. </w:t>
      </w:r>
      <w:r w:rsidRPr="00EB4D74">
        <w:rPr>
          <w:rFonts w:cs="Tahoma"/>
          <w:spacing w:val="-4"/>
          <w:lang w:val="pt-BR"/>
        </w:rPr>
        <w:t>Os clientes devem consultar os Direitos de Uso do Produto para SQL Server 2012 Standard Core quanto aos termos de licença para Mobilidade de Licença.</w:t>
      </w:r>
    </w:p>
    <w:p w:rsidR="008B1196" w:rsidRPr="00EB4D74" w:rsidRDefault="008B1196" w:rsidP="008B1196">
      <w:pPr>
        <w:tabs>
          <w:tab w:val="left" w:pos="720"/>
        </w:tabs>
        <w:ind w:left="720"/>
        <w:rPr>
          <w:rFonts w:cs="Tahoma"/>
          <w:lang w:val="pt-BR"/>
        </w:rPr>
      </w:pPr>
    </w:p>
    <w:p w:rsidR="008B1196" w:rsidRPr="00EB4D74" w:rsidRDefault="008B1196" w:rsidP="008B1196">
      <w:pPr>
        <w:spacing w:after="60"/>
        <w:ind w:left="720"/>
        <w:rPr>
          <w:rFonts w:cs="Tahoma"/>
          <w:lang w:val="it-IT"/>
        </w:rPr>
      </w:pPr>
      <w:r w:rsidRPr="00EB4D74">
        <w:rPr>
          <w:rFonts w:cs="Tahoma"/>
          <w:b/>
          <w:color w:val="000000"/>
          <w:lang w:val="pt-BR"/>
        </w:rPr>
        <w:t>Primeiro Prazo de Renovação (antes de 1º de abril de 2015)</w:t>
      </w:r>
    </w:p>
    <w:p w:rsidR="008B1196" w:rsidRPr="00EB4D74" w:rsidRDefault="008B1196" w:rsidP="008B1196">
      <w:pPr>
        <w:tabs>
          <w:tab w:val="left" w:pos="720"/>
        </w:tabs>
        <w:ind w:left="720"/>
        <w:rPr>
          <w:rFonts w:cs="Tahoma"/>
          <w:lang w:val="it-IT"/>
        </w:rPr>
      </w:pPr>
      <w:r w:rsidRPr="00EB4D74">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rsidR="008B1196" w:rsidRPr="00EB4D74" w:rsidRDefault="008B1196" w:rsidP="008B1196">
      <w:pPr>
        <w:numPr>
          <w:ilvl w:val="0"/>
          <w:numId w:val="122"/>
        </w:numPr>
        <w:tabs>
          <w:tab w:val="left" w:pos="1440"/>
        </w:tabs>
        <w:ind w:left="1440"/>
        <w:rPr>
          <w:rFonts w:cs="Tahoma"/>
          <w:lang w:val="it-IT"/>
        </w:rPr>
      </w:pPr>
      <w:r w:rsidRPr="00EB4D74">
        <w:rPr>
          <w:rFonts w:cs="Tahoma"/>
          <w:lang w:val="pt-BR"/>
        </w:rPr>
        <w:t>um número igual ao menor número de licenças de qualificação atribuído ao servidor ou o número total de processadores físicos no servidor multiplicado pelo maior de:</w:t>
      </w:r>
    </w:p>
    <w:p w:rsidR="008B1196" w:rsidRPr="00EB4D74" w:rsidRDefault="008B1196" w:rsidP="008B1196">
      <w:pPr>
        <w:numPr>
          <w:ilvl w:val="0"/>
          <w:numId w:val="109"/>
        </w:numPr>
        <w:tabs>
          <w:tab w:val="left" w:pos="1800"/>
        </w:tabs>
        <w:ind w:left="1800"/>
        <w:rPr>
          <w:rFonts w:cs="Tahoma"/>
        </w:rPr>
      </w:pPr>
      <w:r w:rsidRPr="00EB4D74">
        <w:rPr>
          <w:rFonts w:cs="Tahoma"/>
          <w:lang w:val="pt-BR"/>
        </w:rPr>
        <w:t>Quatro OU</w:t>
      </w:r>
    </w:p>
    <w:p w:rsidR="008B1196" w:rsidRPr="00EB4D74" w:rsidRDefault="008B1196" w:rsidP="008B1196">
      <w:pPr>
        <w:numPr>
          <w:ilvl w:val="0"/>
          <w:numId w:val="109"/>
        </w:numPr>
        <w:tabs>
          <w:tab w:val="left" w:pos="1800"/>
        </w:tabs>
        <w:ind w:left="1800"/>
        <w:rPr>
          <w:rFonts w:cs="Tahoma"/>
          <w:lang w:val="it-IT"/>
        </w:rPr>
      </w:pPr>
      <w:r w:rsidRPr="00EB4D74">
        <w:rPr>
          <w:rFonts w:eastAsia="Times New Roman" w:cs="Tahoma"/>
          <w:szCs w:val="18"/>
          <w:lang w:val="pt-BR"/>
        </w:rPr>
        <w:t>o número real de núcleos por processador físico multiplicado pelo fator do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p>
    <w:p w:rsidR="008B1196" w:rsidRPr="00EB4D74" w:rsidRDefault="008B1196" w:rsidP="008B1196">
      <w:pPr>
        <w:numPr>
          <w:ilvl w:val="0"/>
          <w:numId w:val="122"/>
        </w:numPr>
        <w:tabs>
          <w:tab w:val="left" w:pos="1440"/>
        </w:tabs>
        <w:ind w:left="1440"/>
        <w:rPr>
          <w:rFonts w:cs="Tahoma"/>
          <w:lang w:val="it-IT"/>
        </w:rPr>
      </w:pPr>
      <w:r w:rsidRPr="00EB4D74">
        <w:rPr>
          <w:rFonts w:cs="Tahoma"/>
          <w:lang w:val="pt-BR"/>
        </w:rPr>
        <w:t>um número igual ao número das licenças de qualificação atribuído ao servidor em excesso do número real de processadores físicos no servidor multiplicado por quatro.</w:t>
      </w:r>
    </w:p>
    <w:p w:rsidR="008B1196" w:rsidRPr="00EB4D74" w:rsidRDefault="008B1196" w:rsidP="008B1196">
      <w:pPr>
        <w:tabs>
          <w:tab w:val="left" w:pos="1440"/>
        </w:tabs>
        <w:rPr>
          <w:rFonts w:cs="Tahoma"/>
          <w:lang w:val="it-IT"/>
        </w:rPr>
      </w:pPr>
    </w:p>
    <w:p w:rsidR="008B1196" w:rsidRPr="00EB4D74" w:rsidRDefault="008B1196" w:rsidP="008B1196">
      <w:pPr>
        <w:spacing w:after="60"/>
        <w:ind w:left="720"/>
        <w:rPr>
          <w:rFonts w:cs="Tahoma"/>
          <w:lang w:val="it-IT"/>
        </w:rPr>
      </w:pPr>
      <w:r w:rsidRPr="00EB4D74">
        <w:rPr>
          <w:rFonts w:cs="Tahoma"/>
          <w:b/>
          <w:lang w:val="pt-BR"/>
        </w:rPr>
        <w:t>Primeiro Prazo de Renovação (em ou após 1º de abril de 2015)</w:t>
      </w:r>
    </w:p>
    <w:p w:rsidR="008B1196" w:rsidRPr="00EB4D74" w:rsidRDefault="008B1196" w:rsidP="008B1196">
      <w:pPr>
        <w:ind w:left="720"/>
        <w:rPr>
          <w:rFonts w:cs="Tahoma"/>
          <w:lang w:val="it-IT"/>
        </w:rPr>
      </w:pPr>
      <w:r w:rsidRPr="00EB4D7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8B1196" w:rsidRPr="00EB4D74" w:rsidRDefault="008B1196" w:rsidP="008B1196">
      <w:pPr>
        <w:ind w:left="720"/>
        <w:rPr>
          <w:rFonts w:cs="Tahoma"/>
          <w:lang w:val="it-IT"/>
        </w:rPr>
      </w:pPr>
    </w:p>
    <w:p w:rsidR="008B1196" w:rsidRPr="00EB4D74" w:rsidRDefault="008B1196" w:rsidP="008B1196">
      <w:pPr>
        <w:numPr>
          <w:ilvl w:val="3"/>
          <w:numId w:val="110"/>
        </w:numPr>
        <w:tabs>
          <w:tab w:val="left" w:pos="1170"/>
        </w:tabs>
        <w:spacing w:after="60"/>
        <w:ind w:left="1440" w:hanging="360"/>
        <w:rPr>
          <w:rFonts w:cs="Tahoma"/>
          <w:lang w:val="it-IT"/>
        </w:rPr>
      </w:pPr>
      <w:r w:rsidRPr="00EB4D74">
        <w:rPr>
          <w:rFonts w:cs="Tahoma"/>
          <w:lang w:val="pt-BR"/>
        </w:rPr>
        <w:t>Conforme fornecido no primeiro parágrafo desta nota do produto, as licenças adquiridas antes de 1º de abril de 2015 são licenças de qualificação, e os clientes poderão renovar o SA de acordo com os termos na seção “Primeiro Prazo de Renovação (Antes de 1º de abril de 2015) “ acima e</w:t>
      </w:r>
    </w:p>
    <w:p w:rsidR="008B1196" w:rsidRPr="00EB4D74" w:rsidRDefault="008B1196" w:rsidP="008B1196">
      <w:pPr>
        <w:numPr>
          <w:ilvl w:val="3"/>
          <w:numId w:val="110"/>
        </w:numPr>
        <w:tabs>
          <w:tab w:val="left" w:pos="1170"/>
        </w:tabs>
        <w:spacing w:after="60"/>
        <w:ind w:left="1440" w:hanging="360"/>
        <w:rPr>
          <w:rFonts w:cs="Tahoma"/>
          <w:lang w:val="pt-BR"/>
        </w:rPr>
      </w:pPr>
      <w:r w:rsidRPr="00EB4D74">
        <w:rPr>
          <w:rFonts w:cs="Tahoma"/>
          <w:lang w:val="pt-BR"/>
        </w:rPr>
        <w:t xml:space="preserve">Para as licenças adquiridas depois de 1º de abril de 2015, os clientes poderão renovar a SA para quatro licenças principais do SQL Server Standard, sem adquirir as licenças principais subjacentes para cada licença do processador SQL Server 2008 R2 Workgroup. Para o uso contínuo do SQL </w:t>
      </w:r>
      <w:r w:rsidRPr="00EB4D74">
        <w:rPr>
          <w:rFonts w:cs="Tahoma"/>
          <w:lang w:val="pt-BR"/>
        </w:rPr>
        <w:lastRenderedPageBreak/>
        <w:t>Server 2012 em processadores que exigem mais de quatro licenças principais por processador, o cliente tem que adquirir licenças principais adicionais.</w:t>
      </w:r>
    </w:p>
    <w:p w:rsidR="008B1196" w:rsidRPr="00EB4D74" w:rsidRDefault="008B1196" w:rsidP="008B1196">
      <w:pPr>
        <w:numPr>
          <w:ilvl w:val="0"/>
          <w:numId w:val="91"/>
        </w:numPr>
        <w:tabs>
          <w:tab w:val="left" w:pos="720"/>
          <w:tab w:val="left" w:pos="1170"/>
        </w:tabs>
        <w:spacing w:after="60"/>
        <w:ind w:left="1440"/>
        <w:rPr>
          <w:rFonts w:cs="Tahoma"/>
          <w:lang w:val="pt-BR"/>
        </w:rPr>
      </w:pPr>
      <w:r w:rsidRPr="00EB4D74">
        <w:rPr>
          <w:rFonts w:eastAsia="Times New Roman" w:cs="Tahoma"/>
          <w:szCs w:val="18"/>
          <w:lang w:val="pt-BR"/>
        </w:rPr>
        <w:t>As licenças do processador dos clientes não são mais válidas na aquisição do Software Assurance para as licenças de núcleo sob esta oferta. A opção de adquirir o Software Assurance para licenças principais do SQL Server não é aplicável à renovação de cobertura sob os programas de assinatura.</w:t>
      </w:r>
    </w:p>
    <w:p w:rsidR="008B1196" w:rsidRPr="00EB4D74" w:rsidRDefault="008B1196" w:rsidP="008B1196">
      <w:pPr>
        <w:tabs>
          <w:tab w:val="left" w:pos="720"/>
          <w:tab w:val="left" w:pos="1800"/>
        </w:tabs>
        <w:spacing w:after="60"/>
        <w:ind w:left="720"/>
        <w:rPr>
          <w:rFonts w:cs="Tahoma"/>
          <w:spacing w:val="-2"/>
          <w:lang w:val="pt-BR"/>
        </w:rPr>
      </w:pPr>
      <w:r w:rsidRPr="00EB4D74">
        <w:rPr>
          <w:rFonts w:cs="Tahoma"/>
          <w:b/>
          <w:spacing w:val="-2"/>
          <w:lang w:val="pt-BR"/>
        </w:rPr>
        <w:t>Para os clientes com cobertura de Software Assurance que expiram antes de 1º de abril de 2015 que optaram pela não renovação</w:t>
      </w:r>
    </w:p>
    <w:p w:rsidR="008B1196" w:rsidRPr="00EB4D74" w:rsidRDefault="008B1196" w:rsidP="008B1196">
      <w:pPr>
        <w:tabs>
          <w:tab w:val="left" w:pos="720"/>
          <w:tab w:val="left" w:pos="1800"/>
        </w:tabs>
        <w:ind w:left="720"/>
        <w:rPr>
          <w:rFonts w:cs="Tahoma"/>
          <w:lang w:val="pt-BR"/>
        </w:rPr>
      </w:pPr>
      <w:r w:rsidRPr="00EB4D74">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8B1196" w:rsidRPr="00EB4D74" w:rsidRDefault="008B1196" w:rsidP="008B1196">
      <w:pPr>
        <w:tabs>
          <w:tab w:val="left" w:pos="720"/>
          <w:tab w:val="left" w:pos="1800"/>
        </w:tabs>
        <w:ind w:left="720"/>
        <w:rPr>
          <w:rFonts w:cs="Tahoma"/>
          <w:lang w:val="pt-BR"/>
        </w:rPr>
      </w:pPr>
    </w:p>
    <w:p w:rsidR="008B1196" w:rsidRPr="00EB4D74" w:rsidRDefault="008B1196" w:rsidP="008B1196">
      <w:pPr>
        <w:numPr>
          <w:ilvl w:val="0"/>
          <w:numId w:val="99"/>
        </w:numPr>
        <w:tabs>
          <w:tab w:val="left" w:pos="1440"/>
        </w:tabs>
        <w:spacing w:after="60"/>
        <w:ind w:left="1440"/>
        <w:rPr>
          <w:rFonts w:cs="Tahoma"/>
          <w:lang w:val="pt-BR"/>
        </w:rPr>
      </w:pPr>
      <w:r w:rsidRPr="00EB4D74">
        <w:rPr>
          <w:rFonts w:cs="Tahoma"/>
          <w:b/>
          <w:lang w:val="pt-BR"/>
        </w:rPr>
        <w:t xml:space="preserve">SQL Server 2008 R2 Workgroup: </w:t>
      </w:r>
      <w:r w:rsidRPr="00EB4D74">
        <w:rPr>
          <w:rFonts w:eastAsia="Times New Roman" w:cs="Tahoma"/>
          <w:szCs w:val="18"/>
          <w:lang w:val="pt-BR"/>
        </w:rPr>
        <w:t>O uso contínuo do referido software está sujeito aos direitos de uso do produto de licença do processador do SQL Server 2008 R2 Workgroup. Os clientes não têm mais direitos sob Mobilidade de Licença nos Farms de Servidores nem Mobilidade de Licença por meio de Software Assurance.</w:t>
      </w:r>
    </w:p>
    <w:p w:rsidR="008B1196" w:rsidRPr="00EB4D74" w:rsidRDefault="008B1196" w:rsidP="008B1196">
      <w:pPr>
        <w:numPr>
          <w:ilvl w:val="0"/>
          <w:numId w:val="99"/>
        </w:numPr>
        <w:tabs>
          <w:tab w:val="left" w:pos="1440"/>
        </w:tabs>
        <w:spacing w:after="60"/>
        <w:ind w:left="1440"/>
        <w:rPr>
          <w:rFonts w:cs="Tahoma"/>
          <w:lang w:val="pt-BR"/>
        </w:rPr>
      </w:pPr>
      <w:r w:rsidRPr="00EB4D74">
        <w:rPr>
          <w:rFonts w:eastAsia="Times New Roman" w:cs="Tahoma"/>
          <w:b/>
          <w:szCs w:val="18"/>
          <w:lang w:val="pt-BR"/>
        </w:rPr>
        <w:t xml:space="preserve">SQL Server 2012 Standard Core: </w:t>
      </w:r>
      <w:r w:rsidRPr="00EB4D74">
        <w:rPr>
          <w:rFonts w:eastAsia="Times New Roman" w:cs="Tahoma"/>
          <w:szCs w:val="18"/>
          <w:lang w:val="pt-BR"/>
        </w:rPr>
        <w:t>O uso desta versão do software está sujeito aos direitos de uso do produto de licença do processador do SQL Server 2008 R2 Standard, no entanto:</w:t>
      </w:r>
    </w:p>
    <w:p w:rsidR="008B1196" w:rsidRPr="00EB4D74" w:rsidRDefault="008B1196" w:rsidP="008B1196">
      <w:pPr>
        <w:numPr>
          <w:ilvl w:val="1"/>
          <w:numId w:val="99"/>
        </w:numPr>
        <w:tabs>
          <w:tab w:val="left" w:pos="1800"/>
        </w:tabs>
        <w:spacing w:after="60"/>
        <w:ind w:left="1800"/>
        <w:rPr>
          <w:rFonts w:cs="Tahoma"/>
          <w:lang w:val="pt-BR"/>
        </w:rPr>
      </w:pPr>
      <w:r w:rsidRPr="00EB4D74">
        <w:rPr>
          <w:rFonts w:cs="Tahoma"/>
          <w:lang w:val="pt-BR"/>
        </w:rPr>
        <w:t>os clientes não têm mais direitos sob Mobilidade de Licença nos Farms de Servidores nem Mobilidade de Licença por meio de Software Assurance e</w:t>
      </w:r>
    </w:p>
    <w:p w:rsidR="008B1196" w:rsidRPr="00EB4D74" w:rsidRDefault="008B1196" w:rsidP="008B1196">
      <w:pPr>
        <w:numPr>
          <w:ilvl w:val="1"/>
          <w:numId w:val="99"/>
        </w:numPr>
        <w:tabs>
          <w:tab w:val="left" w:pos="1800"/>
        </w:tabs>
        <w:spacing w:after="60"/>
        <w:ind w:left="1800"/>
        <w:rPr>
          <w:rFonts w:cs="Tahoma"/>
          <w:lang w:val="it-IT"/>
        </w:rPr>
      </w:pPr>
      <w:r w:rsidRPr="00EB4D74">
        <w:rPr>
          <w:rFonts w:eastAsia="Times New Roman" w:cs="Tahoma"/>
          <w:szCs w:val="18"/>
          <w:lang w:val="pt-BR"/>
        </w:rPr>
        <w:t>quaisquer reatribuição de licenças está sujeita a limitações em (i) e (ii) abaixo relacionada a sua “equivalência de licença de núcleo”. A equivalência de licença de núcleo é determinada da seguinte forma:</w:t>
      </w:r>
    </w:p>
    <w:p w:rsidR="008B1196" w:rsidRPr="00EB4D74" w:rsidRDefault="008B1196" w:rsidP="008B1196">
      <w:pPr>
        <w:numPr>
          <w:ilvl w:val="2"/>
          <w:numId w:val="99"/>
        </w:numPr>
        <w:tabs>
          <w:tab w:val="left" w:pos="2160"/>
        </w:tabs>
        <w:spacing w:after="60"/>
        <w:rPr>
          <w:rFonts w:cs="Tahoma"/>
          <w:lang w:val="it-IT"/>
        </w:rPr>
      </w:pPr>
      <w:r w:rsidRPr="00EB4D7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8B1196" w:rsidRPr="00EB4D74" w:rsidRDefault="008B1196" w:rsidP="008B1196">
      <w:pPr>
        <w:numPr>
          <w:ilvl w:val="4"/>
          <w:numId w:val="91"/>
        </w:numPr>
        <w:tabs>
          <w:tab w:val="left" w:pos="2520"/>
        </w:tabs>
        <w:spacing w:after="60"/>
        <w:ind w:left="2520"/>
        <w:rPr>
          <w:rFonts w:cs="Tahoma"/>
        </w:rPr>
      </w:pPr>
      <w:r w:rsidRPr="00EB4D74">
        <w:rPr>
          <w:rFonts w:cs="Tahoma"/>
          <w:lang w:val="pt-BR"/>
        </w:rPr>
        <w:t>quatro núcleos por licença de processador OU</w:t>
      </w:r>
    </w:p>
    <w:p w:rsidR="008B1196" w:rsidRPr="00EB4D74" w:rsidRDefault="008B1196" w:rsidP="008B1196">
      <w:pPr>
        <w:numPr>
          <w:ilvl w:val="4"/>
          <w:numId w:val="91"/>
        </w:numPr>
        <w:tabs>
          <w:tab w:val="left" w:pos="2520"/>
        </w:tabs>
        <w:spacing w:after="60"/>
        <w:ind w:left="2520"/>
        <w:rPr>
          <w:rFonts w:cs="Tahoma"/>
          <w:lang w:val="it-IT"/>
        </w:rPr>
      </w:pPr>
      <w:r w:rsidRPr="00EB4D74">
        <w:rPr>
          <w:rFonts w:eastAsia="Times New Roman" w:cs="Tahoma"/>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8B1196" w:rsidRPr="00EB4D74" w:rsidRDefault="008B1196" w:rsidP="008B1196">
      <w:pPr>
        <w:numPr>
          <w:ilvl w:val="1"/>
          <w:numId w:val="99"/>
        </w:numPr>
        <w:tabs>
          <w:tab w:val="left" w:pos="1800"/>
        </w:tabs>
        <w:spacing w:after="60"/>
        <w:ind w:left="1800"/>
        <w:rPr>
          <w:rFonts w:cs="Tahoma"/>
          <w:lang w:val="it-IT"/>
        </w:rPr>
      </w:pPr>
      <w:r w:rsidRPr="00EB4D74">
        <w:rPr>
          <w:rFonts w:cs="Tahoma"/>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8B1196" w:rsidRPr="00EB4D74" w:rsidRDefault="008B1196" w:rsidP="008B1196">
      <w:pPr>
        <w:numPr>
          <w:ilvl w:val="1"/>
          <w:numId w:val="99"/>
        </w:numPr>
        <w:tabs>
          <w:tab w:val="left" w:pos="1800"/>
        </w:tabs>
        <w:spacing w:after="60"/>
        <w:ind w:left="1800"/>
        <w:rPr>
          <w:rFonts w:cs="Tahoma"/>
        </w:rPr>
      </w:pPr>
      <w:r w:rsidRPr="00EB4D74">
        <w:rPr>
          <w:rFonts w:cs="Tahoma"/>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8B1196" w:rsidRPr="00EB4D74" w:rsidRDefault="008B1196" w:rsidP="008B1196">
      <w:pPr>
        <w:numPr>
          <w:ilvl w:val="1"/>
          <w:numId w:val="99"/>
        </w:numPr>
        <w:tabs>
          <w:tab w:val="left" w:pos="1800"/>
        </w:tabs>
        <w:spacing w:after="60"/>
        <w:ind w:left="1800"/>
        <w:rPr>
          <w:rFonts w:cs="Tahoma"/>
        </w:rPr>
      </w:pPr>
      <w:r w:rsidRPr="00EB4D74">
        <w:rPr>
          <w:rFonts w:cs="Tahoma"/>
          <w:lang w:val="pt-BR"/>
        </w:rPr>
        <w:t>A equivalência de licença de núcleo dos clientes não implica que eles podem atribuir uma única licença de processador a núcleos por dois ou mais processadores.</w:t>
      </w:r>
    </w:p>
    <w:p w:rsidR="008B1196" w:rsidRPr="00EB4D74" w:rsidRDefault="008B1196" w:rsidP="008B1196">
      <w:pPr>
        <w:tabs>
          <w:tab w:val="left" w:pos="1800"/>
        </w:tabs>
        <w:rPr>
          <w:rFonts w:cs="Tahoma"/>
        </w:rPr>
      </w:pPr>
    </w:p>
    <w:p w:rsidR="008B1196" w:rsidRPr="00EB4D74" w:rsidRDefault="008B1196" w:rsidP="008B1196">
      <w:pPr>
        <w:tabs>
          <w:tab w:val="left" w:pos="720"/>
        </w:tabs>
        <w:spacing w:after="60"/>
        <w:ind w:left="720"/>
        <w:rPr>
          <w:rFonts w:cs="Tahoma"/>
        </w:rPr>
      </w:pPr>
      <w:r w:rsidRPr="00EB4D74">
        <w:rPr>
          <w:rFonts w:cs="Tahoma"/>
          <w:b/>
          <w:color w:val="000000"/>
          <w:lang w:val="pt-BR"/>
        </w:rPr>
        <w:t>Para os clientes com cobertura de Software Assurance que expiram em ou depois de 1º de abril de 2015 que optaram pela não renovação</w:t>
      </w:r>
    </w:p>
    <w:p w:rsidR="008B1196" w:rsidRPr="00EB4D74" w:rsidRDefault="008B1196" w:rsidP="008B1196">
      <w:pPr>
        <w:tabs>
          <w:tab w:val="left" w:pos="720"/>
        </w:tabs>
        <w:ind w:left="720"/>
        <w:rPr>
          <w:rFonts w:cs="Tahoma"/>
        </w:rPr>
      </w:pPr>
      <w:r w:rsidRPr="00EB4D7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8B1196" w:rsidRPr="00EB4D74" w:rsidRDefault="008B1196" w:rsidP="008B1196">
      <w:pPr>
        <w:tabs>
          <w:tab w:val="left" w:pos="720"/>
        </w:tabs>
        <w:ind w:left="720"/>
        <w:rPr>
          <w:rFonts w:cs="Tahoma"/>
        </w:rPr>
      </w:pPr>
    </w:p>
    <w:p w:rsidR="008B1196" w:rsidRPr="00EB4D74" w:rsidRDefault="008B1196" w:rsidP="008B1196">
      <w:pPr>
        <w:numPr>
          <w:ilvl w:val="2"/>
          <w:numId w:val="91"/>
        </w:numPr>
        <w:spacing w:after="60"/>
        <w:ind w:left="1440"/>
        <w:rPr>
          <w:rFonts w:cs="Tahoma"/>
          <w:lang w:val="it-IT"/>
        </w:rPr>
      </w:pPr>
      <w:r w:rsidRPr="00EB4D74">
        <w:rPr>
          <w:rFonts w:cs="Tahoma"/>
          <w:lang w:val="pt-BR"/>
        </w:rPr>
        <w:t xml:space="preserve">Conforme fornecido no primeiro parágrafo desta nota de produto, as licenças adquiridas antes de 1º de abril de 2015 são licenças de qualificação, e os clientes poderão continuar usar o SQL </w:t>
      </w:r>
      <w:r w:rsidRPr="00EB4D74">
        <w:rPr>
          <w:rFonts w:cs="Tahoma"/>
          <w:lang w:val="pt-BR"/>
        </w:rPr>
        <w:lastRenderedPageBreak/>
        <w:t>Server 2012 de acordo com os termos na seção “Para Clientes com cobertura de Software Assurance antes de 1º de abril de 2015, que optou por não renovar” acima e</w:t>
      </w:r>
    </w:p>
    <w:p w:rsidR="008B1196" w:rsidRPr="00EB4D74" w:rsidRDefault="008B1196" w:rsidP="008B1196">
      <w:pPr>
        <w:spacing w:after="60"/>
        <w:ind w:left="1440"/>
        <w:rPr>
          <w:rFonts w:cs="Tahoma"/>
          <w:lang w:val="pt-BR"/>
        </w:rPr>
      </w:pPr>
    </w:p>
    <w:p w:rsidR="008B1196" w:rsidRPr="00EB4D74" w:rsidRDefault="008B1196" w:rsidP="008B1196">
      <w:pPr>
        <w:spacing w:after="60"/>
        <w:ind w:left="1440"/>
        <w:rPr>
          <w:rFonts w:cs="Tahoma"/>
          <w:lang w:val="it-IT"/>
        </w:rPr>
      </w:pPr>
    </w:p>
    <w:p w:rsidR="008B1196" w:rsidRPr="00EB4D74" w:rsidRDefault="008B1196" w:rsidP="008B1196">
      <w:pPr>
        <w:numPr>
          <w:ilvl w:val="2"/>
          <w:numId w:val="91"/>
        </w:numPr>
        <w:spacing w:after="60"/>
        <w:ind w:left="1440"/>
        <w:rPr>
          <w:rFonts w:cs="Tahoma"/>
          <w:lang w:val="pt-BR"/>
        </w:rPr>
      </w:pPr>
      <w:r w:rsidRPr="00EB4D74">
        <w:rPr>
          <w:rFonts w:cs="Tahoma"/>
          <w:color w:val="000000"/>
          <w:lang w:val="pt-BR"/>
        </w:rPr>
        <w:t>Para as licenças adquiridas depois de 1º de abril de2015,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8B1196" w:rsidRPr="00EB4D74" w:rsidRDefault="008B1196" w:rsidP="008B1196">
      <w:pPr>
        <w:rPr>
          <w:rFonts w:cs="Tahoma"/>
          <w:lang w:val="pt-BR"/>
        </w:rPr>
      </w:pPr>
    </w:p>
    <w:p w:rsidR="008B1196" w:rsidRPr="00EB4D74" w:rsidRDefault="008B1196" w:rsidP="008B1196">
      <w:pPr>
        <w:pStyle w:val="ListParagraph"/>
        <w:tabs>
          <w:tab w:val="left" w:pos="720"/>
        </w:tabs>
        <w:spacing w:after="60"/>
        <w:contextualSpacing w:val="0"/>
        <w:rPr>
          <w:rFonts w:ascii="Tahoma" w:hAnsi="Tahoma" w:cs="Tahoma"/>
          <w:b/>
          <w:sz w:val="18"/>
          <w:szCs w:val="18"/>
          <w:lang w:val="it-IT"/>
        </w:rPr>
      </w:pPr>
      <w:r w:rsidRPr="00EB4D74">
        <w:rPr>
          <w:rFonts w:ascii="Tahoma" w:hAnsi="Tahoma" w:cs="Tahoma"/>
          <w:b/>
          <w:color w:val="000000"/>
          <w:sz w:val="18"/>
          <w:szCs w:val="18"/>
          <w:lang w:val="it-IT"/>
        </w:rPr>
        <w:t>Para os clientes localizados na República Popular da China e para os que estão adquirindo licenças de processador e Software Assurance para SQL Server 2008 R2</w:t>
      </w:r>
    </w:p>
    <w:p w:rsidR="008B1196" w:rsidRPr="00EB4D74" w:rsidRDefault="008B1196" w:rsidP="008B1196">
      <w:pPr>
        <w:pStyle w:val="ListParagraph"/>
        <w:tabs>
          <w:tab w:val="left" w:pos="720"/>
        </w:tabs>
        <w:contextualSpacing w:val="0"/>
        <w:rPr>
          <w:rFonts w:ascii="Tahoma" w:hAnsi="Tahoma" w:cs="Tahoma"/>
          <w:sz w:val="18"/>
          <w:szCs w:val="18"/>
        </w:rPr>
      </w:pPr>
      <w:r w:rsidRPr="00EB4D74">
        <w:rPr>
          <w:rFonts w:ascii="Tahoma" w:hAnsi="Tahoma" w:cs="Tahoma"/>
          <w:color w:val="000000"/>
          <w:sz w:val="18"/>
          <w:szCs w:val="18"/>
          <w:lang w:val="it-IT"/>
        </w:rPr>
        <w:t xml:space="preserve">As referências a 1º de abril de 2012 e 1º de abril de 2015 nesta nota da lista de produtos não são aplicáveis. </w:t>
      </w:r>
      <w:r w:rsidRPr="00EB4D74">
        <w:rPr>
          <w:rFonts w:ascii="Tahoma" w:hAnsi="Tahoma" w:cs="Tahoma"/>
          <w:color w:val="000000"/>
          <w:sz w:val="18"/>
          <w:szCs w:val="18"/>
        </w:rPr>
        <w:t>As datas aplicáveis para esses clientes são 1º de julho de 2012 e 1º de julho de 2015, respectivamente.</w:t>
      </w:r>
    </w:p>
    <w:p w:rsidR="008B1196" w:rsidRPr="00EB4D74" w:rsidRDefault="008B1196" w:rsidP="008B1196">
      <w:pPr>
        <w:tabs>
          <w:tab w:val="left" w:pos="1080"/>
          <w:tab w:val="left" w:pos="1800"/>
        </w:tabs>
        <w:rPr>
          <w:rFonts w:cs="Tahoma"/>
        </w:rPr>
      </w:pPr>
    </w:p>
    <w:p w:rsidR="008B1196" w:rsidRPr="00EB4D74" w:rsidRDefault="008B1196" w:rsidP="008B1196">
      <w:pPr>
        <w:tabs>
          <w:tab w:val="left" w:pos="1080"/>
          <w:tab w:val="left" w:pos="1800"/>
        </w:tabs>
        <w:rPr>
          <w:rFonts w:cs="Tahoma"/>
        </w:rPr>
      </w:pPr>
    </w:p>
    <w:p w:rsidR="008B1196" w:rsidRPr="00EB4D74" w:rsidRDefault="008B1196" w:rsidP="008B1196">
      <w:pPr>
        <w:pStyle w:val="Heading3"/>
        <w:rPr>
          <w:rFonts w:ascii="Tahoma" w:hAnsi="Tahoma" w:cs="Tahoma"/>
          <w:color w:val="F66400"/>
          <w:sz w:val="22"/>
          <w:lang w:val="pt-BR"/>
        </w:rPr>
      </w:pPr>
      <w:bookmarkStart w:id="1407" w:name="_Toc336338345"/>
      <w:bookmarkStart w:id="1408" w:name="Srv_87SQLServer2012Developer"/>
      <w:bookmarkStart w:id="1409" w:name="_Toc342914971"/>
      <w:bookmarkEnd w:id="1407"/>
      <w:bookmarkEnd w:id="1408"/>
      <w:r w:rsidRPr="00EB4D74">
        <w:rPr>
          <w:rFonts w:ascii="Tahoma" w:hAnsi="Tahoma" w:cs="Tahoma"/>
          <w:color w:val="F66400"/>
          <w:sz w:val="22"/>
          <w:vertAlign w:val="superscript"/>
          <w:lang w:val="pt-BR"/>
        </w:rPr>
        <w:t>76</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2012 Developer</w:t>
      </w:r>
      <w:bookmarkEnd w:id="1409"/>
    </w:p>
    <w:p w:rsidR="008B1196" w:rsidRPr="00EB4D74" w:rsidRDefault="008B1196" w:rsidP="008B1196">
      <w:pPr>
        <w:rPr>
          <w:lang w:val="pt-BR"/>
        </w:rPr>
      </w:pPr>
    </w:p>
    <w:p w:rsidR="008B1196" w:rsidRPr="00EB4D74" w:rsidRDefault="008B1196" w:rsidP="008B1196">
      <w:pPr>
        <w:spacing w:after="60"/>
        <w:ind w:left="720"/>
        <w:rPr>
          <w:rFonts w:cs="Tahoma"/>
          <w:lang w:val="it-IT"/>
        </w:rPr>
      </w:pPr>
      <w:r w:rsidRPr="00EB4D74">
        <w:rPr>
          <w:rFonts w:cs="Tahoma"/>
          <w:b/>
          <w:color w:val="000000"/>
          <w:lang w:val="pt-BR"/>
        </w:rPr>
        <w:t>Notificação Importante</w:t>
      </w:r>
    </w:p>
    <w:p w:rsidR="008B1196" w:rsidRPr="00EB4D74" w:rsidRDefault="008B1196" w:rsidP="008B1196">
      <w:pPr>
        <w:ind w:left="720"/>
        <w:rPr>
          <w:rFonts w:cs="Tahoma"/>
          <w:lang w:val="pt-BR"/>
        </w:rPr>
      </w:pPr>
      <w:r w:rsidRPr="00EB4D74">
        <w:rPr>
          <w:rFonts w:cs="Tahoma"/>
          <w:color w:val="000000"/>
          <w:szCs w:val="18"/>
          <w:lang w:val="pt-BR"/>
        </w:rPr>
        <w:t>Atualizações Automáticas para SQL Server 2008, SQL Server 2005 e SQL Server 2000. Se este software for instalado em servidores ou dispositivos executando qualquer edição do SQL Server 2008, SQL Server 2005 ou SQL Server 2000 (ou componentes de qualquer um deles) esse software atualizará e substituirá automaticamente determinados arquivos ou recursos dessas edições pelos arquivos deste software. Esse recurso não pode ser desativado. Os arquivos atualizados não podem ser removidos e os arquivos originais podem não ser recuperáveis. Ao instalar esse software em um servidor ou dispositivo executando qualquer edição do SQL Server 2008, SQL Server 2005 ou SQL Server 2000, você autoriza essas atualizações em todas as edições e cópias do SQL Server (incluindo os componentes de qualquer um deles) em execução nesse servidor ou dispositivo.</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p>
    <w:p w:rsidR="008B1196" w:rsidRPr="00EB4D74" w:rsidRDefault="008B1196" w:rsidP="008B1196">
      <w:pPr>
        <w:pStyle w:val="Heading3"/>
        <w:rPr>
          <w:rFonts w:ascii="Tahoma" w:hAnsi="Tahoma" w:cs="Tahoma"/>
          <w:lang w:val="pt-BR"/>
        </w:rPr>
      </w:pPr>
      <w:bookmarkStart w:id="1410" w:name="_Toc336338346"/>
      <w:bookmarkStart w:id="1411" w:name="Srv_88SQLServer2012Enterprise"/>
      <w:bookmarkStart w:id="1412" w:name="_Toc342914972"/>
      <w:bookmarkEnd w:id="1410"/>
      <w:bookmarkEnd w:id="1411"/>
      <w:r w:rsidRPr="00EB4D74">
        <w:rPr>
          <w:rFonts w:ascii="Tahoma" w:hAnsi="Tahoma" w:cs="Tahoma"/>
          <w:color w:val="F66400"/>
          <w:sz w:val="22"/>
          <w:vertAlign w:val="superscript"/>
          <w:lang w:val="pt-BR"/>
        </w:rPr>
        <w:t>77</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2012 Enterprise</w:t>
      </w:r>
      <w:bookmarkEnd w:id="1412"/>
    </w:p>
    <w:p w:rsidR="008B1196" w:rsidRPr="00EB4D74" w:rsidRDefault="008B1196" w:rsidP="008B1196">
      <w:pPr>
        <w:rPr>
          <w:rFonts w:cs="Tahoma"/>
          <w:lang w:val="pt-BR"/>
        </w:rPr>
      </w:pPr>
    </w:p>
    <w:p w:rsidR="008B1196" w:rsidRPr="00EB4D74" w:rsidRDefault="008B1196" w:rsidP="008B1196">
      <w:pPr>
        <w:ind w:left="720"/>
        <w:rPr>
          <w:rFonts w:cs="Tahoma"/>
          <w:lang w:val="pt-BR"/>
        </w:rPr>
      </w:pPr>
      <w:r w:rsidRPr="00EB4D74">
        <w:rPr>
          <w:rFonts w:cs="Tahoma"/>
          <w:color w:val="000000"/>
          <w:lang w:val="pt-BR"/>
        </w:rPr>
        <w:t>O SQL Server 2008 Enterprise é a próxima versão do SQL Server 2008 Enterprise, e a CAL do SQL Server 2012 é a próxima versão da CAL do SQL Server.</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Clientes de CAL/SQL Server Enterprise Server – Opção de Renovação de Software Assurance Especial</w:t>
      </w:r>
    </w:p>
    <w:p w:rsidR="008B1196" w:rsidRPr="00EB4D74" w:rsidRDefault="008B1196" w:rsidP="008B1196">
      <w:pPr>
        <w:ind w:left="720"/>
        <w:rPr>
          <w:rFonts w:cs="Tahoma"/>
          <w:spacing w:val="-3"/>
          <w:lang w:val="pt-BR"/>
        </w:rPr>
      </w:pPr>
      <w:r w:rsidRPr="00EB4D74">
        <w:rPr>
          <w:rFonts w:eastAsia="Times New Roman" w:cs="Tahoma"/>
          <w:color w:val="000000"/>
          <w:spacing w:val="-3"/>
          <w:szCs w:val="18"/>
          <w:lang w:val="pt-BR"/>
        </w:rPr>
        <w:t xml:space="preserve">Os clientes com Software Assurance ativo para licenças do SQL Server Enterprise Server/CAL a partir de 1o. de abril de 2012 podem, opcionalmente, renovar sua cobertura para Enterprise, adquirir Software Assurance para licenças de número igual para SQL Server 2012 Business Intelligence sem adquirir as licenças básicas. Mediante a aquisição do Software Assurance do SQL Server 2012 Business Intelligence sob esta oferta, os clientes não poderão mais usar o SQL Server Enterprise sob as licenças de qualificação. </w:t>
      </w:r>
      <w:r w:rsidRPr="00EB4D74">
        <w:rPr>
          <w:rFonts w:cs="Tahoma"/>
          <w:color w:val="000000"/>
          <w:spacing w:val="-3"/>
          <w:lang w:val="pt-BR"/>
        </w:rPr>
        <w:t>Os clientes que adquirem Software Assurance para SQL Server Business Intelligence sob esta oferta também não terão a opção de reverter a cobertura do SQL Server Enterprise para suas licenças de qualificação do SQL Server Enterprise.</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Opções de Fornecimento do SQL Server 2012</w:t>
      </w:r>
    </w:p>
    <w:p w:rsidR="008B1196" w:rsidRPr="00EB4D74" w:rsidRDefault="008B1196" w:rsidP="008B1196">
      <w:pPr>
        <w:ind w:left="720"/>
        <w:rPr>
          <w:rFonts w:cs="Tahoma"/>
          <w:lang w:val="pt-BR"/>
        </w:rPr>
      </w:pPr>
      <w:r w:rsidRPr="00EB4D74">
        <w:rPr>
          <w:rFonts w:eastAsia="Times New Roman" w:cs="Tahoma"/>
          <w:color w:val="000000"/>
          <w:szCs w:val="18"/>
          <w:lang w:val="pt-BR"/>
        </w:rPr>
        <w:t>Os clientes podem usar apenas o software correspondente ao modelo de licenciamento sob o qual suas licenças do SQL Server são adquiridas.</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rPr>
      </w:pPr>
      <w:r w:rsidRPr="00EB4D74">
        <w:rPr>
          <w:rFonts w:cs="Tahoma"/>
          <w:b/>
          <w:color w:val="000000"/>
          <w:lang w:val="pt-BR"/>
        </w:rPr>
        <w:t>Opção de Compra (“Buy-out”) do SQL Server sob EAP</w:t>
      </w:r>
    </w:p>
    <w:p w:rsidR="008B1196" w:rsidRPr="00EB4D74" w:rsidRDefault="008B1196" w:rsidP="008B1196">
      <w:pPr>
        <w:ind w:left="720"/>
        <w:rPr>
          <w:rFonts w:cs="Tahoma"/>
        </w:rPr>
      </w:pPr>
      <w:r w:rsidRPr="00EB4D74">
        <w:rPr>
          <w:rFonts w:cs="Tahoma"/>
          <w:color w:val="000000"/>
          <w:lang w:val="pt-BR"/>
        </w:rPr>
        <w:t>Os clientes terão a opção de renovar as licenças do Software Assurance para SQL Server Enterprise Server/CAL depois de 30 de junho de 2012, no entanto, sua única opção de compra (“buy-out”) no final do prazo do registro será para licenças de núcleo.</w:t>
      </w:r>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Uso Contínuo do SQL Server 2008 R2 Enterprise</w:t>
      </w:r>
    </w:p>
    <w:p w:rsidR="008B1196" w:rsidRPr="00EB4D74" w:rsidRDefault="008B1196" w:rsidP="008B1196">
      <w:pPr>
        <w:ind w:left="720"/>
        <w:rPr>
          <w:rFonts w:cs="Tahoma"/>
          <w:lang w:val="pt-BR"/>
        </w:rPr>
      </w:pPr>
      <w:r w:rsidRPr="00EB4D74">
        <w:rPr>
          <w:rFonts w:cs="Tahoma"/>
          <w:color w:val="000000"/>
          <w:lang w:val="pt-BR"/>
        </w:rPr>
        <w:lastRenderedPageBreak/>
        <w:t>Os clientes de Software Assurance que continuarem a usar o SQL Server 2008 R2 Enterprise sob as licenças adquiridas sob este contrato ou registro em vigor em 1º de abril de 2012 poderão usar o software sob os direitos de uso do SQL Server 2008 R2 Enterprise durante o prazo atual e qualquer prazo de renovação. Os clientes que usam o SQL Server 2008 R2 Enterprise sob diretos de fazer downgrade sob as licenças adquiridas depois da renovação de sua cobertura deverão usar o software sob os direitos de uso da versão licenciada.</w:t>
      </w:r>
    </w:p>
    <w:p w:rsidR="008B1196" w:rsidRPr="00EB4D74" w:rsidRDefault="008B1196" w:rsidP="008B1196">
      <w:pPr>
        <w:spacing w:after="60"/>
        <w:ind w:left="720"/>
        <w:rPr>
          <w:rFonts w:cs="Tahoma"/>
          <w:lang w:val="it-IT"/>
        </w:rPr>
      </w:pPr>
      <w:r w:rsidRPr="00EB4D74">
        <w:rPr>
          <w:rFonts w:cs="Tahoma"/>
          <w:b/>
          <w:color w:val="000000"/>
          <w:lang w:val="pt-BR"/>
        </w:rPr>
        <w:t>Para os clientes localizados na República Popular da China e para os que estão adquirindo licenças e Software Assurance para SQL Server 2008 R2</w:t>
      </w:r>
    </w:p>
    <w:p w:rsidR="008B1196" w:rsidRPr="00EB4D74" w:rsidRDefault="008B1196" w:rsidP="008B1196">
      <w:pPr>
        <w:ind w:left="720"/>
        <w:rPr>
          <w:rFonts w:cs="Tahoma"/>
          <w:lang w:val="it-IT"/>
        </w:rPr>
      </w:pPr>
      <w:r w:rsidRPr="00EB4D74">
        <w:rPr>
          <w:rFonts w:cs="Tahoma"/>
          <w:lang w:val="pt-BR"/>
        </w:rPr>
        <w:t>As referências a 1º de abril de 2012 nesta nota da lista de produtos não são aplicáveis. A data aplicável para esses clientes é 1º de julho de 2012.</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lang w:val="it-IT"/>
        </w:rPr>
      </w:pPr>
      <w:bookmarkStart w:id="1413" w:name="_Toc336338347"/>
      <w:bookmarkStart w:id="1414" w:name="Srv_89SQLServer2012EnterpriseCore"/>
      <w:bookmarkStart w:id="1415" w:name="_Toc342914973"/>
      <w:bookmarkEnd w:id="1413"/>
      <w:bookmarkEnd w:id="1414"/>
      <w:r w:rsidRPr="00EB4D74">
        <w:rPr>
          <w:rFonts w:ascii="Tahoma" w:hAnsi="Tahoma" w:cs="Tahoma"/>
          <w:caps/>
          <w:color w:val="F66400"/>
          <w:sz w:val="22"/>
          <w:vertAlign w:val="superscript"/>
          <w:lang w:val="pt-BR"/>
        </w:rPr>
        <w:t xml:space="preserve">78 </w:t>
      </w:r>
      <w:r w:rsidRPr="00EB4D74">
        <w:rPr>
          <w:rFonts w:ascii="Tahoma" w:hAnsi="Tahoma" w:cs="Tahoma"/>
          <w:color w:val="F66400"/>
          <w:sz w:val="22"/>
          <w:lang w:val="pt-BR"/>
        </w:rPr>
        <w:t>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2012 Enterprise Core</w:t>
      </w:r>
      <w:bookmarkEnd w:id="1415"/>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spacing w:after="60"/>
        <w:ind w:left="720"/>
        <w:rPr>
          <w:rFonts w:cs="Tahoma"/>
          <w:lang w:val="it-IT"/>
        </w:rPr>
      </w:pPr>
      <w:r w:rsidRPr="00EB4D74">
        <w:rPr>
          <w:rFonts w:cs="Tahoma"/>
          <w:b/>
          <w:color w:val="000000"/>
          <w:lang w:val="pt-BR"/>
        </w:rPr>
        <w:t>Extensão dos Direitos de Uso da Virtualização Ilimitada para SQL Server 2008 R2 Enterprise (por processador)</w:t>
      </w:r>
    </w:p>
    <w:p w:rsidR="008B1196" w:rsidRPr="00EB4D74" w:rsidRDefault="008B1196" w:rsidP="008B1196">
      <w:pPr>
        <w:ind w:left="720"/>
        <w:rPr>
          <w:rFonts w:cs="Tahoma"/>
          <w:lang w:val="it-IT"/>
        </w:rPr>
      </w:pPr>
      <w:r w:rsidRPr="00EB4D74">
        <w:rPr>
          <w:rFonts w:eastAsia="Times New Roman" w:cs="Tahoma"/>
          <w:color w:val="000000"/>
          <w:szCs w:val="18"/>
          <w:lang w:val="pt-BR"/>
        </w:rPr>
        <w:t>Não obstante qualquer disposição em contrário nos Direitos de Uso do Produto ou nas versões anteriores da Lista de Produtos, se um cliente tiver licenciado todos os processadores físicos em um servidor licenciado e mantiver Software Assurance ativo nessas licenças, o cliente poderá continuar a executar o software para servidores em um número ilimitado de ambientes do sistema operacional naquele servidor.</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Outorgas de Licença Associadas à Alteração no Modelo de Licenciamento</w:t>
      </w:r>
    </w:p>
    <w:p w:rsidR="008B1196" w:rsidRPr="00EB4D74" w:rsidRDefault="008B1196" w:rsidP="008B1196">
      <w:pPr>
        <w:ind w:left="720"/>
        <w:rPr>
          <w:rFonts w:cs="Tahoma"/>
          <w:spacing w:val="-4"/>
          <w:lang w:val="pt-BR"/>
        </w:rPr>
      </w:pPr>
      <w:r w:rsidRPr="00EB4D74">
        <w:rPr>
          <w:rFonts w:eastAsia="Times New Roman" w:cs="Tahoma"/>
          <w:color w:val="000000"/>
          <w:spacing w:val="-4"/>
          <w:szCs w:val="18"/>
          <w:lang w:val="pt-BR"/>
        </w:rPr>
        <w:t xml:space="preserve">O SQL Server 2008 R2 será a última versão do SQL Server licenciada sob o modelo de licenciamento por processador. Como uma exceção, aos clientes de licenciamento por volume com Software Assurance ativo para licenças do processador do SQL Server 2008 R2 Enterprise em 1º de abril de 2012 (“licenças de qualificação”) são concedidas as seguintes opções. </w:t>
      </w:r>
      <w:r w:rsidRPr="00EB4D74">
        <w:rPr>
          <w:rFonts w:cs="Tahoma"/>
          <w:color w:val="000000"/>
          <w:spacing w:val="-4"/>
          <w:lang w:val="pt-BR"/>
        </w:rPr>
        <w:t>As licenças do processador do SQL Server 2008 R2 Enterprise adquiridas posteriormente no mesmo prazo de registro, mas antes de 1º de abril de 2015 como parte de um processo de adequação (“true-up”) programado do cliente Enterprise, Enterprise Subscription, Open Value Subscription ou EES também são “licenças de qualificação” para fins dessas opções. As licenças adquiridas depois de 1º de abril de 2015 ou sob um prazo de registro subsequente, um contrato separado ou qualquer registro com uma data de início de vigência após 1º de abril de 2012 não são licenças de qualificação.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it-IT"/>
        </w:rPr>
      </w:pPr>
      <w:r w:rsidRPr="00EB4D74">
        <w:rPr>
          <w:rFonts w:cs="Tahoma"/>
          <w:b/>
          <w:color w:val="000000"/>
          <w:lang w:val="pt-BR"/>
        </w:rPr>
        <w:t>Prazo Atual</w:t>
      </w:r>
    </w:p>
    <w:p w:rsidR="008B1196" w:rsidRPr="00EB4D74" w:rsidRDefault="008B1196" w:rsidP="008B1196">
      <w:pPr>
        <w:ind w:left="720"/>
        <w:rPr>
          <w:rFonts w:cs="Tahoma"/>
          <w:lang w:val="it-IT"/>
        </w:rPr>
      </w:pPr>
      <w:r w:rsidRPr="00EB4D74">
        <w:rPr>
          <w:rFonts w:eastAsia="Times New Roman" w:cs="Tahoma"/>
          <w:color w:val="000000"/>
          <w:szCs w:val="18"/>
          <w:lang w:val="pt-BR"/>
        </w:rPr>
        <w:t>Durante o prazo atual da sua cobertura de Software Assurance a partir de 1º de abril de 2012, os clientes (incluindo aqueles sob contratos de assinatura) podem, sob qualquer licença de qualificação, atualizar e usar o SQL Server 2012 Enterprise Core em vez do SQL Server 2008 R2 Enterprise sujeito aos direitos de uso do produto de licença do processador do SQL Server 2008 R2 Enterprise (conforme os Direitos de Uso do Produto de janeiro de 2012).</w:t>
      </w: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Primeiro Prazo de Renovação (antes de 1º de abril de 2015)</w:t>
      </w:r>
    </w:p>
    <w:p w:rsidR="008B1196" w:rsidRPr="00EB4D74" w:rsidRDefault="008B1196" w:rsidP="008B1196">
      <w:pPr>
        <w:tabs>
          <w:tab w:val="left" w:pos="1440"/>
        </w:tabs>
        <w:ind w:left="720"/>
        <w:rPr>
          <w:rFonts w:cs="Tahoma"/>
          <w:lang w:val="it-IT"/>
        </w:rPr>
      </w:pPr>
      <w:r w:rsidRPr="00EB4D74">
        <w:rPr>
          <w:rFonts w:cs="Tahoma"/>
          <w:color w:val="000000"/>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o cliente poderá adquirir licenças principais do Software Assurance para SQL Server Enterprise sem adquirir as licenças principais subjacentes para uma série de licenças principais iguais à soma de (a) e (b):</w:t>
      </w:r>
    </w:p>
    <w:p w:rsidR="008B1196" w:rsidRPr="00EB4D74" w:rsidRDefault="008B1196" w:rsidP="008B1196">
      <w:pPr>
        <w:numPr>
          <w:ilvl w:val="0"/>
          <w:numId w:val="123"/>
        </w:numPr>
        <w:tabs>
          <w:tab w:val="left" w:pos="1800"/>
        </w:tabs>
        <w:spacing w:after="60"/>
        <w:ind w:left="1440"/>
        <w:rPr>
          <w:rFonts w:cs="Tahoma"/>
          <w:lang w:val="it-IT"/>
        </w:rPr>
      </w:pPr>
      <w:r w:rsidRPr="00EB4D74">
        <w:rPr>
          <w:rFonts w:cs="Tahoma"/>
          <w:color w:val="000000"/>
          <w:lang w:val="pt-BR"/>
        </w:rPr>
        <w:t>um número igual ao menor número de licenças de qualificação atribuído ao servidor ou o número total de processadores físicos no servidor multiplicado pelo maior de:</w:t>
      </w:r>
    </w:p>
    <w:p w:rsidR="008B1196" w:rsidRPr="00EB4D74" w:rsidRDefault="008B1196" w:rsidP="008B1196">
      <w:pPr>
        <w:numPr>
          <w:ilvl w:val="3"/>
          <w:numId w:val="111"/>
        </w:numPr>
        <w:tabs>
          <w:tab w:val="left" w:pos="2160"/>
        </w:tabs>
        <w:spacing w:after="60"/>
        <w:ind w:left="2160"/>
        <w:rPr>
          <w:rFonts w:cs="Tahoma"/>
        </w:rPr>
      </w:pPr>
      <w:r w:rsidRPr="00EB4D74">
        <w:rPr>
          <w:rFonts w:cs="Tahoma"/>
          <w:color w:val="000000"/>
          <w:lang w:val="pt-BR"/>
        </w:rPr>
        <w:t>Quatro OU</w:t>
      </w:r>
    </w:p>
    <w:p w:rsidR="008B1196" w:rsidRPr="00EB4D74" w:rsidRDefault="008B1196" w:rsidP="008B1196">
      <w:pPr>
        <w:numPr>
          <w:ilvl w:val="3"/>
          <w:numId w:val="111"/>
        </w:numPr>
        <w:tabs>
          <w:tab w:val="left" w:pos="2160"/>
        </w:tabs>
        <w:spacing w:after="60"/>
        <w:ind w:left="2160"/>
        <w:rPr>
          <w:rFonts w:cs="Tahoma"/>
          <w:lang w:val="it-IT"/>
        </w:rPr>
      </w:pPr>
      <w:r w:rsidRPr="00EB4D74">
        <w:rPr>
          <w:rFonts w:eastAsia="Times New Roman" w:cs="Tahoma"/>
          <w:color w:val="000000"/>
          <w:szCs w:val="18"/>
          <w:lang w:val="pt-BR"/>
        </w:rPr>
        <w:t>o número real de núcleos por processador físico multiplicado pelo fator do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p>
    <w:p w:rsidR="008B1196" w:rsidRPr="00EB4D74" w:rsidRDefault="008B1196" w:rsidP="008B1196">
      <w:pPr>
        <w:numPr>
          <w:ilvl w:val="0"/>
          <w:numId w:val="123"/>
        </w:numPr>
        <w:tabs>
          <w:tab w:val="left" w:pos="1800"/>
        </w:tabs>
        <w:spacing w:after="60"/>
        <w:ind w:left="1440"/>
        <w:rPr>
          <w:rFonts w:cs="Tahoma"/>
          <w:lang w:val="it-IT"/>
        </w:rPr>
      </w:pPr>
      <w:r w:rsidRPr="00EB4D74">
        <w:rPr>
          <w:rFonts w:cs="Tahoma"/>
          <w:color w:val="000000"/>
          <w:lang w:val="pt-BR"/>
        </w:rPr>
        <w:t>um número igual ao número das licenças de qualificação atribuído ao servidor em excesso do número real de processadores físicos no servidor multiplicado por quatro.</w:t>
      </w:r>
    </w:p>
    <w:p w:rsidR="008B1196" w:rsidRPr="00EB4D74" w:rsidRDefault="008B1196" w:rsidP="008B1196">
      <w:pPr>
        <w:tabs>
          <w:tab w:val="left" w:pos="1800"/>
        </w:tabs>
        <w:ind w:left="1080"/>
        <w:rPr>
          <w:rFonts w:cs="Tahoma"/>
          <w:lang w:val="it-IT"/>
        </w:rPr>
      </w:pPr>
    </w:p>
    <w:p w:rsidR="008B1196" w:rsidRPr="00EB4D74" w:rsidRDefault="008B1196" w:rsidP="008B1196">
      <w:pPr>
        <w:tabs>
          <w:tab w:val="left" w:pos="1800"/>
        </w:tabs>
        <w:ind w:left="1080"/>
        <w:rPr>
          <w:rFonts w:cs="Tahoma"/>
          <w:lang w:val="it-IT"/>
        </w:rPr>
      </w:pPr>
    </w:p>
    <w:p w:rsidR="008B1196" w:rsidRPr="00EB4D74" w:rsidRDefault="008B1196" w:rsidP="008B1196">
      <w:pPr>
        <w:tabs>
          <w:tab w:val="left" w:pos="1800"/>
        </w:tabs>
        <w:ind w:left="1080"/>
        <w:rPr>
          <w:rFonts w:cs="Tahoma"/>
          <w:lang w:val="it-IT"/>
        </w:rPr>
      </w:pPr>
    </w:p>
    <w:p w:rsidR="008B1196" w:rsidRPr="00EB4D74" w:rsidRDefault="008B1196" w:rsidP="008B1196">
      <w:pPr>
        <w:tabs>
          <w:tab w:val="left" w:pos="1800"/>
        </w:tabs>
        <w:ind w:left="1080"/>
        <w:rPr>
          <w:rFonts w:cs="Tahoma"/>
          <w:lang w:val="it-IT"/>
        </w:rPr>
      </w:pPr>
    </w:p>
    <w:p w:rsidR="008B1196" w:rsidRPr="00EB4D74" w:rsidRDefault="008B1196" w:rsidP="008B1196">
      <w:pPr>
        <w:tabs>
          <w:tab w:val="left" w:pos="1800"/>
        </w:tabs>
        <w:ind w:left="1080"/>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Primeiro Prazo de Renovação (em ou após 1º de abril de 2015)</w:t>
      </w:r>
    </w:p>
    <w:p w:rsidR="008B1196" w:rsidRPr="00EB4D74" w:rsidRDefault="008B1196" w:rsidP="008B1196">
      <w:pPr>
        <w:ind w:left="720"/>
        <w:rPr>
          <w:rFonts w:cs="Tahoma"/>
          <w:lang w:val="it-IT"/>
        </w:rPr>
      </w:pPr>
      <w:r w:rsidRPr="00EB4D7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8B1196" w:rsidRPr="00EB4D74" w:rsidRDefault="008B1196" w:rsidP="008B1196">
      <w:pPr>
        <w:ind w:left="720"/>
        <w:rPr>
          <w:rFonts w:cs="Tahoma"/>
          <w:lang w:val="it-IT"/>
        </w:rPr>
      </w:pPr>
    </w:p>
    <w:p w:rsidR="008B1196" w:rsidRPr="00EB4D74" w:rsidRDefault="008B1196" w:rsidP="008B1196">
      <w:pPr>
        <w:numPr>
          <w:ilvl w:val="3"/>
          <w:numId w:val="112"/>
        </w:numPr>
        <w:spacing w:after="60"/>
        <w:ind w:left="1440" w:hanging="360"/>
        <w:rPr>
          <w:rFonts w:cs="Tahoma"/>
          <w:lang w:val="it-IT"/>
        </w:rPr>
      </w:pPr>
      <w:r w:rsidRPr="00EB4D74">
        <w:rPr>
          <w:rFonts w:cs="Tahoma"/>
          <w:lang w:val="pt-BR"/>
        </w:rPr>
        <w:t>Conforme fornecido no primeiro parágrafo desta nota do produto, as licenças adquiridas antes de 1º de abril de 2015 são licenças de qualificação, e os clientes poderão renovar o SA de acordo com os termos na seção “Primeiro Prazo de Renovação (Antes de 1º de abril de 2015) “ acima e</w:t>
      </w:r>
    </w:p>
    <w:p w:rsidR="008B1196" w:rsidRPr="00EB4D74" w:rsidRDefault="008B1196" w:rsidP="008B1196">
      <w:pPr>
        <w:spacing w:after="60"/>
        <w:rPr>
          <w:rFonts w:cs="Tahoma"/>
          <w:lang w:val="it-IT"/>
        </w:rPr>
      </w:pPr>
    </w:p>
    <w:p w:rsidR="008B1196" w:rsidRPr="00EB4D74" w:rsidRDefault="008B1196" w:rsidP="008B1196">
      <w:pPr>
        <w:spacing w:after="60"/>
        <w:rPr>
          <w:rFonts w:cs="Tahoma"/>
          <w:lang w:val="it-IT"/>
        </w:rPr>
      </w:pPr>
    </w:p>
    <w:p w:rsidR="008B1196" w:rsidRPr="00EB4D74" w:rsidRDefault="008B1196" w:rsidP="008B1196">
      <w:pPr>
        <w:numPr>
          <w:ilvl w:val="3"/>
          <w:numId w:val="112"/>
        </w:numPr>
        <w:spacing w:after="60"/>
        <w:ind w:left="1440" w:hanging="360"/>
        <w:rPr>
          <w:rFonts w:cs="Tahoma"/>
          <w:lang w:val="pt-BR"/>
        </w:rPr>
      </w:pPr>
      <w:r w:rsidRPr="00EB4D74">
        <w:rPr>
          <w:rFonts w:cs="Tahoma"/>
          <w:lang w:val="pt-BR"/>
        </w:rPr>
        <w:t>Para as licenças adquiridas depois de 1º de abril de 2015, os clientes poderão renovar a SA para quatro licenças principais do SQL Server Enterprise sem adquirir as licenças principais subjacentes para cada licença do processador SQL Server 2008 R2 Enterprise. Para o uso contínuo do SQL Server 2012 em processadores que exigem mais de quatro licenças principais por processador, o cliente tem que adquirir licenças principais adicionais.</w:t>
      </w:r>
    </w:p>
    <w:p w:rsidR="008B1196" w:rsidRPr="00EB4D74" w:rsidRDefault="008B1196" w:rsidP="008B1196">
      <w:pPr>
        <w:numPr>
          <w:ilvl w:val="0"/>
          <w:numId w:val="91"/>
        </w:numPr>
        <w:spacing w:after="60"/>
        <w:ind w:left="1440"/>
        <w:rPr>
          <w:rFonts w:cs="Tahoma"/>
          <w:lang w:val="pt-BR"/>
        </w:rPr>
      </w:pPr>
      <w:r w:rsidRPr="00EB4D74">
        <w:rPr>
          <w:rFonts w:eastAsia="Times New Roman" w:cs="Tahoma"/>
          <w:color w:val="000000"/>
          <w:szCs w:val="18"/>
          <w:lang w:val="pt-BR"/>
        </w:rPr>
        <w:t>As licenças do processador dos clientes não são mais válidas na aquisição do Software Assurance para as licenças de núcleo sob esta oferta. A opção de adquirir o Software Assurance para licenças principais do SQL Server não é aplicável à renovação de cobertura sob os programas de assinatura.</w:t>
      </w:r>
    </w:p>
    <w:p w:rsidR="008B1196" w:rsidRPr="00EB4D74" w:rsidRDefault="008B1196" w:rsidP="008B1196">
      <w:pPr>
        <w:ind w:left="1440"/>
        <w:rPr>
          <w:rFonts w:cs="Tahoma"/>
          <w:lang w:val="pt-BR"/>
        </w:rPr>
      </w:pPr>
    </w:p>
    <w:p w:rsidR="008B1196" w:rsidRPr="00EB4D74" w:rsidRDefault="008B1196" w:rsidP="008B1196">
      <w:pPr>
        <w:tabs>
          <w:tab w:val="left" w:pos="1440"/>
        </w:tabs>
        <w:spacing w:after="60"/>
        <w:ind w:left="720"/>
        <w:rPr>
          <w:rFonts w:cs="Tahoma"/>
          <w:spacing w:val="-2"/>
          <w:lang w:val="pt-BR"/>
        </w:rPr>
      </w:pPr>
      <w:r w:rsidRPr="00EB4D74">
        <w:rPr>
          <w:rFonts w:cs="Tahoma"/>
          <w:b/>
          <w:color w:val="000000"/>
          <w:spacing w:val="-2"/>
          <w:lang w:val="pt-BR"/>
        </w:rPr>
        <w:t>Para os clientes com cobertura de Software Assurance que expiram antes de 1º de abril de 2015 que optaram pela não renovação</w:t>
      </w:r>
    </w:p>
    <w:p w:rsidR="008B1196" w:rsidRPr="00EB4D74" w:rsidRDefault="008B1196" w:rsidP="008B1196">
      <w:pPr>
        <w:tabs>
          <w:tab w:val="left" w:pos="1440"/>
        </w:tabs>
        <w:ind w:left="720"/>
        <w:rPr>
          <w:rFonts w:cs="Tahoma"/>
          <w:lang w:val="pt-BR"/>
        </w:rPr>
      </w:pPr>
      <w:r w:rsidRPr="00EB4D74">
        <w:rPr>
          <w:rFonts w:cs="Tahoma"/>
          <w:color w:val="000000"/>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8B1196" w:rsidRPr="00EB4D74" w:rsidRDefault="008B1196" w:rsidP="008B1196">
      <w:pPr>
        <w:tabs>
          <w:tab w:val="left" w:pos="1440"/>
        </w:tabs>
        <w:ind w:left="720"/>
        <w:rPr>
          <w:rFonts w:cs="Tahoma"/>
          <w:lang w:val="pt-BR"/>
        </w:rPr>
      </w:pPr>
    </w:p>
    <w:p w:rsidR="008B1196" w:rsidRPr="00EB4D74" w:rsidRDefault="008B1196" w:rsidP="008B1196">
      <w:pPr>
        <w:numPr>
          <w:ilvl w:val="0"/>
          <w:numId w:val="94"/>
        </w:numPr>
        <w:spacing w:after="60"/>
        <w:ind w:left="1440"/>
        <w:rPr>
          <w:rFonts w:cs="Tahoma"/>
          <w:lang w:val="pt-BR"/>
        </w:rPr>
      </w:pPr>
      <w:r w:rsidRPr="00EB4D74">
        <w:rPr>
          <w:rFonts w:cs="Tahoma"/>
          <w:b/>
          <w:color w:val="000000"/>
          <w:lang w:val="pt-BR"/>
        </w:rPr>
        <w:t xml:space="preserve">SQL Server 2008 R2 Enterprise: </w:t>
      </w:r>
      <w:r w:rsidRPr="00EB4D74">
        <w:rPr>
          <w:rFonts w:cs="Tahoma"/>
          <w:color w:val="000000"/>
          <w:lang w:val="pt-BR"/>
        </w:rPr>
        <w:t>O uso contínuo desta versão do software está sujeito aos direitos de uso do produto de licença do processador do SQL Server 2008 R2 Enterprise; no entanto, os clientes não têm mais os direitos de uso da Virtualização Ilimitada nem de Mobilidade de Licenças por meio de Software Assurance.</w:t>
      </w:r>
    </w:p>
    <w:p w:rsidR="008B1196" w:rsidRPr="00EB4D74" w:rsidRDefault="008B1196" w:rsidP="008B1196">
      <w:pPr>
        <w:numPr>
          <w:ilvl w:val="0"/>
          <w:numId w:val="94"/>
        </w:numPr>
        <w:tabs>
          <w:tab w:val="left" w:pos="1800"/>
        </w:tabs>
        <w:spacing w:after="60"/>
        <w:ind w:left="1440"/>
        <w:rPr>
          <w:rFonts w:cs="Tahoma"/>
          <w:lang w:val="pt-BR"/>
        </w:rPr>
      </w:pPr>
      <w:r w:rsidRPr="00EB4D74">
        <w:rPr>
          <w:rFonts w:eastAsia="Times New Roman" w:cs="Tahoma"/>
          <w:b/>
          <w:color w:val="000000"/>
          <w:szCs w:val="18"/>
          <w:lang w:val="pt-BR"/>
        </w:rPr>
        <w:t xml:space="preserve">SQL Server 2012 Enterprise Core: </w:t>
      </w:r>
      <w:r w:rsidRPr="00EB4D74">
        <w:rPr>
          <w:rFonts w:eastAsia="Times New Roman" w:cs="Tahoma"/>
          <w:color w:val="000000"/>
          <w:szCs w:val="18"/>
          <w:lang w:val="pt-BR"/>
        </w:rPr>
        <w:t>O uso desta versão do software está sujeito aos direitos de uso do produto de licença do processador do SQL Server 2008 R2 Enterprise, no entanto:</w:t>
      </w:r>
    </w:p>
    <w:p w:rsidR="008B1196" w:rsidRPr="00EB4D74" w:rsidRDefault="008B1196" w:rsidP="008B1196">
      <w:pPr>
        <w:numPr>
          <w:ilvl w:val="1"/>
          <w:numId w:val="94"/>
        </w:numPr>
        <w:tabs>
          <w:tab w:val="left" w:pos="2160"/>
        </w:tabs>
        <w:spacing w:after="60"/>
        <w:ind w:left="2160"/>
        <w:rPr>
          <w:rFonts w:cs="Tahoma"/>
          <w:lang w:val="pt-BR"/>
        </w:rPr>
      </w:pPr>
      <w:r w:rsidRPr="00EB4D74">
        <w:rPr>
          <w:rFonts w:cs="Tahoma"/>
          <w:color w:val="000000"/>
          <w:lang w:val="pt-BR"/>
        </w:rPr>
        <w:t>os clientes não têm mais direitos de uso de Virtualização Ilimitada, Mobilidade de Licença nos Farms de Servidores nem Mobilidade de Licença por meio de Software Assurance e</w:t>
      </w:r>
    </w:p>
    <w:p w:rsidR="008B1196" w:rsidRPr="00EB4D74" w:rsidRDefault="008B1196" w:rsidP="008B1196">
      <w:pPr>
        <w:numPr>
          <w:ilvl w:val="1"/>
          <w:numId w:val="94"/>
        </w:numPr>
        <w:tabs>
          <w:tab w:val="left" w:pos="2160"/>
          <w:tab w:val="left" w:pos="2970"/>
        </w:tabs>
        <w:spacing w:after="60"/>
        <w:ind w:left="2160"/>
        <w:rPr>
          <w:rFonts w:cs="Tahoma"/>
          <w:lang w:val="it-IT"/>
        </w:rPr>
      </w:pPr>
      <w:r w:rsidRPr="00EB4D74">
        <w:rPr>
          <w:rFonts w:eastAsia="Times New Roman" w:cs="Tahoma"/>
          <w:color w:val="000000"/>
          <w:szCs w:val="18"/>
          <w:lang w:val="pt-BR"/>
        </w:rPr>
        <w:t>quaisquer reatribuição de licenças está sujeita a limitações em (i) e (ii) abaixo relacionada a sua “equivalência de licença de núcleo”. A equivalência de licença de núcleo é determinada da seguinte forma:</w:t>
      </w:r>
    </w:p>
    <w:p w:rsidR="008B1196" w:rsidRPr="00EB4D74" w:rsidRDefault="008B1196" w:rsidP="008B1196">
      <w:pPr>
        <w:numPr>
          <w:ilvl w:val="2"/>
          <w:numId w:val="94"/>
        </w:numPr>
        <w:tabs>
          <w:tab w:val="left" w:pos="2520"/>
        </w:tabs>
        <w:spacing w:after="60"/>
        <w:ind w:left="2520"/>
        <w:rPr>
          <w:rFonts w:cs="Tahoma"/>
          <w:lang w:val="it-IT"/>
        </w:rPr>
      </w:pPr>
      <w:r w:rsidRPr="00EB4D74">
        <w:rPr>
          <w:rFonts w:eastAsia="Times New Roman" w:cs="Tahoma"/>
          <w:color w:val="000000"/>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8B1196" w:rsidRPr="00EB4D74" w:rsidRDefault="008B1196" w:rsidP="008B1196">
      <w:pPr>
        <w:numPr>
          <w:ilvl w:val="4"/>
          <w:numId w:val="91"/>
        </w:numPr>
        <w:tabs>
          <w:tab w:val="left" w:pos="2880"/>
        </w:tabs>
        <w:spacing w:after="60"/>
        <w:ind w:left="2880"/>
        <w:rPr>
          <w:rFonts w:cs="Tahoma"/>
        </w:rPr>
      </w:pPr>
      <w:r w:rsidRPr="00EB4D74">
        <w:rPr>
          <w:rFonts w:cs="Tahoma"/>
          <w:color w:val="000000"/>
          <w:lang w:val="pt-BR"/>
        </w:rPr>
        <w:t>quatro núcleos por licença de processador OU</w:t>
      </w:r>
    </w:p>
    <w:p w:rsidR="008B1196" w:rsidRPr="00EB4D74" w:rsidRDefault="008B1196" w:rsidP="008B1196">
      <w:pPr>
        <w:numPr>
          <w:ilvl w:val="4"/>
          <w:numId w:val="91"/>
        </w:numPr>
        <w:tabs>
          <w:tab w:val="left" w:pos="2880"/>
        </w:tabs>
        <w:spacing w:after="60"/>
        <w:ind w:left="2880"/>
        <w:rPr>
          <w:rFonts w:cs="Tahoma"/>
          <w:lang w:val="it-IT"/>
        </w:rPr>
      </w:pPr>
      <w:r w:rsidRPr="00EB4D74">
        <w:rPr>
          <w:rFonts w:eastAsia="Times New Roman" w:cs="Tahoma"/>
          <w:color w:val="000000"/>
          <w:szCs w:val="18"/>
          <w:lang w:val="pt-BR"/>
        </w:rPr>
        <w:t>um número de núcleos por licença do processador com base no número real de núcleos por processador físico multiplicado pelo fator de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8B1196" w:rsidRPr="00EB4D74" w:rsidRDefault="008B1196" w:rsidP="008B1196">
      <w:pPr>
        <w:numPr>
          <w:ilvl w:val="2"/>
          <w:numId w:val="94"/>
        </w:numPr>
        <w:tabs>
          <w:tab w:val="left" w:pos="2520"/>
        </w:tabs>
        <w:spacing w:after="60"/>
        <w:ind w:left="2520"/>
        <w:rPr>
          <w:rFonts w:cs="Tahoma"/>
          <w:lang w:val="it-IT"/>
        </w:rPr>
      </w:pPr>
      <w:r w:rsidRPr="00EB4D74">
        <w:rPr>
          <w:rFonts w:cs="Tahoma"/>
          <w:color w:val="000000"/>
          <w:lang w:val="pt-BR"/>
        </w:rPr>
        <w:lastRenderedPageBreak/>
        <w:t>Para qualquer licença de processador com um Software Assurance expirando atribuído ao mesmo servidor licenciado em excesso do número real de processadores físicos no servidor, a equivalência de núcleo é de quatro núcleos por licença de processador.</w:t>
      </w:r>
    </w:p>
    <w:p w:rsidR="008B1196" w:rsidRPr="00EB4D74" w:rsidRDefault="008B1196" w:rsidP="008B1196">
      <w:pPr>
        <w:numPr>
          <w:ilvl w:val="1"/>
          <w:numId w:val="94"/>
        </w:numPr>
        <w:tabs>
          <w:tab w:val="left" w:pos="1800"/>
        </w:tabs>
        <w:spacing w:after="60"/>
        <w:ind w:left="1800"/>
        <w:rPr>
          <w:rFonts w:cs="Tahoma"/>
        </w:rPr>
      </w:pPr>
      <w:r w:rsidRPr="00EB4D74">
        <w:rPr>
          <w:rFonts w:cs="Tahoma"/>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8B1196" w:rsidRPr="00EB4D74" w:rsidRDefault="008B1196" w:rsidP="008B1196">
      <w:pPr>
        <w:numPr>
          <w:ilvl w:val="1"/>
          <w:numId w:val="94"/>
        </w:numPr>
        <w:tabs>
          <w:tab w:val="left" w:pos="1800"/>
          <w:tab w:val="left" w:pos="2970"/>
        </w:tabs>
        <w:spacing w:after="60"/>
        <w:ind w:left="1800"/>
        <w:rPr>
          <w:rFonts w:cs="Tahoma"/>
        </w:rPr>
      </w:pPr>
      <w:r w:rsidRPr="00EB4D74">
        <w:rPr>
          <w:rFonts w:cs="Tahoma"/>
          <w:color w:val="000000"/>
          <w:lang w:val="pt-BR"/>
        </w:rPr>
        <w:t>A equivalência de licença de núcleo dos clientes não implica que eles podem atribuir uma única licença de processador a núcleos por dois ou mais processadores.</w:t>
      </w:r>
    </w:p>
    <w:p w:rsidR="008B1196" w:rsidRPr="00EB4D74" w:rsidRDefault="008B1196" w:rsidP="008B1196">
      <w:pPr>
        <w:tabs>
          <w:tab w:val="left" w:pos="1800"/>
          <w:tab w:val="left" w:pos="2970"/>
        </w:tabs>
        <w:rPr>
          <w:rFonts w:cs="Tahoma"/>
        </w:rPr>
      </w:pPr>
    </w:p>
    <w:p w:rsidR="008B1196" w:rsidRPr="00EB4D74" w:rsidRDefault="008B1196" w:rsidP="008B1196">
      <w:pPr>
        <w:tabs>
          <w:tab w:val="left" w:pos="720"/>
        </w:tabs>
        <w:spacing w:after="60"/>
        <w:ind w:left="720"/>
        <w:rPr>
          <w:rFonts w:cs="Tahoma"/>
        </w:rPr>
      </w:pPr>
      <w:r w:rsidRPr="00EB4D74">
        <w:rPr>
          <w:rFonts w:cs="Tahoma"/>
          <w:b/>
          <w:color w:val="000000"/>
          <w:lang w:val="pt-BR"/>
        </w:rPr>
        <w:t>Para os clientes com cobertura de Software Assurance que expiram em ou depois de 1º de abril de 2015 que optaram pela não renovação</w:t>
      </w:r>
    </w:p>
    <w:p w:rsidR="008B1196" w:rsidRPr="00EB4D74" w:rsidRDefault="008B1196" w:rsidP="008B1196">
      <w:pPr>
        <w:tabs>
          <w:tab w:val="left" w:pos="720"/>
        </w:tabs>
        <w:ind w:left="720"/>
        <w:rPr>
          <w:rFonts w:cs="Tahoma"/>
        </w:rPr>
      </w:pPr>
      <w:r w:rsidRPr="00EB4D74">
        <w:rPr>
          <w:rFonts w:cs="Tahoma"/>
          <w:color w:val="000000"/>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8B1196" w:rsidRPr="00EB4D74" w:rsidRDefault="008B1196" w:rsidP="008B1196">
      <w:pPr>
        <w:tabs>
          <w:tab w:val="left" w:pos="720"/>
        </w:tabs>
        <w:ind w:left="720"/>
        <w:rPr>
          <w:rFonts w:cs="Tahoma"/>
        </w:rPr>
      </w:pPr>
    </w:p>
    <w:p w:rsidR="008B1196" w:rsidRPr="00EB4D74" w:rsidRDefault="008B1196" w:rsidP="008B1196">
      <w:pPr>
        <w:numPr>
          <w:ilvl w:val="2"/>
          <w:numId w:val="91"/>
        </w:numPr>
        <w:spacing w:after="60"/>
        <w:ind w:left="1440"/>
        <w:rPr>
          <w:rFonts w:cs="Tahoma"/>
          <w:lang w:val="it-IT"/>
        </w:rPr>
      </w:pPr>
      <w:r w:rsidRPr="00EB4D74">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8B1196" w:rsidRPr="00EB4D74" w:rsidRDefault="008B1196" w:rsidP="008B1196">
      <w:pPr>
        <w:numPr>
          <w:ilvl w:val="2"/>
          <w:numId w:val="91"/>
        </w:numPr>
        <w:spacing w:after="60"/>
        <w:ind w:left="1440"/>
        <w:rPr>
          <w:rFonts w:cs="Tahoma"/>
          <w:lang w:val="pt-BR"/>
        </w:rPr>
      </w:pPr>
      <w:r w:rsidRPr="00EB4D74">
        <w:rPr>
          <w:rFonts w:cs="Tahoma"/>
          <w:lang w:val="pt-BR"/>
        </w:rPr>
        <w:t>Para as licenças adquiridas depois de 1º de abril de2015, a licença do processador de clientes terá uma equivalência de núcleo de quatro licenças principais do SQL Server 2012 Enterprise. Para o uso contínuo do SQL Server 2012 em processadores que exigem mais de quatro licenças principais por processador, o cliente tem que adquirir licenças principais adicionais.</w:t>
      </w:r>
    </w:p>
    <w:p w:rsidR="008B1196" w:rsidRPr="00EB4D74" w:rsidRDefault="008B1196" w:rsidP="008B1196">
      <w:pPr>
        <w:ind w:left="1440"/>
        <w:rPr>
          <w:rFonts w:cs="Tahoma"/>
          <w:lang w:val="pt-BR"/>
        </w:rPr>
      </w:pPr>
    </w:p>
    <w:p w:rsidR="008B1196" w:rsidRPr="00EB4D74" w:rsidRDefault="008B1196" w:rsidP="008B1196">
      <w:pPr>
        <w:tabs>
          <w:tab w:val="left" w:pos="720"/>
        </w:tabs>
        <w:spacing w:after="60"/>
        <w:ind w:left="720"/>
        <w:rPr>
          <w:rFonts w:cs="Tahoma"/>
          <w:lang w:val="it-IT"/>
        </w:rPr>
      </w:pPr>
      <w:r w:rsidRPr="00EB4D74">
        <w:rPr>
          <w:rFonts w:cs="Tahoma"/>
          <w:lang w:val="pt-BR"/>
        </w:rPr>
        <w:t>Para os clientes localizados na República Popular da China e para os que estão adquirindo licenças de processador e Software Assurance para SQL Server 2008 R2</w:t>
      </w:r>
    </w:p>
    <w:p w:rsidR="008B1196" w:rsidRPr="00EB4D74" w:rsidRDefault="008B1196" w:rsidP="008B1196">
      <w:pPr>
        <w:tabs>
          <w:tab w:val="left" w:pos="720"/>
        </w:tabs>
        <w:ind w:left="720"/>
        <w:rPr>
          <w:rFonts w:cs="Tahoma"/>
          <w:spacing w:val="-1"/>
        </w:rPr>
      </w:pPr>
      <w:r w:rsidRPr="00EB4D74">
        <w:rPr>
          <w:rFonts w:cs="Tahoma"/>
          <w:spacing w:val="-1"/>
          <w:lang w:val="pt-BR"/>
        </w:rPr>
        <w:t>As referências a 1º de abril de 2012 e 1º de abril de 2015 nesta nota da lista de produtos não são aplicáveis. As datas aplicáveis para esses clientes são 1º de julho de 2012 e 1º de julho de 2015, respectivamente.</w:t>
      </w:r>
    </w:p>
    <w:p w:rsidR="008B1196" w:rsidRPr="00EB4D74" w:rsidRDefault="008B1196" w:rsidP="008B1196">
      <w:pPr>
        <w:tabs>
          <w:tab w:val="left" w:pos="2970"/>
        </w:tabs>
        <w:ind w:left="1440"/>
        <w:rPr>
          <w:rFonts w:cs="Tahoma"/>
        </w:rPr>
      </w:pPr>
    </w:p>
    <w:p w:rsidR="008B1196" w:rsidRPr="00EB4D74" w:rsidRDefault="008B1196" w:rsidP="008B1196">
      <w:pPr>
        <w:pStyle w:val="Heading3"/>
        <w:rPr>
          <w:rFonts w:ascii="Tahoma" w:hAnsi="Tahoma" w:cs="Tahoma"/>
        </w:rPr>
      </w:pPr>
      <w:bookmarkStart w:id="1416" w:name="_Toc336338348"/>
      <w:bookmarkStart w:id="1417" w:name="Srv_90SQLServer2012Standard"/>
      <w:bookmarkStart w:id="1418" w:name="_Toc342914974"/>
      <w:bookmarkEnd w:id="1416"/>
      <w:bookmarkEnd w:id="1417"/>
      <w:r w:rsidRPr="00EB4D74">
        <w:rPr>
          <w:rFonts w:ascii="Tahoma" w:hAnsi="Tahoma" w:cs="Tahoma"/>
          <w:caps/>
          <w:color w:val="F66400"/>
          <w:sz w:val="22"/>
          <w:vertAlign w:val="superscript"/>
          <w:lang w:val="pt-BR"/>
        </w:rPr>
        <w:t>79</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2012 Standard</w:t>
      </w:r>
      <w:bookmarkEnd w:id="1418"/>
    </w:p>
    <w:p w:rsidR="008B1196" w:rsidRPr="00EB4D74" w:rsidRDefault="008B1196" w:rsidP="008B1196">
      <w:pPr>
        <w:pStyle w:val="EndnoteText"/>
        <w:ind w:left="0"/>
        <w:rPr>
          <w:rFonts w:ascii="Tahoma" w:hAnsi="Tahoma" w:cs="Tahoma"/>
          <w:sz w:val="18"/>
          <w:szCs w:val="18"/>
        </w:rPr>
      </w:pPr>
    </w:p>
    <w:p w:rsidR="008B1196" w:rsidRPr="00EB4D74" w:rsidRDefault="008B1196" w:rsidP="008B1196">
      <w:pPr>
        <w:ind w:left="720"/>
        <w:rPr>
          <w:rFonts w:cs="Tahoma"/>
        </w:rPr>
      </w:pPr>
      <w:r w:rsidRPr="00EB4D74">
        <w:rPr>
          <w:rFonts w:cs="Tahoma"/>
          <w:lang w:val="pt-BR"/>
        </w:rPr>
        <w:t>O SQL Server 2012 Standard é a próxima versão do SQL Server Standard, e a CAL do SQL Server 2012 é a próxima versão da CAL do SQL Server.</w:t>
      </w: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pStyle w:val="Heading3"/>
        <w:rPr>
          <w:rFonts w:ascii="Tahoma" w:hAnsi="Tahoma" w:cs="Tahoma"/>
          <w:lang w:val="it-IT"/>
        </w:rPr>
      </w:pPr>
      <w:bookmarkStart w:id="1419" w:name="_Toc336338349"/>
      <w:bookmarkStart w:id="1420" w:name="Srv_91SQLServer2012StandardCore"/>
      <w:bookmarkStart w:id="1421" w:name="_Toc342914975"/>
      <w:bookmarkEnd w:id="1419"/>
      <w:bookmarkEnd w:id="1420"/>
      <w:r w:rsidRPr="00EB4D74">
        <w:rPr>
          <w:rFonts w:ascii="Tahoma" w:hAnsi="Tahoma" w:cs="Tahoma"/>
          <w:caps/>
          <w:color w:val="F66400"/>
          <w:sz w:val="22"/>
          <w:vertAlign w:val="superscript"/>
          <w:lang w:val="pt-BR"/>
        </w:rPr>
        <w:t>80</w:t>
      </w:r>
      <w:r w:rsidRPr="00EB4D74">
        <w:rPr>
          <w:rFonts w:ascii="Tahoma" w:hAnsi="Tahoma" w:cs="Tahoma"/>
          <w:color w:val="F66400"/>
          <w:sz w:val="22"/>
          <w:lang w:val="pt-BR"/>
        </w:rPr>
        <w:t xml:space="preserve"> SQL Server</w:t>
      </w:r>
      <w:r w:rsidRPr="00EB4D74">
        <w:rPr>
          <w:rFonts w:ascii="Tahoma" w:hAnsi="Tahoma" w:cs="Tahoma"/>
          <w:color w:val="F66400"/>
          <w:sz w:val="22"/>
          <w:vertAlign w:val="superscript"/>
          <w:lang w:val="pt-BR"/>
        </w:rPr>
        <w:t>®</w:t>
      </w:r>
      <w:r w:rsidRPr="00EB4D74">
        <w:rPr>
          <w:rFonts w:ascii="Tahoma" w:hAnsi="Tahoma" w:cs="Tahoma"/>
          <w:color w:val="F66400"/>
          <w:sz w:val="22"/>
          <w:lang w:val="pt-BR"/>
        </w:rPr>
        <w:t xml:space="preserve"> 2012 Standard Core</w:t>
      </w:r>
      <w:bookmarkEnd w:id="1421"/>
    </w:p>
    <w:p w:rsidR="008B1196" w:rsidRPr="00EB4D74" w:rsidRDefault="008B1196" w:rsidP="008B1196">
      <w:pPr>
        <w:rPr>
          <w:rFonts w:cs="Tahoma"/>
          <w:lang w:val="it-IT"/>
        </w:rPr>
      </w:pPr>
    </w:p>
    <w:p w:rsidR="008B1196" w:rsidRPr="00EB4D74" w:rsidRDefault="008B1196" w:rsidP="008B1196">
      <w:pPr>
        <w:spacing w:after="60"/>
        <w:ind w:left="720"/>
        <w:rPr>
          <w:rFonts w:cs="Tahoma"/>
          <w:lang w:val="it-IT"/>
        </w:rPr>
      </w:pPr>
      <w:r w:rsidRPr="00EB4D74">
        <w:rPr>
          <w:rFonts w:cs="Tahoma"/>
          <w:b/>
          <w:lang w:val="pt-BR"/>
        </w:rPr>
        <w:t>Outorgas de Licença Associadas à Alteração no Modelo de Licenciamento</w:t>
      </w:r>
    </w:p>
    <w:p w:rsidR="008B1196" w:rsidRPr="00EB4D74" w:rsidRDefault="008B1196" w:rsidP="008B1196">
      <w:pPr>
        <w:ind w:left="720"/>
        <w:rPr>
          <w:rFonts w:cs="Tahoma"/>
          <w:spacing w:val="-2"/>
          <w:lang w:val="pt-BR"/>
        </w:rPr>
      </w:pPr>
      <w:r w:rsidRPr="00EB4D74">
        <w:rPr>
          <w:rFonts w:eastAsia="Times New Roman" w:cs="Tahoma"/>
          <w:color w:val="000000"/>
          <w:spacing w:val="-2"/>
          <w:szCs w:val="18"/>
          <w:lang w:val="pt-BR"/>
        </w:rPr>
        <w:t xml:space="preserve">O SQL Server 2008 R2 será a última versão do SQL Server licenciada sob o modelo de licenciamento por processador. Como uma exceção, aos clientes de licenciamento por volume com Software Assurance ativopara licenças do processador do SQL Server 2008 R2 Standard em 1º de abril de 2012 (“licenças de qualificação”) são concedidas as seguintes opções. </w:t>
      </w:r>
      <w:r w:rsidRPr="00EB4D74">
        <w:rPr>
          <w:rFonts w:cs="Tahoma"/>
          <w:color w:val="000000"/>
          <w:spacing w:val="-2"/>
          <w:lang w:val="pt-BR"/>
        </w:rPr>
        <w:t>As licenças do processador do SQL Server 2008 R2 Standard adquiridas posteriormente no mesmo prazo de registro, mas antes de 1º de abril de 2015 como parte de um processo de adequação (“true-up”) programado do cliente Enterprise, Enterprise Subscription, Open Value Subscription ou EES também são “licenças de qualificação” para fins dessas opções. As licenças adquiridas depois de 1º de abril de 2015 ou sob um prazo de registro subsequente, um contrato separado ou qualquer registro com uma data de início de vigência após 1º de abril de 2012 não são licenças dequalificação.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lang w:val="pt-BR"/>
        </w:rPr>
        <w:t>Prazo Atual</w:t>
      </w:r>
    </w:p>
    <w:p w:rsidR="008B1196" w:rsidRPr="00EB4D74" w:rsidRDefault="008B1196" w:rsidP="008B1196">
      <w:pPr>
        <w:ind w:left="720"/>
        <w:rPr>
          <w:rFonts w:cs="Tahoma"/>
          <w:lang w:val="pt-BR"/>
        </w:rPr>
      </w:pPr>
      <w:r w:rsidRPr="00EB4D74">
        <w:rPr>
          <w:rFonts w:eastAsia="Times New Roman" w:cs="Tahoma"/>
          <w:szCs w:val="18"/>
          <w:lang w:val="pt-BR"/>
        </w:rPr>
        <w:t xml:space="preserve">Durante o prazo atual da sua cobertura de Software Assurance a partir de 1º de abril de 2012, os clientes (incluindo aqueles sob contratos de assinatura) podem, sob qualquer licença de qualificação, atualizar e usar o SQL Server 2012 Standard Core em vez do SQL Server 2008 R2 Standard sujeito aos direitos de uso do produto de licença do processador do SQL Server 2008 R2 Standard (conforme os Direitos de Uso </w:t>
      </w:r>
      <w:r w:rsidRPr="00EB4D74">
        <w:rPr>
          <w:rFonts w:eastAsia="Times New Roman" w:cs="Tahoma"/>
          <w:szCs w:val="18"/>
          <w:lang w:val="pt-BR"/>
        </w:rPr>
        <w:lastRenderedPageBreak/>
        <w:t xml:space="preserve">do Produto de janeiro de 2012). Aos clientes são concedidos direitos adicionais sob a Mobilidade de Licença por meio de Software Assurance e Mobilidade de Licença nos Farms de Servidores. </w:t>
      </w:r>
      <w:r w:rsidRPr="00EB4D74">
        <w:rPr>
          <w:rFonts w:cs="Tahoma"/>
          <w:lang w:val="pt-BR"/>
        </w:rPr>
        <w:t>Os clientes devem consultar os Direitos de Uso do Produto para SQL Server 2012 Standard Core quanto aos termos de licença para Mobilidade de Licença.</w:t>
      </w:r>
    </w:p>
    <w:p w:rsidR="008B1196" w:rsidRPr="00EB4D74" w:rsidRDefault="008B1196" w:rsidP="008B1196">
      <w:pPr>
        <w:spacing w:after="60"/>
        <w:ind w:left="720"/>
        <w:rPr>
          <w:rFonts w:cs="Tahoma"/>
          <w:lang w:val="it-IT"/>
        </w:rPr>
      </w:pPr>
      <w:r w:rsidRPr="00EB4D74">
        <w:rPr>
          <w:rFonts w:cs="Tahoma"/>
          <w:b/>
          <w:lang w:val="pt-BR"/>
        </w:rPr>
        <w:t>Primeiro Prazo de Renovação (antes de 1º de abril de 2015)</w:t>
      </w:r>
    </w:p>
    <w:p w:rsidR="008B1196" w:rsidRPr="00EB4D74" w:rsidRDefault="008B1196" w:rsidP="008B1196">
      <w:pPr>
        <w:ind w:left="720"/>
        <w:rPr>
          <w:rFonts w:cs="Tahoma"/>
          <w:lang w:val="pt-BR"/>
        </w:rPr>
      </w:pPr>
      <w:r w:rsidRPr="00EB4D74">
        <w:rPr>
          <w:rFonts w:cs="Tahoma"/>
          <w:lang w:val="pt-BR"/>
        </w:rPr>
        <w:t>Na sua primeira renovação de Software Assurance em ou depois de 1º de abril de 2012 (mas antes de 1º de abril de 2015), para cada servidor que um cliente tiver licenciado corretamente sob os direitos de uso do produto da licença do processador do SQL Server 2008 R2 Standard, o cliente poderá adquirir licenças de núcleo do Software Assurance para SQL Server Standard sem adquirir as licenças principais subjacentes para uma série de licenças de núcleo iguais à soma de (a) e (b):</w:t>
      </w:r>
    </w:p>
    <w:p w:rsidR="008B1196" w:rsidRPr="00EB4D74" w:rsidRDefault="008B1196" w:rsidP="008B1196">
      <w:pPr>
        <w:ind w:left="720"/>
        <w:rPr>
          <w:rFonts w:cs="Tahoma"/>
          <w:lang w:val="it-IT"/>
        </w:rPr>
      </w:pPr>
    </w:p>
    <w:p w:rsidR="008B1196" w:rsidRPr="00EB4D74" w:rsidRDefault="008B1196" w:rsidP="008B1196">
      <w:pPr>
        <w:numPr>
          <w:ilvl w:val="0"/>
          <w:numId w:val="124"/>
        </w:numPr>
        <w:tabs>
          <w:tab w:val="left" w:pos="1440"/>
        </w:tabs>
        <w:spacing w:after="60"/>
        <w:ind w:left="1440"/>
        <w:rPr>
          <w:rFonts w:cs="Tahoma"/>
          <w:lang w:val="it-IT"/>
        </w:rPr>
      </w:pPr>
      <w:r w:rsidRPr="00EB4D74">
        <w:rPr>
          <w:rFonts w:cs="Tahoma"/>
          <w:lang w:val="pt-BR"/>
        </w:rPr>
        <w:t>um número igual ao menor número de licenças de qualificação atribuído ao servidor ou o número total de processadores físicos no servidor multiplicado pelo maior de:</w:t>
      </w:r>
    </w:p>
    <w:p w:rsidR="008B1196" w:rsidRPr="00EB4D74" w:rsidRDefault="008B1196" w:rsidP="008B1196">
      <w:pPr>
        <w:numPr>
          <w:ilvl w:val="3"/>
          <w:numId w:val="98"/>
        </w:numPr>
        <w:spacing w:after="60"/>
        <w:ind w:left="1800"/>
        <w:rPr>
          <w:rFonts w:cs="Tahoma"/>
        </w:rPr>
      </w:pPr>
      <w:r w:rsidRPr="00EB4D74">
        <w:rPr>
          <w:rFonts w:cs="Tahoma"/>
          <w:lang w:val="pt-BR"/>
        </w:rPr>
        <w:t>Quatro OU</w:t>
      </w:r>
    </w:p>
    <w:p w:rsidR="008B1196" w:rsidRPr="00EB4D74" w:rsidRDefault="008B1196" w:rsidP="008B1196">
      <w:pPr>
        <w:numPr>
          <w:ilvl w:val="3"/>
          <w:numId w:val="98"/>
        </w:numPr>
        <w:spacing w:after="60"/>
        <w:ind w:left="1800"/>
        <w:rPr>
          <w:rFonts w:cs="Tahoma"/>
          <w:lang w:val="it-IT"/>
        </w:rPr>
      </w:pPr>
      <w:r w:rsidRPr="00EB4D74">
        <w:rPr>
          <w:rFonts w:eastAsia="Times New Roman" w:cs="Tahoma"/>
          <w:szCs w:val="18"/>
          <w:lang w:val="pt-BR"/>
        </w:rPr>
        <w:t>o número real de núcleos por processador físico multiplicado pelo fator do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renovação do Software Assurance usando a ferramenta Microsoft MAP ou qualquer software equivalente.)</w:t>
      </w:r>
    </w:p>
    <w:p w:rsidR="008B1196" w:rsidRPr="00EB4D74" w:rsidRDefault="008B1196" w:rsidP="008B1196">
      <w:pPr>
        <w:numPr>
          <w:ilvl w:val="0"/>
          <w:numId w:val="124"/>
        </w:numPr>
        <w:tabs>
          <w:tab w:val="left" w:pos="1440"/>
        </w:tabs>
        <w:spacing w:after="60"/>
        <w:ind w:left="1440"/>
        <w:rPr>
          <w:rFonts w:cs="Tahoma"/>
          <w:lang w:val="it-IT"/>
        </w:rPr>
      </w:pPr>
      <w:r w:rsidRPr="00EB4D74">
        <w:rPr>
          <w:rFonts w:cs="Tahoma"/>
          <w:lang w:val="pt-BR"/>
        </w:rPr>
        <w:t>um número igual ao número das licenças de qualificação atribuído ao servidor em excesso do número real de processadores físicos no servidor multiplicado por quatro.</w:t>
      </w:r>
    </w:p>
    <w:p w:rsidR="008B1196" w:rsidRPr="00EB4D74" w:rsidRDefault="008B1196" w:rsidP="008B1196">
      <w:pPr>
        <w:tabs>
          <w:tab w:val="left" w:pos="1440"/>
        </w:tabs>
        <w:ind w:left="1080"/>
        <w:rPr>
          <w:rFonts w:cs="Tahoma"/>
          <w:lang w:val="it-IT"/>
        </w:rPr>
      </w:pPr>
    </w:p>
    <w:p w:rsidR="008B1196" w:rsidRPr="00EB4D74" w:rsidRDefault="008B1196" w:rsidP="008B1196">
      <w:pPr>
        <w:spacing w:after="60"/>
        <w:ind w:left="720"/>
        <w:rPr>
          <w:rFonts w:cs="Tahoma"/>
          <w:lang w:val="it-IT"/>
        </w:rPr>
      </w:pPr>
      <w:r w:rsidRPr="00EB4D74">
        <w:rPr>
          <w:rFonts w:cs="Tahoma"/>
          <w:b/>
          <w:lang w:val="pt-BR"/>
        </w:rPr>
        <w:t>Primeiro Prazo de Renovação (em ou após 1º de abril de 2015)</w:t>
      </w:r>
    </w:p>
    <w:p w:rsidR="008B1196" w:rsidRPr="00EB4D74" w:rsidRDefault="008B1196" w:rsidP="008B1196">
      <w:pPr>
        <w:ind w:left="720"/>
        <w:rPr>
          <w:rFonts w:cs="Tahoma"/>
          <w:lang w:val="it-IT"/>
        </w:rPr>
      </w:pPr>
      <w:r w:rsidRPr="00EB4D74">
        <w:rPr>
          <w:rFonts w:cs="Tahoma"/>
          <w:lang w:val="pt-BR"/>
        </w:rPr>
        <w:t>Os clientes que renovaram primeiro a cobertura em ou depois de 1o. de abril de 2015 poderão, para qualquer servidor no qual eles estejam devidamente licenciados sob os direitos de uso do produto da licença do processador SQK Server 2008 R2, adquirir o Software Assurance, como pode ser visto a seguir:</w:t>
      </w:r>
    </w:p>
    <w:p w:rsidR="008B1196" w:rsidRPr="00EB4D74" w:rsidRDefault="008B1196" w:rsidP="008B1196">
      <w:pPr>
        <w:ind w:left="720"/>
        <w:rPr>
          <w:rFonts w:cs="Tahoma"/>
          <w:lang w:val="it-IT"/>
        </w:rPr>
      </w:pPr>
    </w:p>
    <w:p w:rsidR="008B1196" w:rsidRPr="00EB4D74" w:rsidRDefault="008B1196" w:rsidP="008B1196">
      <w:pPr>
        <w:numPr>
          <w:ilvl w:val="3"/>
          <w:numId w:val="113"/>
        </w:numPr>
        <w:spacing w:after="60"/>
        <w:ind w:left="1440"/>
        <w:rPr>
          <w:rFonts w:cs="Tahoma"/>
          <w:lang w:val="it-IT"/>
        </w:rPr>
      </w:pPr>
      <w:r w:rsidRPr="00EB4D74">
        <w:rPr>
          <w:rFonts w:cs="Tahoma"/>
          <w:lang w:val="pt-BR"/>
        </w:rPr>
        <w:t>Conforme fornecido no primeiro parágrafo desta nota do produto, as licenças adquiridas antes de 1º de abril de 2015 são licenças de qualificação, e os clientes poderão renovar o SA de acordo com os termos na seção “Primeiro Prazo de Renovação (Antes de 1º de abril de 2015) ” acima e</w:t>
      </w:r>
    </w:p>
    <w:p w:rsidR="008B1196" w:rsidRPr="00EB4D74" w:rsidRDefault="008B1196" w:rsidP="008B1196">
      <w:pPr>
        <w:numPr>
          <w:ilvl w:val="3"/>
          <w:numId w:val="113"/>
        </w:numPr>
        <w:spacing w:after="60"/>
        <w:ind w:left="1440"/>
        <w:rPr>
          <w:rFonts w:cs="Tahoma"/>
          <w:lang w:val="pt-BR"/>
        </w:rPr>
      </w:pPr>
      <w:r w:rsidRPr="00EB4D74">
        <w:rPr>
          <w:rFonts w:cs="Tahoma"/>
          <w:lang w:val="pt-BR"/>
        </w:rPr>
        <w:t>Para as licenças adquiridas depois de 1º de abril de 2015, os clientes poderão renovar a SA para quatro licenças principais do SQL Server Standard sem adquirir as licenças principais subjacentes para cada licença do processador SQL Server 2008 R2 Standard. Para o uso contínuo do SQL Server 2012 em processadores que exigem mais de quatro licenças principais por processador, o cliente tem que adquirir licenças principais adicionais.</w:t>
      </w:r>
    </w:p>
    <w:p w:rsidR="008B1196" w:rsidRPr="00EB4D74" w:rsidRDefault="008B1196" w:rsidP="008B1196">
      <w:pPr>
        <w:numPr>
          <w:ilvl w:val="0"/>
          <w:numId w:val="91"/>
        </w:numPr>
        <w:spacing w:after="60"/>
        <w:ind w:left="1440"/>
        <w:rPr>
          <w:rFonts w:cs="Tahoma"/>
          <w:lang w:val="pt-BR"/>
        </w:rPr>
      </w:pPr>
      <w:r w:rsidRPr="00EB4D74">
        <w:rPr>
          <w:rFonts w:eastAsia="Times New Roman" w:cs="Tahoma"/>
          <w:szCs w:val="18"/>
          <w:lang w:val="pt-BR"/>
        </w:rPr>
        <w:t>As licenças do processador dos clientes não são mais válidas na aquisição do Software Assurance para as licenças de núcleo sob esta oferta. A opção de adquirir o Software Assurance para licenças principais do SQL Server não é aplicável à renovação de cobertura sob os programas de assinatura.</w:t>
      </w:r>
    </w:p>
    <w:p w:rsidR="008B1196" w:rsidRPr="00EB4D74" w:rsidRDefault="008B1196" w:rsidP="008B1196">
      <w:pPr>
        <w:tabs>
          <w:tab w:val="left" w:pos="1080"/>
        </w:tabs>
        <w:ind w:left="1080"/>
        <w:rPr>
          <w:rFonts w:cs="Tahoma"/>
          <w:lang w:val="pt-BR"/>
        </w:rPr>
      </w:pPr>
    </w:p>
    <w:p w:rsidR="008B1196" w:rsidRPr="00EB4D74" w:rsidRDefault="008B1196" w:rsidP="008B1196">
      <w:pPr>
        <w:spacing w:after="60"/>
        <w:ind w:left="720"/>
        <w:rPr>
          <w:rFonts w:cs="Tahoma"/>
          <w:lang w:val="pt-BR"/>
        </w:rPr>
      </w:pPr>
      <w:r w:rsidRPr="00EB4D74">
        <w:rPr>
          <w:rFonts w:cs="Tahoma"/>
          <w:b/>
          <w:lang w:val="pt-BR"/>
        </w:rPr>
        <w:t>Para os clientes que estão desejando fazer step-up do SQL Server Standard para SQL Server Enterprise Core</w:t>
      </w:r>
    </w:p>
    <w:p w:rsidR="008B1196" w:rsidRPr="00EB4D74" w:rsidRDefault="008B1196" w:rsidP="008B1196">
      <w:pPr>
        <w:ind w:left="720"/>
        <w:rPr>
          <w:rFonts w:cs="Tahoma"/>
          <w:lang w:val="it-IT"/>
        </w:rPr>
      </w:pPr>
      <w:r w:rsidRPr="00EB4D74">
        <w:rPr>
          <w:rFonts w:cs="Tahoma"/>
          <w:lang w:val="pt-BR"/>
        </w:rPr>
        <w:t>Os Clientes com licenças de qualificação para SQL Server 2008 R2 Standard poderão fazer step-up dessas licenças para SQL Server Enterprise (Por Núcleo) a qualquer momento durante seu prazo atual de cobertura do Software Assurance. Para qualquer servidor que um cliente tenha licenciado corretamente sob os direitos de uso de produto da licença do processador SQL Server 2008 R2 Standard, o cliente poderá adquirir um número de Licenças de Step-up para SQL Server Enterprise Core igual ao número total de processadores físicos no servidor, multiplicado pelo maior de:</w:t>
      </w:r>
    </w:p>
    <w:p w:rsidR="008B1196" w:rsidRPr="00EB4D74" w:rsidRDefault="008B1196" w:rsidP="008B1196">
      <w:pPr>
        <w:tabs>
          <w:tab w:val="left" w:pos="1080"/>
        </w:tabs>
        <w:ind w:left="1080"/>
        <w:rPr>
          <w:rFonts w:cs="Tahoma"/>
          <w:lang w:val="it-IT"/>
        </w:rPr>
      </w:pPr>
    </w:p>
    <w:p w:rsidR="008B1196" w:rsidRPr="00EB4D74" w:rsidRDefault="008B1196" w:rsidP="008B1196">
      <w:pPr>
        <w:numPr>
          <w:ilvl w:val="3"/>
          <w:numId w:val="114"/>
        </w:numPr>
        <w:tabs>
          <w:tab w:val="left" w:pos="1440"/>
        </w:tabs>
        <w:spacing w:after="60"/>
        <w:ind w:left="1440"/>
        <w:rPr>
          <w:rFonts w:cs="Tahoma"/>
        </w:rPr>
      </w:pPr>
      <w:r w:rsidRPr="00EB4D74">
        <w:rPr>
          <w:rFonts w:cs="Tahoma"/>
          <w:lang w:val="pt-BR"/>
        </w:rPr>
        <w:t>Quatro OU</w:t>
      </w:r>
    </w:p>
    <w:p w:rsidR="008B1196" w:rsidRPr="00EB4D74" w:rsidRDefault="008B1196" w:rsidP="008B1196">
      <w:pPr>
        <w:numPr>
          <w:ilvl w:val="3"/>
          <w:numId w:val="114"/>
        </w:numPr>
        <w:tabs>
          <w:tab w:val="left" w:pos="1440"/>
        </w:tabs>
        <w:spacing w:after="60"/>
        <w:ind w:left="1440"/>
        <w:rPr>
          <w:rFonts w:cs="Tahoma"/>
          <w:lang w:val="pt-BR"/>
        </w:rPr>
      </w:pPr>
      <w:r w:rsidRPr="00EB4D74">
        <w:rPr>
          <w:rFonts w:eastAsia="Times New Roman" w:cs="Tahoma"/>
          <w:szCs w:val="18"/>
          <w:lang w:val="pt-BR"/>
        </w:rPr>
        <w:t>o número real de núcleos por processador físico multiplicado pelo fator do núcleo apropriado. (Nos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aquisição das licenças de Step-up usando a ferramenta Microsoft MAP ou qualquer software equivalente.)</w:t>
      </w:r>
    </w:p>
    <w:p w:rsidR="008B1196" w:rsidRPr="00EB4D74" w:rsidRDefault="008B1196" w:rsidP="008B1196">
      <w:pPr>
        <w:tabs>
          <w:tab w:val="left" w:pos="1440"/>
        </w:tabs>
        <w:ind w:left="1440"/>
        <w:rPr>
          <w:rFonts w:cs="Tahoma"/>
          <w:lang w:val="pt-BR"/>
        </w:rPr>
      </w:pPr>
    </w:p>
    <w:p w:rsidR="008B1196" w:rsidRPr="00EB4D74" w:rsidRDefault="008B1196" w:rsidP="008B1196">
      <w:pPr>
        <w:tabs>
          <w:tab w:val="left" w:pos="1440"/>
        </w:tabs>
        <w:ind w:left="1440"/>
        <w:rPr>
          <w:rFonts w:cs="Tahoma"/>
          <w:lang w:val="pt-BR"/>
        </w:rPr>
      </w:pPr>
    </w:p>
    <w:p w:rsidR="008B1196" w:rsidRPr="00EB4D74" w:rsidRDefault="008B1196" w:rsidP="008B1196">
      <w:pPr>
        <w:tabs>
          <w:tab w:val="left" w:pos="1440"/>
        </w:tabs>
        <w:ind w:left="1440"/>
        <w:rPr>
          <w:rFonts w:cs="Tahoma"/>
          <w:lang w:val="pt-BR"/>
        </w:rPr>
      </w:pPr>
    </w:p>
    <w:p w:rsidR="008B1196" w:rsidRPr="00EB4D74" w:rsidRDefault="008B1196" w:rsidP="008B1196">
      <w:pPr>
        <w:ind w:left="720"/>
        <w:rPr>
          <w:rFonts w:cs="Tahoma"/>
          <w:lang w:val="it-IT"/>
        </w:rPr>
      </w:pPr>
      <w:r w:rsidRPr="00EB4D74">
        <w:rPr>
          <w:rFonts w:eastAsia="Times New Roman" w:cs="Tahoma"/>
          <w:szCs w:val="18"/>
          <w:lang w:val="pt-BR"/>
        </w:rPr>
        <w:t xml:space="preserve">Mediante a aquisição do número apropriado de licenças Step-up para SQL Server Enterprise Core, o cliente poderá implantar e usar o software sob os direitos de uso do SQL Server Enterprise Core. </w:t>
      </w:r>
      <w:r w:rsidRPr="00EB4D74">
        <w:rPr>
          <w:rFonts w:cs="Tahoma"/>
          <w:lang w:val="pt-BR"/>
        </w:rPr>
        <w:t>Exceto conforme fornecido nesta seção “Para os clientes que estão desejando fazer step-up do SQL Server Standard para SQL Server Enterprise Core”, aplicam-se os termos e as condições pertencentes à aquisição de licenças Step-up, conforme descrito na seção Software Assurance desta Lista de produto.</w:t>
      </w:r>
    </w:p>
    <w:p w:rsidR="008B1196" w:rsidRPr="00EB4D74" w:rsidRDefault="008B1196" w:rsidP="008B1196">
      <w:pPr>
        <w:tabs>
          <w:tab w:val="left" w:pos="1080"/>
        </w:tabs>
        <w:ind w:left="1080"/>
        <w:rPr>
          <w:rFonts w:cs="Tahoma"/>
          <w:lang w:val="it-IT"/>
        </w:rPr>
      </w:pPr>
    </w:p>
    <w:p w:rsidR="008B1196" w:rsidRPr="00EB4D74" w:rsidRDefault="008B1196" w:rsidP="008B1196">
      <w:pPr>
        <w:spacing w:after="60"/>
        <w:ind w:left="720"/>
        <w:rPr>
          <w:rFonts w:cs="Tahoma"/>
          <w:spacing w:val="-2"/>
          <w:lang w:val="it-IT"/>
        </w:rPr>
      </w:pPr>
      <w:r w:rsidRPr="00EB4D74">
        <w:rPr>
          <w:rFonts w:cs="Tahoma"/>
          <w:b/>
          <w:spacing w:val="-2"/>
          <w:lang w:val="pt-BR"/>
        </w:rPr>
        <w:t>Para os clientes com cobertura de Software Assurance que expiram antes de 1º de abril de 2015 que optaram pela não renovação</w:t>
      </w:r>
    </w:p>
    <w:p w:rsidR="008B1196" w:rsidRPr="00EB4D74" w:rsidRDefault="008B1196" w:rsidP="008B1196">
      <w:pPr>
        <w:ind w:left="720"/>
        <w:rPr>
          <w:rFonts w:cs="Tahoma"/>
          <w:lang w:val="it-IT"/>
        </w:rPr>
      </w:pPr>
      <w:r w:rsidRPr="00EB4D74">
        <w:rPr>
          <w:rFonts w:cs="Tahoma"/>
          <w:lang w:val="pt-BR"/>
        </w:rPr>
        <w:t>Os clientes do Enterprise Subscription e Open Value Subscription com cobertura expirando antes de 1º de abril de 2015 que optarem por comprar licenças de processador e quaisquer outros clientes que adquirirem licenças perpétuas sob este contrato e optarem por não renovar o Software Assurance poderão executar o SQL Server 2008 R2 ou SQL Server 2012 sob essas licenças da seguinte forma:</w:t>
      </w:r>
    </w:p>
    <w:p w:rsidR="008B1196" w:rsidRPr="00EB4D74" w:rsidRDefault="008B1196" w:rsidP="008B1196">
      <w:pPr>
        <w:ind w:left="720"/>
        <w:rPr>
          <w:rFonts w:cs="Tahoma"/>
          <w:lang w:val="it-IT"/>
        </w:rPr>
      </w:pPr>
    </w:p>
    <w:p w:rsidR="008B1196" w:rsidRPr="00EB4D74" w:rsidRDefault="008B1196" w:rsidP="008B1196">
      <w:pPr>
        <w:numPr>
          <w:ilvl w:val="0"/>
          <w:numId w:val="115"/>
        </w:numPr>
        <w:tabs>
          <w:tab w:val="left" w:pos="1440"/>
        </w:tabs>
        <w:spacing w:after="60"/>
        <w:ind w:left="1440"/>
        <w:rPr>
          <w:rFonts w:cs="Tahoma"/>
          <w:lang w:val="pt-BR"/>
        </w:rPr>
      </w:pPr>
      <w:r w:rsidRPr="00EB4D74">
        <w:rPr>
          <w:rFonts w:cs="Tahoma"/>
          <w:b/>
          <w:lang w:val="pt-BR"/>
        </w:rPr>
        <w:t xml:space="preserve">SQL Server 2008 R2 Standard: </w:t>
      </w:r>
      <w:r w:rsidRPr="00EB4D74">
        <w:rPr>
          <w:rFonts w:eastAsia="Times New Roman" w:cs="Tahoma"/>
          <w:szCs w:val="18"/>
          <w:lang w:val="pt-BR"/>
        </w:rPr>
        <w:t>O uso contínuo desta versão do software está sujeito aos direitos de uso do produto de licença do processador do SQL Server 2008 R2 Standard. Os clientes não têm mais direitos sob Mobilidade de Licença nos Farms de Servidores nem Mobilidade de Licença por meio de Software Assurance.</w:t>
      </w:r>
    </w:p>
    <w:p w:rsidR="008B1196" w:rsidRPr="00EB4D74" w:rsidRDefault="008B1196" w:rsidP="008B1196">
      <w:pPr>
        <w:numPr>
          <w:ilvl w:val="0"/>
          <w:numId w:val="115"/>
        </w:numPr>
        <w:tabs>
          <w:tab w:val="left" w:pos="1440"/>
        </w:tabs>
        <w:spacing w:after="60"/>
        <w:ind w:left="1440"/>
        <w:rPr>
          <w:rFonts w:cs="Tahoma"/>
          <w:lang w:val="pt-BR"/>
        </w:rPr>
      </w:pPr>
      <w:r w:rsidRPr="00EB4D74">
        <w:rPr>
          <w:rFonts w:eastAsia="Times New Roman" w:cs="Tahoma"/>
          <w:b/>
          <w:szCs w:val="18"/>
          <w:lang w:val="pt-BR"/>
        </w:rPr>
        <w:t xml:space="preserve">SQL Server 2012 Standard Core: </w:t>
      </w:r>
      <w:r w:rsidRPr="00EB4D74">
        <w:rPr>
          <w:rFonts w:eastAsia="Times New Roman" w:cs="Tahoma"/>
          <w:szCs w:val="18"/>
          <w:lang w:val="pt-BR"/>
        </w:rPr>
        <w:t>O uso desta versão do software está sujeito aos direitos de uso do produto de licença do processador do SQL Server 2008 R2 Standard, no entanto:</w:t>
      </w:r>
    </w:p>
    <w:p w:rsidR="008B1196" w:rsidRPr="00EB4D74" w:rsidRDefault="008B1196" w:rsidP="008B1196">
      <w:pPr>
        <w:numPr>
          <w:ilvl w:val="1"/>
          <w:numId w:val="116"/>
        </w:numPr>
        <w:tabs>
          <w:tab w:val="left" w:pos="1800"/>
        </w:tabs>
        <w:spacing w:after="60"/>
        <w:ind w:left="1800"/>
        <w:rPr>
          <w:rFonts w:cs="Tahoma"/>
          <w:lang w:val="pt-BR"/>
        </w:rPr>
      </w:pPr>
      <w:r w:rsidRPr="00EB4D74">
        <w:rPr>
          <w:rFonts w:cs="Tahoma"/>
          <w:lang w:val="pt-BR"/>
        </w:rPr>
        <w:t>os clientes não têm mais direitos sob Mobilidade de Licença nos Farms de Servidores nem Mobilidade de Licença por meio de Software Assurance e</w:t>
      </w:r>
    </w:p>
    <w:p w:rsidR="008B1196" w:rsidRPr="00EB4D74" w:rsidRDefault="008B1196" w:rsidP="008B1196">
      <w:pPr>
        <w:numPr>
          <w:ilvl w:val="1"/>
          <w:numId w:val="116"/>
        </w:numPr>
        <w:tabs>
          <w:tab w:val="left" w:pos="1800"/>
        </w:tabs>
        <w:spacing w:after="60"/>
        <w:ind w:left="1800"/>
        <w:rPr>
          <w:rFonts w:cs="Tahoma"/>
          <w:lang w:val="it-IT"/>
        </w:rPr>
      </w:pPr>
      <w:r w:rsidRPr="00EB4D74">
        <w:rPr>
          <w:rFonts w:eastAsia="Times New Roman" w:cs="Tahoma"/>
          <w:szCs w:val="18"/>
          <w:lang w:val="pt-BR"/>
        </w:rPr>
        <w:t>quaisquer reatribuição de licenças está sujeita a limitações em (i) e (ii) abaixo relacionada a sua “equivalência de licença de núcleo”. A equivalência de licença de núcleo é determinada da seguinte forma:</w:t>
      </w:r>
    </w:p>
    <w:p w:rsidR="008B1196" w:rsidRPr="00EB4D74" w:rsidRDefault="008B1196" w:rsidP="008B1196">
      <w:pPr>
        <w:numPr>
          <w:ilvl w:val="2"/>
          <w:numId w:val="115"/>
        </w:numPr>
        <w:tabs>
          <w:tab w:val="left" w:pos="2160"/>
        </w:tabs>
        <w:spacing w:after="60"/>
        <w:ind w:hanging="360"/>
        <w:rPr>
          <w:rFonts w:cs="Tahoma"/>
          <w:lang w:val="it-IT"/>
        </w:rPr>
      </w:pPr>
      <w:r w:rsidRPr="00EB4D74">
        <w:rPr>
          <w:rFonts w:eastAsia="Times New Roman" w:cs="Tahoma"/>
          <w:szCs w:val="18"/>
          <w:lang w:val="pt-BR"/>
        </w:rPr>
        <w:t>Para um número de licenças igual ao menor do (x) número total de licenças do processador atribuídas a um servidor licenciado que antecede imediatamente a expiração do Software Assurance ou (y) o número total de processadores físicos naquele servidor, a equivalência de licença de núcleo é maior do que:</w:t>
      </w:r>
    </w:p>
    <w:p w:rsidR="008B1196" w:rsidRPr="00EB4D74" w:rsidRDefault="008B1196" w:rsidP="008B1196">
      <w:pPr>
        <w:numPr>
          <w:ilvl w:val="4"/>
          <w:numId w:val="91"/>
        </w:numPr>
        <w:tabs>
          <w:tab w:val="left" w:pos="2520"/>
        </w:tabs>
        <w:spacing w:after="60"/>
        <w:ind w:left="2880"/>
        <w:rPr>
          <w:rFonts w:cs="Tahoma"/>
        </w:rPr>
      </w:pPr>
      <w:r w:rsidRPr="00EB4D74">
        <w:rPr>
          <w:rFonts w:cs="Tahoma"/>
          <w:lang w:val="pt-BR"/>
        </w:rPr>
        <w:t>quatro núcleos por licença de processador OU</w:t>
      </w:r>
    </w:p>
    <w:p w:rsidR="008B1196" w:rsidRPr="00EB4D74" w:rsidRDefault="008B1196" w:rsidP="008B1196">
      <w:pPr>
        <w:numPr>
          <w:ilvl w:val="4"/>
          <w:numId w:val="91"/>
        </w:numPr>
        <w:tabs>
          <w:tab w:val="left" w:pos="2520"/>
        </w:tabs>
        <w:spacing w:after="60"/>
        <w:ind w:left="2880"/>
        <w:rPr>
          <w:rFonts w:cs="Tahoma"/>
          <w:lang w:val="it-IT"/>
        </w:rPr>
      </w:pPr>
      <w:r w:rsidRPr="00EB4D74">
        <w:rPr>
          <w:rFonts w:eastAsia="Times New Roman" w:cs="Tahoma"/>
          <w:szCs w:val="18"/>
          <w:lang w:val="pt-BR"/>
        </w:rPr>
        <w:t xml:space="preserve">um número de núcleos por licença do processador com base no número real de núcleos por processador físico multiplicado pelo fator de núcleo apropriado. </w:t>
      </w:r>
      <w:r w:rsidRPr="00EB4D74">
        <w:rPr>
          <w:rFonts w:cs="Tahoma"/>
          <w:lang w:val="pt-BR"/>
        </w:rPr>
        <w:t>(Nos casos em que o número real de núcleos por processador físico excede quatro, os clientes devem manter um registro da configuração do software SQL Server executando no servidor) instâncias licenciadas executando em ambientes do sistema operacional no servidor licenciado) e o hardware físico oferecendo suporte ao software que está antecedendo a expiração do Software Assurance usando a ferramenta Microsoft MAP ou qualquer software equivalente.)</w:t>
      </w:r>
    </w:p>
    <w:p w:rsidR="008B1196" w:rsidRPr="00EB4D74" w:rsidRDefault="008B1196" w:rsidP="008B1196">
      <w:pPr>
        <w:numPr>
          <w:ilvl w:val="2"/>
          <w:numId w:val="115"/>
        </w:numPr>
        <w:tabs>
          <w:tab w:val="left" w:pos="2160"/>
        </w:tabs>
        <w:spacing w:after="60"/>
        <w:ind w:hanging="360"/>
        <w:rPr>
          <w:rFonts w:cs="Tahoma"/>
          <w:lang w:val="it-IT"/>
        </w:rPr>
      </w:pPr>
      <w:r w:rsidRPr="00EB4D74">
        <w:rPr>
          <w:rFonts w:cs="Tahoma"/>
          <w:lang w:val="pt-BR"/>
        </w:rPr>
        <w:t>Para qualquer licença de processador com um Software Assurance expirando atribuído ao mesmo servidor licenciado em excesso do número real de processadores físicos no servidor, a equivalência de núcleo é de quatro núcleos por licença de processador.</w:t>
      </w:r>
    </w:p>
    <w:p w:rsidR="008B1196" w:rsidRPr="00EB4D74" w:rsidRDefault="008B1196" w:rsidP="008B1196">
      <w:pPr>
        <w:numPr>
          <w:ilvl w:val="0"/>
          <w:numId w:val="94"/>
        </w:numPr>
        <w:tabs>
          <w:tab w:val="left" w:pos="1440"/>
        </w:tabs>
        <w:spacing w:after="60"/>
        <w:ind w:left="1440"/>
        <w:rPr>
          <w:rFonts w:cs="Tahoma"/>
        </w:rPr>
      </w:pPr>
      <w:r w:rsidRPr="00EB4D74">
        <w:rPr>
          <w:rFonts w:cs="Tahoma"/>
          <w:lang w:val="pt-BR"/>
        </w:rPr>
        <w:t>Os Clientes poderão transferir as Licenças para outro servidor. No entanto, se o cliente transferir uma licença para outro servidor, o cliente terá que seguir os direitos de uso do SQL Server 2012. Ao transferir licenças principais para servidores sob os direitos de uso do SQL 2012, o cliente poderá combinar a equivalência de núcleo de suas licenças existentes com as licenças principais do SQL Server 2012 adicionais.</w:t>
      </w:r>
    </w:p>
    <w:p w:rsidR="008B1196" w:rsidRPr="00EB4D74" w:rsidRDefault="008B1196" w:rsidP="008B1196">
      <w:pPr>
        <w:numPr>
          <w:ilvl w:val="0"/>
          <w:numId w:val="94"/>
        </w:numPr>
        <w:tabs>
          <w:tab w:val="left" w:pos="1440"/>
        </w:tabs>
        <w:spacing w:after="60"/>
        <w:ind w:left="1440"/>
        <w:rPr>
          <w:rFonts w:cs="Tahoma"/>
        </w:rPr>
      </w:pPr>
      <w:r w:rsidRPr="00EB4D74">
        <w:rPr>
          <w:rFonts w:cs="Tahoma"/>
          <w:lang w:val="pt-BR"/>
        </w:rPr>
        <w:t>A equivalência de licença de núcleo dos clientes não implica que eles podem atribuir uma única licença de processador a núcleos por dois ou mais processadores.</w:t>
      </w: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1440"/>
        </w:tabs>
        <w:ind w:left="1080"/>
        <w:rPr>
          <w:rFonts w:cs="Tahoma"/>
        </w:rPr>
      </w:pPr>
    </w:p>
    <w:p w:rsidR="008B1196" w:rsidRPr="00EB4D74" w:rsidRDefault="008B1196" w:rsidP="008B1196">
      <w:pPr>
        <w:tabs>
          <w:tab w:val="left" w:pos="720"/>
        </w:tabs>
        <w:spacing w:after="60"/>
        <w:ind w:left="720"/>
        <w:rPr>
          <w:rFonts w:cs="Tahoma"/>
        </w:rPr>
      </w:pPr>
      <w:r w:rsidRPr="00EB4D74">
        <w:rPr>
          <w:rFonts w:cs="Tahoma"/>
          <w:b/>
          <w:lang w:val="pt-BR"/>
        </w:rPr>
        <w:t>Para os clientes com cobertura de Software Assurance que expiram em ou depois de 1º de abril de 2015 que optaram pela não renovação</w:t>
      </w:r>
    </w:p>
    <w:p w:rsidR="008B1196" w:rsidRPr="00EB4D74" w:rsidRDefault="008B1196" w:rsidP="008B1196">
      <w:pPr>
        <w:tabs>
          <w:tab w:val="left" w:pos="720"/>
        </w:tabs>
        <w:ind w:left="720"/>
        <w:rPr>
          <w:rFonts w:cs="Tahoma"/>
        </w:rPr>
      </w:pPr>
      <w:r w:rsidRPr="00EB4D74">
        <w:rPr>
          <w:rFonts w:cs="Tahoma"/>
          <w:lang w:val="pt-BR"/>
        </w:rPr>
        <w:t>Os clientes do Enterprise Subscription e Open Value Subscription com cobertura expirando em ou depois de 1º de abril de 2015 que optarem por comprar licenças de processador e quaisquer outros clientes que adquirirem licenças perpétuas sob este contrato terão as seguintes opções:</w:t>
      </w:r>
    </w:p>
    <w:p w:rsidR="008B1196" w:rsidRPr="00EB4D74" w:rsidRDefault="008B1196" w:rsidP="008B1196">
      <w:pPr>
        <w:tabs>
          <w:tab w:val="left" w:pos="720"/>
        </w:tabs>
        <w:ind w:left="720"/>
        <w:rPr>
          <w:rFonts w:cs="Tahoma"/>
        </w:rPr>
      </w:pPr>
    </w:p>
    <w:p w:rsidR="008B1196" w:rsidRPr="00EB4D74" w:rsidRDefault="008B1196" w:rsidP="008B1196">
      <w:pPr>
        <w:numPr>
          <w:ilvl w:val="2"/>
          <w:numId w:val="91"/>
        </w:numPr>
        <w:spacing w:after="60"/>
        <w:ind w:left="1440"/>
        <w:rPr>
          <w:rFonts w:cs="Tahoma"/>
          <w:lang w:val="it-IT"/>
        </w:rPr>
      </w:pPr>
      <w:r w:rsidRPr="00EB4D74">
        <w:rPr>
          <w:rFonts w:cs="Tahoma"/>
          <w:lang w:val="pt-BR"/>
        </w:rPr>
        <w:t>Conforme fornecido no primeiro parágrafo desta nota de produto, as licenças adquiridas antes de 1º de abril de 2015 são licenças de qualificação, e os clientes poderão continuar usar o SQL Server 2012 de acordo com os termos na seção “Para Clientes com cobertura de Software Assurance antes de 1º de abril de 2015, que optou por não renovar” acima e</w:t>
      </w:r>
    </w:p>
    <w:p w:rsidR="008B1196" w:rsidRPr="00EB4D74" w:rsidRDefault="008B1196" w:rsidP="008B1196">
      <w:pPr>
        <w:numPr>
          <w:ilvl w:val="2"/>
          <w:numId w:val="91"/>
        </w:numPr>
        <w:spacing w:after="60"/>
        <w:ind w:left="1440"/>
        <w:rPr>
          <w:rFonts w:cs="Tahoma"/>
          <w:lang w:val="pt-BR"/>
        </w:rPr>
      </w:pPr>
      <w:r w:rsidRPr="00EB4D74">
        <w:rPr>
          <w:rFonts w:cs="Tahoma"/>
          <w:lang w:val="pt-BR"/>
        </w:rPr>
        <w:t>Para as licenças adquiridas depois de 1º de abril de2015, a licença do processador de clientes terá uma equivalência de núcleo de quatro licenças principais do SQL Server 2012 Standard. Para o uso contínuo do SQL Server 2012 em processadores que exigem mais de quatro licenças principais por processador, o cliente tem que adquirir licenças principais adicionais.</w:t>
      </w:r>
    </w:p>
    <w:p w:rsidR="008B1196" w:rsidRPr="00EB4D74" w:rsidRDefault="008B1196" w:rsidP="008B1196">
      <w:pPr>
        <w:spacing w:after="60"/>
        <w:ind w:left="1440"/>
        <w:rPr>
          <w:rFonts w:cs="Tahoma"/>
          <w:lang w:val="pt-BR"/>
        </w:rPr>
      </w:pPr>
    </w:p>
    <w:p w:rsidR="008B1196" w:rsidRPr="00EB4D74" w:rsidRDefault="008B1196" w:rsidP="008B1196">
      <w:pPr>
        <w:spacing w:after="60"/>
        <w:ind w:left="720"/>
        <w:rPr>
          <w:rFonts w:cs="Tahoma"/>
          <w:b/>
          <w:lang w:val="it-IT"/>
        </w:rPr>
      </w:pPr>
      <w:r w:rsidRPr="00EB4D74">
        <w:rPr>
          <w:rFonts w:cs="Tahoma"/>
          <w:b/>
          <w:lang w:val="pt-BR"/>
        </w:rPr>
        <w:t>Para os clientes localizados na República Popular da China e para os que estão adquirindo licenças de processador e Software Assurance para SQL Server 2008 R2</w:t>
      </w:r>
    </w:p>
    <w:p w:rsidR="008B1196" w:rsidRPr="00EB4D74" w:rsidRDefault="008B1196" w:rsidP="008B1196">
      <w:pPr>
        <w:ind w:left="720"/>
        <w:rPr>
          <w:rFonts w:cs="Tahoma"/>
          <w:lang w:val="pt-BR"/>
        </w:rPr>
      </w:pPr>
      <w:r w:rsidRPr="00EB4D74">
        <w:rPr>
          <w:rFonts w:cs="Tahoma"/>
          <w:lang w:val="pt-BR"/>
        </w:rPr>
        <w:t xml:space="preserve">As referências a 1º de abril de 2012 e 1º de abril de 2015 nesta nota da lista de produtos não são aplicáveis. </w:t>
      </w:r>
      <w:bookmarkStart w:id="1422" w:name="_821_SQL_Server®"/>
      <w:bookmarkEnd w:id="1422"/>
      <w:r w:rsidRPr="00EB4D74">
        <w:rPr>
          <w:rFonts w:cs="Tahoma"/>
          <w:lang w:val="pt-BR"/>
        </w:rPr>
        <w:t>As datas aplicáveis para esses clientes são 1º de julho de 2012 e 1º de julho de 2015, respectivamente.</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3"/>
        <w:ind w:left="243" w:hanging="243"/>
        <w:rPr>
          <w:rFonts w:ascii="Tahoma" w:hAnsi="Tahoma" w:cs="Tahoma"/>
          <w:lang w:val="pt-BR"/>
        </w:rPr>
      </w:pPr>
      <w:bookmarkStart w:id="1423" w:name="_Toc336338350"/>
      <w:bookmarkStart w:id="1424" w:name="Srv_72SysCtrConfigMgr07R2"/>
      <w:bookmarkStart w:id="1425" w:name="Srv_73SysCtrConfigMgr07R2"/>
      <w:bookmarkStart w:id="1426" w:name="Srv_76SysCtrConfigMgr07R2"/>
      <w:bookmarkStart w:id="1427" w:name="Srv_89SysCtrConfigMgr07R3EndofLife"/>
      <w:bookmarkStart w:id="1428" w:name="_Toc342914976"/>
      <w:bookmarkEnd w:id="1423"/>
      <w:bookmarkEnd w:id="1424"/>
      <w:bookmarkEnd w:id="1425"/>
      <w:bookmarkEnd w:id="1426"/>
      <w:bookmarkEnd w:id="1427"/>
      <w:r w:rsidRPr="00EB4D74">
        <w:rPr>
          <w:rFonts w:ascii="Tahoma" w:hAnsi="Tahoma" w:cs="Tahoma"/>
          <w:color w:val="F66400"/>
          <w:sz w:val="22"/>
          <w:vertAlign w:val="superscript"/>
          <w:lang w:val="pt-BR"/>
        </w:rPr>
        <w:t>81</w:t>
      </w:r>
      <w:r w:rsidRPr="00EB4D74">
        <w:rPr>
          <w:rFonts w:ascii="Tahoma" w:hAnsi="Tahoma" w:cs="Tahoma"/>
          <w:color w:val="F66400"/>
          <w:sz w:val="22"/>
          <w:lang w:val="pt-BR"/>
        </w:rPr>
        <w:t xml:space="preserve"> System Center Configuration Manager 2007 R3 – Licenças de Gerenciamento de Servidor e Servidor de Gerenciamento</w:t>
      </w:r>
      <w:bookmarkEnd w:id="1428"/>
    </w:p>
    <w:p w:rsidR="008B1196" w:rsidRPr="00EB4D74" w:rsidRDefault="008B1196" w:rsidP="008B1196">
      <w:pPr>
        <w:ind w:left="720"/>
        <w:contextualSpacing/>
        <w:rPr>
          <w:rFonts w:cs="Tahoma"/>
          <w:lang w:val="pt-BR"/>
        </w:rPr>
      </w:pPr>
    </w:p>
    <w:p w:rsidR="008B1196" w:rsidRPr="00EB4D74" w:rsidRDefault="008B1196" w:rsidP="008B1196">
      <w:pPr>
        <w:ind w:left="720"/>
        <w:rPr>
          <w:rFonts w:cs="Tahoma"/>
          <w:lang w:val="it-IT"/>
        </w:rPr>
      </w:pPr>
      <w:r w:rsidRPr="00EB4D74">
        <w:rPr>
          <w:rFonts w:cs="Tahoma"/>
          <w:color w:val="000000"/>
          <w:lang w:val="pt-BR"/>
        </w:rPr>
        <w:t>Estes produtos encontram-se no status EOL (Fim da Vida Útil) e não serão mais oferecidos.</w:t>
      </w:r>
    </w:p>
    <w:p w:rsidR="008B1196" w:rsidRPr="00EB4D74" w:rsidRDefault="008B1196" w:rsidP="008B1196">
      <w:pPr>
        <w:ind w:left="720"/>
        <w:rPr>
          <w:rFonts w:cs="Tahoma"/>
          <w:lang w:val="it-IT"/>
        </w:rPr>
      </w:pPr>
    </w:p>
    <w:p w:rsidR="008B1196" w:rsidRPr="00EB4D74" w:rsidRDefault="008B1196" w:rsidP="008B1196">
      <w:pPr>
        <w:adjustRightInd w:val="0"/>
        <w:spacing w:after="60"/>
        <w:ind w:left="720"/>
        <w:textAlignment w:val="baseline"/>
        <w:rPr>
          <w:rFonts w:cs="Tahoma"/>
          <w:lang w:val="it-IT"/>
        </w:rPr>
      </w:pPr>
      <w:r w:rsidRPr="00EB4D74">
        <w:rPr>
          <w:rFonts w:cs="Tahoma"/>
          <w:b/>
          <w:lang w:val="pt-BR"/>
        </w:rPr>
        <w:t>Detalhes da Outorga de Licença Transicional Única do System Center 2012</w:t>
      </w:r>
    </w:p>
    <w:p w:rsidR="008B1196" w:rsidRPr="00EB4D74" w:rsidRDefault="008B1196" w:rsidP="008B1196">
      <w:pPr>
        <w:adjustRightInd w:val="0"/>
        <w:ind w:left="720"/>
        <w:textAlignment w:val="baseline"/>
        <w:rPr>
          <w:rFonts w:cs="Tahoma"/>
          <w:lang w:val="it-IT"/>
        </w:rPr>
      </w:pPr>
      <w:r w:rsidRPr="00EB4D74">
        <w:rPr>
          <w:rFonts w:cs="Tahoma"/>
          <w:lang w:val="pt-BR"/>
        </w:rPr>
        <w:t>Consulte a nota do produto nas ofertas do System Center 2012 para obter detalhes sobre as outorgas de licença transicionais.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ind w:left="270" w:hanging="270"/>
        <w:outlineLvl w:val="2"/>
        <w:rPr>
          <w:rFonts w:cs="Tahoma"/>
          <w:lang w:val="it-IT"/>
        </w:rPr>
      </w:pPr>
      <w:bookmarkStart w:id="1429" w:name="Srv_94SystemsCenterDataProEtalEndofLife"/>
      <w:bookmarkStart w:id="1430" w:name="Srv_94SystemsCenterDataProEtal"/>
      <w:bookmarkStart w:id="1431" w:name="Srv_82SysCtrDataProMgr07StdSvrMgmtML"/>
      <w:bookmarkStart w:id="1432" w:name="Srv_78SysCtrDataProMgr07StdSvrMgmtML"/>
      <w:bookmarkStart w:id="1433" w:name="Srv_79SysCtrDataProMgr07StdSvrMgmtML"/>
      <w:bookmarkEnd w:id="1429"/>
      <w:bookmarkEnd w:id="1430"/>
      <w:bookmarkEnd w:id="1431"/>
      <w:bookmarkEnd w:id="1432"/>
      <w:bookmarkEnd w:id="1433"/>
      <w:r w:rsidRPr="00EB4D74">
        <w:rPr>
          <w:rFonts w:cs="Tahoma"/>
          <w:b/>
          <w:caps/>
          <w:color w:val="F66400"/>
          <w:sz w:val="22"/>
          <w:vertAlign w:val="superscript"/>
          <w:lang w:val="pt-BR"/>
        </w:rPr>
        <w:t>82</w:t>
      </w:r>
      <w:r w:rsidRPr="00EB4D74">
        <w:rPr>
          <w:rFonts w:cs="Tahoma"/>
          <w:b/>
          <w:caps/>
          <w:color w:val="F66400"/>
          <w:sz w:val="22"/>
          <w:lang w:val="pt-BR"/>
        </w:rPr>
        <w:t xml:space="preserve"> </w:t>
      </w:r>
      <w:r w:rsidRPr="00EB4D74">
        <w:rPr>
          <w:rStyle w:val="Heading3Char"/>
          <w:rFonts w:ascii="Tahoma" w:hAnsi="Tahoma" w:cs="Tahoma"/>
          <w:color w:val="F66400"/>
          <w:sz w:val="22"/>
          <w:lang w:val="pt-BR"/>
        </w:rPr>
        <w:t>System Center Data Protection Manager 2010 – Licenças de Gerenciamento de Servidor e Gerenciamento de Cliente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lang w:val="pt-BR"/>
        </w:rPr>
        <w:t>Estes produtos encontram-se no status EOL (Fim da Vida Útil) e não serão mais oferecidos.</w:t>
      </w:r>
    </w:p>
    <w:p w:rsidR="008B1196" w:rsidRPr="00EB4D74" w:rsidRDefault="008B1196" w:rsidP="008B1196">
      <w:pPr>
        <w:ind w:left="720"/>
        <w:rPr>
          <w:rFonts w:cs="Tahoma"/>
          <w:lang w:val="it-IT"/>
        </w:rPr>
      </w:pPr>
    </w:p>
    <w:p w:rsidR="008B1196" w:rsidRPr="00EB4D74" w:rsidRDefault="008B1196" w:rsidP="008B1196">
      <w:pPr>
        <w:adjustRightInd w:val="0"/>
        <w:spacing w:after="60"/>
        <w:ind w:left="720"/>
        <w:textAlignment w:val="baseline"/>
        <w:rPr>
          <w:rFonts w:cs="Tahoma"/>
          <w:lang w:val="it-IT"/>
        </w:rPr>
      </w:pPr>
      <w:r w:rsidRPr="00EB4D74">
        <w:rPr>
          <w:rFonts w:cs="Tahoma"/>
          <w:b/>
          <w:lang w:val="pt-BR"/>
        </w:rPr>
        <w:t>Detalhes da Outorga de Licença Transicional Única do System Center 2012</w:t>
      </w:r>
    </w:p>
    <w:p w:rsidR="008B1196" w:rsidRPr="00EB4D74" w:rsidRDefault="008B1196" w:rsidP="008B1196">
      <w:pPr>
        <w:ind w:left="720"/>
        <w:rPr>
          <w:rFonts w:cs="Tahoma"/>
          <w:lang w:val="it-IT"/>
        </w:rPr>
      </w:pPr>
      <w:r w:rsidRPr="00EB4D74">
        <w:rPr>
          <w:rFonts w:cs="Tahoma"/>
          <w:lang w:val="pt-BR"/>
        </w:rPr>
        <w:t>Consulte a nota do produto nas ofertas do System Center 2012 para obter detalhes sobre as outorgas de licença transicionais.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rPr>
      </w:pPr>
      <w:bookmarkStart w:id="1434" w:name="_79_System_Center"/>
      <w:bookmarkStart w:id="1435" w:name="_Toc342914977"/>
      <w:bookmarkStart w:id="1436" w:name="Srv_79SystemCenterEssentials07"/>
      <w:bookmarkStart w:id="1437" w:name="Srv_80SystemCenterEssentials07"/>
      <w:bookmarkStart w:id="1438" w:name="Srv_83SystemCenterEssentials07"/>
      <w:bookmarkEnd w:id="1434"/>
      <w:r w:rsidRPr="00EB4D74">
        <w:rPr>
          <w:rFonts w:ascii="Tahoma" w:hAnsi="Tahoma" w:cs="Tahoma"/>
          <w:caps/>
          <w:color w:val="F66400"/>
          <w:sz w:val="22"/>
          <w:vertAlign w:val="superscript"/>
          <w:lang w:val="pt-BR"/>
        </w:rPr>
        <w:t>83</w:t>
      </w:r>
      <w:r w:rsidRPr="00EB4D74">
        <w:rPr>
          <w:rFonts w:ascii="Tahoma" w:hAnsi="Tahoma" w:cs="Tahoma"/>
          <w:color w:val="F66400"/>
          <w:sz w:val="22"/>
          <w:lang w:val="pt-BR"/>
        </w:rPr>
        <w:t xml:space="preserve"> System Center Essentials 2010</w:t>
      </w:r>
      <w:bookmarkEnd w:id="1435"/>
    </w:p>
    <w:bookmarkEnd w:id="1436"/>
    <w:bookmarkEnd w:id="1437"/>
    <w:bookmarkEnd w:id="1438"/>
    <w:p w:rsidR="008B1196" w:rsidRPr="00EB4D74" w:rsidRDefault="008B1196" w:rsidP="008B1196">
      <w:pPr>
        <w:ind w:hanging="200"/>
        <w:rPr>
          <w:rFonts w:cs="Tahoma"/>
        </w:rPr>
      </w:pPr>
    </w:p>
    <w:p w:rsidR="008B1196" w:rsidRPr="00EB4D74" w:rsidRDefault="008B1196" w:rsidP="008B1196">
      <w:pPr>
        <w:spacing w:after="60"/>
        <w:ind w:left="720"/>
        <w:rPr>
          <w:rFonts w:cs="Tahoma"/>
        </w:rPr>
      </w:pPr>
      <w:r w:rsidRPr="00EB4D74">
        <w:rPr>
          <w:rFonts w:cs="Tahoma"/>
          <w:b/>
          <w:color w:val="000000"/>
          <w:lang w:val="pt-BR"/>
        </w:rPr>
        <w:t>Caminho de Migração do System Center Essentials 2007 (SCE 2007) para o System Center Essentials 2010 (SCE 2010)</w:t>
      </w:r>
    </w:p>
    <w:p w:rsidR="008B1196" w:rsidRPr="00EB4D74" w:rsidRDefault="008B1196" w:rsidP="008B1196">
      <w:pPr>
        <w:ind w:left="720"/>
        <w:rPr>
          <w:rFonts w:cs="Tahoma"/>
          <w:lang w:val="it-IT"/>
        </w:rPr>
      </w:pPr>
      <w:r w:rsidRPr="00EB4D74">
        <w:rPr>
          <w:rFonts w:cs="Tahoma"/>
          <w:color w:val="000000"/>
          <w:szCs w:val="20"/>
          <w:lang w:val="pt-BR"/>
        </w:rPr>
        <w:t xml:space="preserve">Com o lançamento do System Center Essentials 2010 (SCE 2010), você deverá solicitar e adquirir as licenças de software e as licenças de Gerenciamento de Cliente/Servidor separadamente. </w:t>
      </w:r>
      <w:r w:rsidRPr="00EB4D74">
        <w:rPr>
          <w:rFonts w:cs="Tahoma"/>
          <w:color w:val="000000"/>
          <w:lang w:val="pt-BR"/>
        </w:rPr>
        <w:t>No futuro, serão oferecidas apenas licenças individuais para o SCE 2010 (sem Tecnologia SQL Server 2008), o SCE 2010 com Tecnologia SQL Server 2008, a ML de Cliente do SCE 2010 e a ML de Servidor do SCE 2010.</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color w:val="000000"/>
          <w:lang w:val="pt-BR"/>
        </w:rPr>
        <w:t>Os clientes que tiverem adquirido licenças de software de servidor e Licenças de Gerenciamento de Cliente/Servidor em conjunto e tiverem cobertura do Software Assurance ativa sobre essas licenças a partir de 1° de junho de 2010 poderão atualizar essas licenças conforme indicado abaixo:</w:t>
      </w:r>
    </w:p>
    <w:p w:rsidR="008B1196" w:rsidRPr="00EB4D74" w:rsidRDefault="008B1196" w:rsidP="008B1196">
      <w:pPr>
        <w:ind w:left="720"/>
        <w:rPr>
          <w:rFonts w:cs="Tahoma"/>
          <w:lang w:val="it-I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8B1196" w:rsidRPr="00EB4D74" w:rsidTr="00EA30FC">
        <w:tc>
          <w:tcPr>
            <w:tcW w:w="396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b/>
                <w:color w:val="000000"/>
                <w:szCs w:val="20"/>
                <w:lang w:val="pt-BR"/>
              </w:rPr>
              <w:t>Licença do SCE 2007</w:t>
            </w:r>
          </w:p>
        </w:tc>
        <w:tc>
          <w:tcPr>
            <w:tcW w:w="4050" w:type="dxa"/>
            <w:tcBorders>
              <w:top w:val="single" w:sz="4" w:space="0" w:color="000000"/>
            </w:tcBorders>
            <w:shd w:val="clear" w:color="auto" w:fill="FABF8F"/>
          </w:tcPr>
          <w:p w:rsidR="008B1196" w:rsidRPr="00EB4D74" w:rsidRDefault="008B1196" w:rsidP="00EA30FC">
            <w:pPr>
              <w:jc w:val="center"/>
              <w:rPr>
                <w:rFonts w:cs="Tahoma"/>
                <w:b/>
                <w:color w:val="000000"/>
                <w:szCs w:val="20"/>
                <w:lang w:val="it-IT"/>
              </w:rPr>
            </w:pPr>
            <w:r w:rsidRPr="00EB4D74">
              <w:rPr>
                <w:rFonts w:cs="Tahoma"/>
                <w:b/>
                <w:color w:val="000000"/>
                <w:szCs w:val="20"/>
                <w:lang w:val="pt-BR"/>
              </w:rPr>
              <w:t>Migração para Licença do SCE 2010</w:t>
            </w:r>
          </w:p>
        </w:tc>
      </w:tr>
      <w:tr w:rsidR="008B1196" w:rsidRPr="00EB4D74" w:rsidTr="00EA30FC">
        <w:tc>
          <w:tcPr>
            <w:tcW w:w="3960" w:type="dxa"/>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SCE 2007 (com 10 MLs de Servidor e 50 MLs de Cliente)</w:t>
            </w:r>
          </w:p>
        </w:tc>
        <w:tc>
          <w:tcPr>
            <w:tcW w:w="4050" w:type="dxa"/>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1 Licença de Servidor de Gerenciamento do SCE 2010; 10 MLs de Servidor do SCE 2010; 50 MLs de Cliente do SCE 2010</w:t>
            </w:r>
          </w:p>
        </w:tc>
      </w:tr>
      <w:tr w:rsidR="008B1196" w:rsidRPr="00EB4D74" w:rsidTr="00EA30FC">
        <w:tc>
          <w:tcPr>
            <w:tcW w:w="3960" w:type="dxa"/>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SCE 2007 com Tecnologia SQL Server 2005 (com 10 MLs de Servidor e 50 MLs de Cliente)</w:t>
            </w:r>
          </w:p>
        </w:tc>
        <w:tc>
          <w:tcPr>
            <w:tcW w:w="4050" w:type="dxa"/>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1 Licença de Servidor de Gerenciamento do SCE 2010 com Tecnologia SQL Server 2008; 10 MLs de Servidor do SCE 2010; 50 MLs de Cliente do SCE 2010</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ML de Servidor do SCE 2007 (Complementar para 1 Servidor) (ou) ML de Servidor do SCE 2007 (Complementar para 5 Servidores)</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Número igual de MLs de Servidor do SCE 2010</w:t>
            </w:r>
          </w:p>
        </w:tc>
      </w:tr>
      <w:tr w:rsidR="008B1196" w:rsidRPr="00EB4D74" w:rsidTr="00EA30FC">
        <w:tc>
          <w:tcPr>
            <w:tcW w:w="3960" w:type="dxa"/>
            <w:tcBorders>
              <w:bottom w:val="single" w:sz="4" w:space="0" w:color="000000"/>
            </w:tcBorders>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ML de Cliente do SCE 2007 (Complementar para 5 Clientes) (ou) ML de Cliente do SCE 2007 (Complementar para 20 Clientes)</w:t>
            </w:r>
          </w:p>
        </w:tc>
        <w:tc>
          <w:tcPr>
            <w:tcW w:w="4050" w:type="dxa"/>
            <w:tcBorders>
              <w:bottom w:val="single" w:sz="4" w:space="0" w:color="000000"/>
            </w:tcBorders>
            <w:shd w:val="clear" w:color="auto" w:fill="FFFFFF"/>
          </w:tcPr>
          <w:p w:rsidR="008B1196" w:rsidRPr="00EB4D74" w:rsidRDefault="008B1196" w:rsidP="00EA30FC">
            <w:pPr>
              <w:rPr>
                <w:rFonts w:cs="Tahoma"/>
                <w:color w:val="000000"/>
                <w:szCs w:val="20"/>
                <w:lang w:val="it-IT"/>
              </w:rPr>
            </w:pPr>
            <w:r w:rsidRPr="00EB4D74">
              <w:rPr>
                <w:rFonts w:cs="Tahoma"/>
                <w:color w:val="000000"/>
                <w:szCs w:val="20"/>
                <w:lang w:val="pt-BR"/>
              </w:rPr>
              <w:t>Número igual de MLs de Cliente do SCE 2010</w:t>
            </w:r>
          </w:p>
        </w:tc>
      </w:tr>
    </w:tbl>
    <w:p w:rsidR="008B1196" w:rsidRPr="00EB4D74" w:rsidRDefault="008B1196" w:rsidP="008B1196">
      <w:pPr>
        <w:pStyle w:val="Heading3"/>
        <w:rPr>
          <w:rFonts w:ascii="Tahoma" w:hAnsi="Tahoma" w:cs="Tahoma"/>
          <w:lang w:val="it-IT"/>
        </w:rPr>
      </w:pPr>
      <w:bookmarkStart w:id="1439" w:name="_80_System_Center"/>
      <w:bookmarkStart w:id="1440" w:name="_95_System_Center"/>
      <w:bookmarkStart w:id="1441" w:name="_Toc336338352"/>
      <w:bookmarkStart w:id="1442" w:name="Srv_98SysCenterOpsMgr2007R2EndofLife"/>
      <w:bookmarkEnd w:id="1439"/>
      <w:bookmarkEnd w:id="1440"/>
    </w:p>
    <w:p w:rsidR="008B1196" w:rsidRPr="00EB4D74" w:rsidRDefault="008B1196" w:rsidP="008B1196">
      <w:pPr>
        <w:pStyle w:val="Heading3"/>
        <w:rPr>
          <w:rFonts w:ascii="Tahoma" w:hAnsi="Tahoma" w:cs="Tahoma"/>
          <w:lang w:val="it-IT"/>
        </w:rPr>
      </w:pPr>
    </w:p>
    <w:p w:rsidR="008B1196" w:rsidRPr="00EB4D74" w:rsidRDefault="008B1196" w:rsidP="008B1196">
      <w:pPr>
        <w:pStyle w:val="Heading3"/>
        <w:ind w:left="243" w:hanging="243"/>
        <w:rPr>
          <w:rFonts w:ascii="Tahoma" w:hAnsi="Tahoma" w:cs="Tahoma"/>
          <w:lang w:val="it-IT"/>
        </w:rPr>
      </w:pPr>
      <w:bookmarkStart w:id="1443" w:name="Srv_80SysCenterOpsMgr2007R2"/>
      <w:bookmarkStart w:id="1444" w:name="Srv_81SysCenterOpsMgr2007R2"/>
      <w:bookmarkStart w:id="1445" w:name="Srv_84SysCenterOpsMgr2007R2"/>
      <w:bookmarkStart w:id="1446" w:name="_84_System_Center"/>
      <w:bookmarkStart w:id="1447" w:name="_Toc342914978"/>
      <w:bookmarkEnd w:id="1441"/>
      <w:bookmarkEnd w:id="1442"/>
      <w:bookmarkEnd w:id="1443"/>
      <w:bookmarkEnd w:id="1444"/>
      <w:bookmarkEnd w:id="1445"/>
      <w:bookmarkEnd w:id="1446"/>
      <w:r w:rsidRPr="00EB4D74">
        <w:rPr>
          <w:rFonts w:ascii="Tahoma" w:hAnsi="Tahoma" w:cs="Tahoma"/>
          <w:color w:val="F66400"/>
          <w:sz w:val="22"/>
          <w:vertAlign w:val="superscript"/>
          <w:lang w:val="pt-BR"/>
        </w:rPr>
        <w:t>84</w:t>
      </w:r>
      <w:r w:rsidRPr="00EB4D74">
        <w:rPr>
          <w:rFonts w:ascii="Tahoma" w:hAnsi="Tahoma" w:cs="Tahoma"/>
          <w:color w:val="F66400"/>
          <w:sz w:val="22"/>
          <w:lang w:val="pt-BR"/>
        </w:rPr>
        <w:t xml:space="preserve"> System Center Operations Manager 2007 R2 – Licenças de Gerenciamento de Clientes, Gerenciamento de Servidor e Servidor de Gerenciamento</w:t>
      </w:r>
      <w:bookmarkEnd w:id="1447"/>
    </w:p>
    <w:p w:rsidR="008B1196" w:rsidRPr="00EB4D74" w:rsidRDefault="008B1196" w:rsidP="008B1196">
      <w:pPr>
        <w:ind w:left="900"/>
        <w:rPr>
          <w:rFonts w:cs="Tahoma"/>
          <w:lang w:val="it-IT"/>
        </w:rPr>
      </w:pPr>
    </w:p>
    <w:p w:rsidR="008B1196" w:rsidRPr="00EB4D74" w:rsidRDefault="008B1196" w:rsidP="008B1196">
      <w:pPr>
        <w:ind w:left="720"/>
        <w:rPr>
          <w:rFonts w:cs="Tahoma"/>
          <w:lang w:val="it-IT"/>
        </w:rPr>
      </w:pPr>
      <w:r w:rsidRPr="00EB4D74">
        <w:rPr>
          <w:rFonts w:cs="Tahoma"/>
          <w:lang w:val="pt-BR"/>
        </w:rPr>
        <w:t>Estes produtos encontram-se no status EOL (Fim da Vida Útil) e não serão mais oferecidos.</w:t>
      </w:r>
    </w:p>
    <w:p w:rsidR="008B1196" w:rsidRPr="00EB4D74" w:rsidRDefault="008B1196" w:rsidP="008B1196">
      <w:pPr>
        <w:ind w:left="720"/>
        <w:rPr>
          <w:rFonts w:cs="Tahoma"/>
          <w:lang w:val="it-IT"/>
        </w:rPr>
      </w:pPr>
    </w:p>
    <w:p w:rsidR="008B1196" w:rsidRPr="00EB4D74" w:rsidRDefault="008B1196" w:rsidP="008B1196">
      <w:pPr>
        <w:pStyle w:val="FootnoteBulletLevel1"/>
        <w:tabs>
          <w:tab w:val="clear" w:pos="900"/>
        </w:tabs>
        <w:spacing w:before="0" w:after="60"/>
        <w:ind w:left="720" w:firstLine="0"/>
        <w:rPr>
          <w:rFonts w:ascii="Tahoma" w:hAnsi="Tahoma" w:cs="Tahoma"/>
          <w:lang w:val="it-IT"/>
        </w:rPr>
      </w:pPr>
      <w:r w:rsidRPr="00EB4D74">
        <w:rPr>
          <w:rFonts w:ascii="Tahoma" w:hAnsi="Tahoma" w:cs="Tahoma"/>
          <w:b/>
          <w:sz w:val="18"/>
          <w:lang w:val="pt-BR"/>
        </w:rPr>
        <w:t>Detalhes da Outorga de Licença Transicional Única do System Center 2012</w:t>
      </w:r>
    </w:p>
    <w:p w:rsidR="008B1196" w:rsidRPr="00EB4D74" w:rsidRDefault="008B1196" w:rsidP="008B1196">
      <w:pPr>
        <w:ind w:left="720"/>
        <w:rPr>
          <w:rFonts w:cs="Tahoma"/>
          <w:lang w:val="it-IT"/>
        </w:rPr>
      </w:pPr>
      <w:r w:rsidRPr="00EB4D74">
        <w:rPr>
          <w:rFonts w:cs="Tahoma"/>
          <w:lang w:val="pt-BR"/>
        </w:rPr>
        <w:t>Consulte a nota do produto nas ofertas do System Center 2012 para obter detalhes sobre as outorgas de licença transicionais.</w:t>
      </w:r>
    </w:p>
    <w:p w:rsidR="008B1196" w:rsidRPr="00EB4D74" w:rsidRDefault="008B1196" w:rsidP="008B1196">
      <w:pPr>
        <w:pStyle w:val="FootnoteBulletLevel1"/>
        <w:tabs>
          <w:tab w:val="clear" w:pos="900"/>
        </w:tabs>
        <w:ind w:left="0" w:firstLine="0"/>
        <w:rPr>
          <w:rFonts w:ascii="Tahoma" w:hAnsi="Tahoma" w:cs="Tahoma"/>
          <w:sz w:val="18"/>
          <w:szCs w:val="18"/>
          <w:lang w:val="it-IT"/>
        </w:rPr>
      </w:pPr>
    </w:p>
    <w:p w:rsidR="008B1196" w:rsidRPr="00EB4D74" w:rsidRDefault="008B1196" w:rsidP="008B1196">
      <w:pPr>
        <w:pStyle w:val="FootnoteBulletLevel1"/>
        <w:tabs>
          <w:tab w:val="clear" w:pos="900"/>
        </w:tabs>
        <w:ind w:left="0" w:firstLine="0"/>
        <w:rPr>
          <w:rFonts w:ascii="Tahoma" w:hAnsi="Tahoma" w:cs="Tahoma"/>
          <w:sz w:val="18"/>
          <w:szCs w:val="18"/>
          <w:lang w:val="it-IT"/>
        </w:rPr>
      </w:pPr>
    </w:p>
    <w:p w:rsidR="008B1196" w:rsidRPr="00EB4D74" w:rsidRDefault="008B1196" w:rsidP="008B1196">
      <w:pPr>
        <w:pStyle w:val="Heading3"/>
        <w:rPr>
          <w:rFonts w:ascii="Tahoma" w:hAnsi="Tahoma" w:cs="Tahoma"/>
          <w:lang w:val="it-IT"/>
        </w:rPr>
      </w:pPr>
      <w:bookmarkStart w:id="1448" w:name="_81_System_Center"/>
      <w:bookmarkStart w:id="1449" w:name="_82_System_Center"/>
      <w:bookmarkStart w:id="1450" w:name="_83_System_Center"/>
      <w:bookmarkStart w:id="1451" w:name="_84__System"/>
      <w:bookmarkStart w:id="1452" w:name="_Toc336338353"/>
      <w:bookmarkStart w:id="1453" w:name="_Toc342914979"/>
      <w:bookmarkStart w:id="1454" w:name="Srv_88SystemCtrReportMgr2006"/>
      <w:bookmarkEnd w:id="1448"/>
      <w:bookmarkEnd w:id="1449"/>
      <w:bookmarkEnd w:id="1450"/>
      <w:bookmarkEnd w:id="1451"/>
      <w:bookmarkEnd w:id="1452"/>
      <w:r w:rsidRPr="00EB4D74">
        <w:rPr>
          <w:rFonts w:ascii="Tahoma" w:hAnsi="Tahoma" w:cs="Tahoma"/>
          <w:caps/>
          <w:color w:val="F66400"/>
          <w:sz w:val="22"/>
          <w:vertAlign w:val="superscript"/>
          <w:lang w:val="pt-BR"/>
        </w:rPr>
        <w:t>85</w:t>
      </w:r>
      <w:r w:rsidRPr="00EB4D74">
        <w:rPr>
          <w:rFonts w:ascii="Tahoma" w:hAnsi="Tahoma" w:cs="Tahoma"/>
          <w:color w:val="F66400"/>
          <w:sz w:val="22"/>
          <w:lang w:val="pt-BR"/>
        </w:rPr>
        <w:t xml:space="preserve"> System Center Reporting Manager 2006</w:t>
      </w:r>
      <w:bookmarkEnd w:id="1453"/>
    </w:p>
    <w:bookmarkEnd w:id="1454"/>
    <w:p w:rsidR="008B1196" w:rsidRPr="00EB4D74" w:rsidRDefault="008B1196" w:rsidP="008B1196">
      <w:pPr>
        <w:pStyle w:val="EndnoteText"/>
        <w:ind w:left="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sz w:val="18"/>
          <w:szCs w:val="18"/>
          <w:lang w:val="it-IT"/>
        </w:rPr>
        <w:t>Este produto encontra-se no status EOL (Fim da Vida Útil) e não será mais oferecido.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spacing w:after="60"/>
        <w:ind w:left="720"/>
        <w:rPr>
          <w:rFonts w:ascii="Tahoma" w:hAnsi="Tahoma" w:cs="Tahoma"/>
          <w:spacing w:val="-2"/>
          <w:sz w:val="18"/>
          <w:szCs w:val="18"/>
          <w:lang w:val="it-IT"/>
        </w:rPr>
      </w:pPr>
      <w:bookmarkStart w:id="1455" w:name="Srv_89SysCtrSvrMgmtSuiteEnterprise"/>
      <w:bookmarkEnd w:id="1455"/>
      <w:r w:rsidRPr="00EB4D74">
        <w:rPr>
          <w:rFonts w:ascii="Tahoma" w:hAnsi="Tahoma" w:cs="Tahoma"/>
          <w:b/>
          <w:spacing w:val="-2"/>
          <w:sz w:val="18"/>
          <w:szCs w:val="18"/>
          <w:lang w:val="it-IT"/>
        </w:rPr>
        <w:t>Outorga de Licença Única para Titulares de Licenças do System Center Reporting Manager 2006</w:t>
      </w:r>
    </w:p>
    <w:p w:rsidR="008B1196" w:rsidRPr="00EB4D74" w:rsidRDefault="008B1196" w:rsidP="008B1196">
      <w:pPr>
        <w:pStyle w:val="EndnoteText"/>
        <w:ind w:left="720"/>
        <w:rPr>
          <w:rFonts w:ascii="Tahoma" w:hAnsi="Tahoma" w:cs="Tahoma"/>
          <w:spacing w:val="-2"/>
          <w:sz w:val="18"/>
          <w:szCs w:val="18"/>
          <w:lang w:val="it-IT"/>
        </w:rPr>
      </w:pPr>
      <w:r w:rsidRPr="00EB4D74">
        <w:rPr>
          <w:rFonts w:ascii="Tahoma" w:hAnsi="Tahoma" w:cs="Tahoma"/>
          <w:spacing w:val="-2"/>
          <w:sz w:val="18"/>
          <w:szCs w:val="18"/>
          <w:lang w:val="it-IT"/>
        </w:rPr>
        <w:t>Como exceção única relacionada à descontinuação do System Center Reporting Manager 2006, estamos outorgando aos clientes Select, Enterprise, Licença Open, Open Value e Campus e School com Software Assurance ativo, para cada licença do System Center Reporting Manager 2006 a partir de 31 de maio de 2010, as seguintes licenças sem custos adicionais, exceto pelos custos da mídia (se aplicável):</w:t>
      </w:r>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pStyle w:val="EndnoteText"/>
        <w:numPr>
          <w:ilvl w:val="0"/>
          <w:numId w:val="68"/>
        </w:numPr>
        <w:tabs>
          <w:tab w:val="left" w:pos="1440"/>
        </w:tabs>
        <w:spacing w:after="60"/>
        <w:ind w:left="1440"/>
        <w:rPr>
          <w:rFonts w:ascii="Tahoma" w:hAnsi="Tahoma" w:cs="Tahoma"/>
          <w:sz w:val="18"/>
          <w:szCs w:val="18"/>
          <w:lang w:val="it-IT"/>
        </w:rPr>
      </w:pPr>
      <w:r w:rsidRPr="00EB4D74">
        <w:rPr>
          <w:rFonts w:ascii="Tahoma" w:hAnsi="Tahoma" w:cs="Tahoma"/>
          <w:sz w:val="18"/>
          <w:szCs w:val="18"/>
          <w:lang w:val="it-IT"/>
        </w:rPr>
        <w:t>Uma licença de Servidor de Gerenciamento do System Center Service Manager 2010 (sem Tecnologia SQL)</w:t>
      </w:r>
    </w:p>
    <w:p w:rsidR="008B1196" w:rsidRPr="00EB4D74" w:rsidRDefault="008B1196" w:rsidP="008B1196">
      <w:pPr>
        <w:pStyle w:val="EndnoteText"/>
        <w:numPr>
          <w:ilvl w:val="0"/>
          <w:numId w:val="68"/>
        </w:numPr>
        <w:spacing w:after="60"/>
        <w:ind w:left="1440"/>
        <w:rPr>
          <w:rFonts w:ascii="Tahoma" w:hAnsi="Tahoma" w:cs="Tahoma"/>
          <w:sz w:val="18"/>
          <w:szCs w:val="18"/>
        </w:rPr>
      </w:pPr>
      <w:r w:rsidRPr="00EB4D74">
        <w:rPr>
          <w:rFonts w:ascii="Tahoma" w:hAnsi="Tahoma" w:cs="Tahoma"/>
          <w:sz w:val="18"/>
          <w:szCs w:val="18"/>
        </w:rPr>
        <w:t>Cinco licenças de Gerenciamento de Servidor do System Center Service Manager 2010</w:t>
      </w:r>
    </w:p>
    <w:p w:rsidR="008B1196" w:rsidRPr="00EB4D74" w:rsidRDefault="008B1196" w:rsidP="008B1196">
      <w:pPr>
        <w:pStyle w:val="EndnoteText"/>
        <w:numPr>
          <w:ilvl w:val="0"/>
          <w:numId w:val="68"/>
        </w:numPr>
        <w:spacing w:after="60"/>
        <w:ind w:left="1440"/>
        <w:rPr>
          <w:rFonts w:ascii="Tahoma" w:hAnsi="Tahoma" w:cs="Tahoma"/>
          <w:sz w:val="18"/>
          <w:szCs w:val="18"/>
        </w:rPr>
      </w:pPr>
      <w:r w:rsidRPr="00EB4D74">
        <w:rPr>
          <w:rFonts w:ascii="Tahoma" w:hAnsi="Tahoma" w:cs="Tahoma"/>
          <w:sz w:val="18"/>
          <w:szCs w:val="18"/>
        </w:rPr>
        <w:t>Trinta licenças de Gerenciamento de Cliente do System Center Service Manager 2010</w:t>
      </w:r>
    </w:p>
    <w:p w:rsidR="008B1196" w:rsidRPr="00EB4D74" w:rsidRDefault="008B1196" w:rsidP="008B1196">
      <w:pPr>
        <w:pStyle w:val="EndnoteText"/>
        <w:ind w:left="0"/>
        <w:rPr>
          <w:rFonts w:ascii="Tahoma" w:hAnsi="Tahoma" w:cs="Tahoma"/>
          <w:sz w:val="18"/>
          <w:szCs w:val="18"/>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sz w:val="18"/>
          <w:szCs w:val="18"/>
        </w:rPr>
        <w:t xml:space="preserve">Todas as licenças concedidas sob esta oferta incluirão cobertura do Software Assurance. </w:t>
      </w:r>
      <w:r w:rsidRPr="00EB4D74">
        <w:rPr>
          <w:rFonts w:ascii="Tahoma" w:hAnsi="Tahoma" w:cs="Tahoma"/>
          <w:sz w:val="18"/>
          <w:szCs w:val="18"/>
          <w:lang w:val="it-IT"/>
        </w:rPr>
        <w:t>Essa cobertura se encerrará no término da cobertura do System Center Reporting Manager 2006 correspondente. Ao término dessa cobertura, os clientes poderão renovar o Software Assurance sobre as licenças outorgadas.</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sz w:val="18"/>
          <w:szCs w:val="18"/>
          <w:lang w:val="it-IT"/>
        </w:rPr>
        <w:t xml:space="preserve">O uso que um cliente faz do software outorgado sob esta oferta está sujeito aos termos e condições de seu contrato de licença e aos direitos de uso de produto relacionados ao software. O direito de usar o software outorgado expirará quando o direito de usar a licença do System Center Reporting Manager </w:t>
      </w:r>
      <w:r w:rsidRPr="00EB4D74">
        <w:rPr>
          <w:rFonts w:ascii="Tahoma" w:hAnsi="Tahoma" w:cs="Tahoma"/>
          <w:sz w:val="18"/>
          <w:szCs w:val="18"/>
          <w:lang w:val="it-IT"/>
        </w:rPr>
        <w:lastRenderedPageBreak/>
        <w:t>2006 qualificada expirar. Os clientes não poderão transferir as licenças outorgadas sob esta oferta separadamente das licenças de qualificação correspondentes.</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ind w:left="720"/>
        <w:rPr>
          <w:rFonts w:cs="Tahoma"/>
          <w:lang w:val="it-IT"/>
        </w:rPr>
      </w:pPr>
      <w:r w:rsidRPr="00EB4D74">
        <w:rPr>
          <w:rFonts w:cs="Tahoma"/>
          <w:color w:val="000000"/>
          <w:lang w:val="pt-BR"/>
        </w:rPr>
        <w:t>As licenças do System Center Reporting Manager 2006</w:t>
      </w:r>
      <w:r w:rsidRPr="00EB4D74">
        <w:rPr>
          <w:rFonts w:cs="Tahoma"/>
          <w:lang w:val="pt-BR"/>
        </w:rPr>
        <w:t xml:space="preserve"> adquiridas após 31 de maio de 2010 como parte do processo anual de adequação (</w:t>
      </w:r>
      <w:r w:rsidRPr="00EB4D74">
        <w:rPr>
          <w:rFonts w:cs="Tahoma"/>
          <w:color w:val="000000"/>
          <w:bdr w:val="none" w:sz="0" w:space="0" w:color="auto" w:frame="1"/>
          <w:lang w:val="pt-BR"/>
        </w:rPr>
        <w:t>“</w:t>
      </w:r>
      <w:r w:rsidRPr="00EB4D74">
        <w:rPr>
          <w:rFonts w:cs="Tahoma"/>
          <w:lang w:val="pt-BR"/>
        </w:rPr>
        <w:t>true-up</w:t>
      </w:r>
      <w:r w:rsidRPr="00EB4D74">
        <w:rPr>
          <w:rFonts w:cs="Tahoma"/>
          <w:color w:val="000000"/>
          <w:bdr w:val="none" w:sz="0" w:space="0" w:color="auto" w:frame="1"/>
          <w:lang w:val="pt-BR"/>
        </w:rPr>
        <w:t>”</w:t>
      </w:r>
      <w:r w:rsidRPr="00EB4D74">
        <w:rPr>
          <w:rFonts w:cs="Tahoma"/>
          <w:lang w:val="pt-BR"/>
        </w:rPr>
        <w:t xml:space="preserve">) de um cliente para Registros Enterprise sob os quais as licenças do </w:t>
      </w:r>
      <w:r w:rsidRPr="00EB4D74">
        <w:rPr>
          <w:rFonts w:cs="Tahoma"/>
          <w:color w:val="000000"/>
          <w:lang w:val="pt-BR"/>
        </w:rPr>
        <w:t>System Center Reporting Manager 2006</w:t>
      </w:r>
      <w:r w:rsidRPr="00EB4D74">
        <w:rPr>
          <w:rFonts w:cs="Tahoma"/>
          <w:lang w:val="pt-BR"/>
        </w:rPr>
        <w:t xml:space="preserve"> foram adquiridas pela primeira vez antes de 31 de maio de 2010 também estarão qualificadas para licenças de Servidor de Gerenciamento do System Center Service Manager 2010 e licenças de Gerenciamento de Servidor/Cliente de acordo com esta oferta.</w:t>
      </w:r>
    </w:p>
    <w:p w:rsidR="008B1196" w:rsidRPr="00EB4D74" w:rsidRDefault="008B1196" w:rsidP="008B1196">
      <w:pPr>
        <w:ind w:left="720"/>
        <w:rPr>
          <w:rFonts w:cs="Tahoma"/>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bCs/>
          <w:sz w:val="18"/>
          <w:szCs w:val="18"/>
          <w:lang w:val="it-IT"/>
        </w:rPr>
        <w:t xml:space="preserve">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 </w:t>
      </w:r>
      <w:r w:rsidRPr="00EB4D74">
        <w:rPr>
          <w:rFonts w:ascii="Tahoma" w:hAnsi="Tahoma" w:cs="Tahoma"/>
          <w:sz w:val="18"/>
          <w:szCs w:val="18"/>
          <w:lang w:val="it-IT"/>
        </w:rPr>
        <w:t>Esses direitos só se tornarão permanentes se a opção de compra (“buy-out”) for exercida e continuarão sujeitos a todos os termos e condições do contrato de licença do cliente.</w:t>
      </w:r>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pStyle w:val="EndnoteText"/>
        <w:rPr>
          <w:rFonts w:ascii="Tahoma" w:hAnsi="Tahoma" w:cs="Tahoma"/>
          <w:sz w:val="18"/>
          <w:szCs w:val="18"/>
          <w:lang w:val="it-IT"/>
        </w:rPr>
      </w:pPr>
    </w:p>
    <w:p w:rsidR="008B1196" w:rsidRPr="00EB4D74" w:rsidRDefault="008B1196" w:rsidP="008B1196">
      <w:pPr>
        <w:pStyle w:val="Heading3"/>
        <w:rPr>
          <w:rFonts w:ascii="Tahoma" w:hAnsi="Tahoma" w:cs="Tahoma"/>
        </w:rPr>
      </w:pPr>
      <w:bookmarkStart w:id="1456" w:name="_85_System_Center"/>
      <w:bookmarkStart w:id="1457" w:name="_98_System_Center"/>
      <w:bookmarkStart w:id="1458" w:name="_Toc336338354"/>
      <w:bookmarkStart w:id="1459" w:name="Srv_85SysCtrSvrMgmtSuiteEnterprise"/>
      <w:bookmarkStart w:id="1460" w:name="_Toc342914980"/>
      <w:bookmarkEnd w:id="1456"/>
      <w:bookmarkEnd w:id="1457"/>
      <w:bookmarkEnd w:id="1458"/>
      <w:bookmarkEnd w:id="1459"/>
      <w:r w:rsidRPr="00EB4D74">
        <w:rPr>
          <w:rFonts w:ascii="Tahoma" w:hAnsi="Tahoma" w:cs="Tahoma"/>
          <w:caps/>
          <w:color w:val="F66400"/>
          <w:sz w:val="22"/>
          <w:vertAlign w:val="superscript"/>
          <w:lang w:val="pt-BR"/>
        </w:rPr>
        <w:t>86</w:t>
      </w:r>
      <w:r w:rsidRPr="00EB4D74">
        <w:rPr>
          <w:rFonts w:ascii="Tahoma" w:hAnsi="Tahoma" w:cs="Tahoma"/>
          <w:color w:val="F66400"/>
          <w:sz w:val="22"/>
          <w:lang w:val="pt-BR"/>
        </w:rPr>
        <w:t xml:space="preserve"> System Center Server Management Suite Enterprise</w:t>
      </w:r>
      <w:bookmarkEnd w:id="1460"/>
    </w:p>
    <w:p w:rsidR="008B1196" w:rsidRPr="00EB4D74" w:rsidRDefault="008B1196" w:rsidP="008B1196">
      <w:pPr>
        <w:pStyle w:val="EndnoteText"/>
        <w:ind w:left="720"/>
        <w:rPr>
          <w:rFonts w:ascii="Tahoma" w:hAnsi="Tahoma" w:cs="Tahoma"/>
          <w:sz w:val="18"/>
          <w:szCs w:val="18"/>
        </w:rPr>
      </w:pPr>
    </w:p>
    <w:p w:rsidR="008B1196" w:rsidRPr="00EB4D74" w:rsidRDefault="008B1196" w:rsidP="008B1196">
      <w:pPr>
        <w:pStyle w:val="EndnoteText"/>
        <w:ind w:left="720"/>
        <w:rPr>
          <w:rFonts w:ascii="Tahoma" w:hAnsi="Tahoma" w:cs="Tahoma"/>
          <w:lang w:val="it-IT"/>
        </w:rPr>
      </w:pPr>
      <w:r w:rsidRPr="00EB4D74">
        <w:rPr>
          <w:rFonts w:ascii="Tahoma" w:hAnsi="Tahoma" w:cs="Tahoma"/>
          <w:color w:val="000000"/>
          <w:sz w:val="18"/>
          <w:lang w:val="it-IT"/>
        </w:rPr>
        <w:t>Este produto encontra-se no status EOL (Fim da Vida Útil) e não será mais oferecido.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FootnoteBulletLevel1"/>
        <w:tabs>
          <w:tab w:val="clear" w:pos="900"/>
        </w:tabs>
        <w:spacing w:before="0" w:after="60"/>
        <w:ind w:left="720" w:firstLine="0"/>
        <w:rPr>
          <w:rFonts w:ascii="Tahoma" w:hAnsi="Tahoma" w:cs="Tahoma"/>
          <w:lang w:val="it-IT"/>
        </w:rPr>
      </w:pPr>
      <w:r w:rsidRPr="00EB4D74">
        <w:rPr>
          <w:rFonts w:ascii="Tahoma" w:hAnsi="Tahoma" w:cs="Tahoma"/>
          <w:b/>
          <w:sz w:val="18"/>
          <w:lang w:val="pt-BR"/>
        </w:rPr>
        <w:t>Detalhes da Outorga de Licença Transicional Única do System Center 2012</w:t>
      </w:r>
    </w:p>
    <w:p w:rsidR="008B1196" w:rsidRPr="00EB4D74" w:rsidRDefault="008B1196" w:rsidP="008B1196">
      <w:pPr>
        <w:ind w:left="720"/>
        <w:rPr>
          <w:rFonts w:cs="Tahoma"/>
          <w:lang w:val="it-IT"/>
        </w:rPr>
      </w:pPr>
      <w:r w:rsidRPr="00EB4D74">
        <w:rPr>
          <w:rFonts w:cs="Tahoma"/>
          <w:lang w:val="pt-BR"/>
        </w:rPr>
        <w:t>Consulte a nota do produto nas ofertas do System Center 2012 para obter detalhes sobre as outorgas de licença transicionais.</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lang w:val="pt-BR"/>
        </w:rPr>
        <w:t xml:space="preserve">O System Center Server Management Suite Enterprise é independente da versão e os direitos de uso de produto são determinados pelo status da cobertura do Software Assurance para o </w:t>
      </w:r>
      <w:r w:rsidRPr="00EB4D74">
        <w:rPr>
          <w:rFonts w:cs="Tahoma"/>
          <w:color w:val="000000"/>
          <w:lang w:val="pt-BR"/>
        </w:rPr>
        <w:t>System Center Server Management Suite Enterprise. Se a cobertura for interrompida, os direitos de acesso sob as licenças perpétuas serão determinados com base nos direitos de uso de produto em vigor antes da interrupção.</w:t>
      </w:r>
    </w:p>
    <w:p w:rsidR="008B1196" w:rsidRPr="00EB4D74" w:rsidRDefault="008B1196" w:rsidP="008B1196">
      <w:pPr>
        <w:ind w:left="720"/>
        <w:rPr>
          <w:rFonts w:cs="Tahoma"/>
          <w:lang w:val="it-IT"/>
        </w:rPr>
      </w:pPr>
    </w:p>
    <w:p w:rsidR="008B1196" w:rsidRPr="00EB4D74" w:rsidRDefault="008B1196" w:rsidP="008B1196">
      <w:pPr>
        <w:ind w:left="720"/>
        <w:jc w:val="both"/>
        <w:rPr>
          <w:rFonts w:cs="Tahoma"/>
          <w:spacing w:val="-2"/>
          <w:lang w:val="pt-BR"/>
        </w:rPr>
      </w:pPr>
      <w:r w:rsidRPr="00EB4D74">
        <w:rPr>
          <w:rFonts w:cs="Tahoma"/>
          <w:color w:val="000000"/>
          <w:spacing w:val="-2"/>
          <w:lang w:val="pt-BR"/>
        </w:rPr>
        <w:t>A partir de 1° de novembro de 2010, uma licença para o System Center Server Management Suite Enterprise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rPr>
      </w:pPr>
      <w:r w:rsidRPr="00EB4D74">
        <w:rPr>
          <w:rFonts w:cs="Tahoma"/>
          <w:b/>
          <w:lang w:val="pt-BR"/>
        </w:rPr>
        <w:t>Outorga de Licença</w:t>
      </w:r>
    </w:p>
    <w:p w:rsidR="008B1196" w:rsidRPr="00EB4D74" w:rsidRDefault="008B1196" w:rsidP="008B1196">
      <w:pPr>
        <w:pStyle w:val="FootnoteBulletLevel1"/>
        <w:tabs>
          <w:tab w:val="left" w:pos="900"/>
        </w:tabs>
        <w:spacing w:before="0" w:after="0"/>
        <w:ind w:left="720" w:firstLine="0"/>
        <w:rPr>
          <w:rFonts w:ascii="Tahoma" w:hAnsi="Tahoma" w:cs="Tahoma"/>
        </w:rPr>
      </w:pPr>
      <w:r w:rsidRPr="00EB4D74">
        <w:rPr>
          <w:rFonts w:ascii="Tahoma" w:hAnsi="Tahoma" w:cs="Tahoma"/>
          <w:sz w:val="18"/>
          <w:lang w:val="pt-BR"/>
        </w:rPr>
        <w:t>Outorga de Licença Única do System Center Server Management Suite Datacenter (SMSD) para Titulares de Licenças do System Center Server Management Suite Enterprise (SMSE).</w:t>
      </w:r>
    </w:p>
    <w:p w:rsidR="008B1196" w:rsidRPr="00EB4D74" w:rsidRDefault="008B1196" w:rsidP="008B1196">
      <w:pPr>
        <w:pStyle w:val="FootnoteBulletLevel1"/>
        <w:tabs>
          <w:tab w:val="left" w:pos="900"/>
        </w:tabs>
        <w:spacing w:before="0" w:after="0"/>
        <w:ind w:left="720" w:firstLine="0"/>
        <w:rPr>
          <w:rFonts w:ascii="Tahoma" w:hAnsi="Tahoma" w:cs="Tahoma"/>
          <w:sz w:val="18"/>
          <w:szCs w:val="18"/>
        </w:rPr>
      </w:pPr>
    </w:p>
    <w:p w:rsidR="008B1196" w:rsidRPr="00EB4D74" w:rsidRDefault="008B1196" w:rsidP="008B1196">
      <w:pPr>
        <w:pStyle w:val="FootnoteBulletLevel1"/>
        <w:tabs>
          <w:tab w:val="clear" w:pos="900"/>
          <w:tab w:val="left" w:pos="720"/>
        </w:tabs>
        <w:spacing w:before="0" w:after="0"/>
        <w:ind w:left="720" w:firstLine="0"/>
        <w:rPr>
          <w:rFonts w:ascii="Tahoma" w:hAnsi="Tahoma" w:cs="Tahoma"/>
          <w:lang w:val="it-IT"/>
        </w:rPr>
      </w:pPr>
      <w:r w:rsidRPr="00EB4D74">
        <w:rPr>
          <w:rFonts w:ascii="Tahoma" w:hAnsi="Tahoma" w:cs="Tahoma"/>
          <w:sz w:val="18"/>
          <w:lang w:val="pt-BR"/>
        </w:rPr>
        <w:t>Como exceção única relacionada à transição do SMSE* de um pacote que permite o gerenciamento de um número indeterminado de OSEs em um dispositivo licenciado para um pacote que permite o gerenciamento de até quatro OSEs em um dispositivo licenciado, estamos outorgando aos clientes Select, Enterprise, Licença Open, Open Value e Campus e School com Software Assurance ativo sobre o SMSE a partir de 1° de julho de 2009 os seguintes itens:</w:t>
      </w:r>
    </w:p>
    <w:p w:rsidR="008B1196" w:rsidRPr="00EB4D74" w:rsidRDefault="008B1196" w:rsidP="008B1196">
      <w:pPr>
        <w:pStyle w:val="FootnoteBulletLevel1"/>
        <w:tabs>
          <w:tab w:val="clear" w:pos="900"/>
          <w:tab w:val="left" w:pos="720"/>
        </w:tabs>
        <w:spacing w:before="0" w:after="0"/>
        <w:ind w:left="720" w:firstLine="0"/>
        <w:rPr>
          <w:rFonts w:ascii="Tahoma" w:hAnsi="Tahoma" w:cs="Tahoma"/>
          <w:sz w:val="18"/>
          <w:szCs w:val="18"/>
          <w:lang w:val="it-IT"/>
        </w:rPr>
      </w:pPr>
    </w:p>
    <w:p w:rsidR="008B1196" w:rsidRPr="00EB4D74" w:rsidRDefault="008B1196" w:rsidP="008B1196">
      <w:pPr>
        <w:numPr>
          <w:ilvl w:val="0"/>
          <w:numId w:val="67"/>
        </w:numPr>
        <w:ind w:left="1440"/>
        <w:rPr>
          <w:rFonts w:cs="Tahoma"/>
          <w:lang w:val="it-IT"/>
        </w:rPr>
      </w:pPr>
      <w:r w:rsidRPr="00EB4D74">
        <w:rPr>
          <w:rFonts w:cs="Tahoma"/>
          <w:color w:val="000000"/>
          <w:lang w:val="pt-BR"/>
        </w:rPr>
        <w:t>Quatro licenças gratuitas do SMSD para cada licença do SMSE qualificada com Software Assurance ativo que o cliente tenha a partir de 1° de julho de 2009. Cada conjunto de quatro licenças do SMSD outorgadas deverá ser alocado a um único dispositivo e não poderá ser separado para uso em dois em mais dispositivos.</w:t>
      </w:r>
    </w:p>
    <w:p w:rsidR="008B1196" w:rsidRPr="00EB4D74" w:rsidRDefault="008B1196" w:rsidP="008B1196">
      <w:pPr>
        <w:rPr>
          <w:rFonts w:cs="Tahoma"/>
          <w:lang w:val="it-IT"/>
        </w:rPr>
      </w:pPr>
    </w:p>
    <w:p w:rsidR="008B1196" w:rsidRPr="00EB4D74" w:rsidRDefault="008B1196" w:rsidP="008B1196">
      <w:pPr>
        <w:pStyle w:val="FootnoteBulletLevel1"/>
        <w:tabs>
          <w:tab w:val="clear" w:pos="900"/>
        </w:tabs>
        <w:spacing w:before="0" w:after="0"/>
        <w:ind w:left="720" w:firstLine="0"/>
        <w:rPr>
          <w:rFonts w:ascii="Tahoma" w:hAnsi="Tahoma" w:cs="Tahoma"/>
          <w:lang w:val="pt-BR"/>
        </w:rPr>
      </w:pPr>
      <w:r w:rsidRPr="00EB4D74">
        <w:rPr>
          <w:rFonts w:ascii="Tahoma" w:hAnsi="Tahoma" w:cs="Tahoma"/>
          <w:sz w:val="18"/>
          <w:lang w:val="pt-BR"/>
        </w:rPr>
        <w:t>Os direitos de gerenciamento associados às licenças gratuitas do SMSD serão outorgados no lugar dos direitos de gerenciamento associados às licenças do SMSE qualificadas. Com a cessão das licenças do SMSD outorgadas, o cliente perderá os direitos de gerenciamento sob a licença do SMSE correspondente.</w:t>
      </w:r>
    </w:p>
    <w:p w:rsidR="008B1196" w:rsidRPr="00EB4D74" w:rsidRDefault="008B1196" w:rsidP="008B1196">
      <w:pPr>
        <w:pStyle w:val="FootnoteBulletLevel1"/>
        <w:tabs>
          <w:tab w:val="clear" w:pos="900"/>
        </w:tabs>
        <w:spacing w:before="0" w:after="0"/>
        <w:ind w:left="720" w:firstLine="0"/>
        <w:rPr>
          <w:rFonts w:ascii="Tahoma" w:hAnsi="Tahoma" w:cs="Tahoma"/>
          <w:lang w:val="pt-BR"/>
        </w:rPr>
      </w:pPr>
      <w:r w:rsidRPr="00EB4D74">
        <w:rPr>
          <w:rFonts w:ascii="Tahoma" w:hAnsi="Tahoma" w:cs="Tahoma"/>
          <w:sz w:val="18"/>
          <w:lang w:val="pt-BR"/>
        </w:rPr>
        <w:t>Quaisquer licenças outorgadas sob esta oferta estarão sujeitas à seguinte limitação: cada conjunto de licenças do SMSD outorgadas deverá ser cedido a um único dispositivo.</w:t>
      </w: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pt-BR"/>
        </w:rPr>
      </w:pP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pt-BR"/>
        </w:rPr>
      </w:pP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pt-BR"/>
        </w:rPr>
      </w:pP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pt-BR"/>
        </w:rPr>
      </w:pP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pt-BR"/>
        </w:rPr>
      </w:pPr>
    </w:p>
    <w:p w:rsidR="008B1196" w:rsidRPr="00EB4D74" w:rsidRDefault="008B1196" w:rsidP="008B1196">
      <w:pPr>
        <w:pStyle w:val="FootnoteBulletLevel1"/>
        <w:tabs>
          <w:tab w:val="clear" w:pos="900"/>
        </w:tabs>
        <w:spacing w:before="0" w:after="60"/>
        <w:ind w:left="720" w:firstLine="0"/>
        <w:rPr>
          <w:rFonts w:ascii="Tahoma" w:hAnsi="Tahoma" w:cs="Tahoma"/>
          <w:lang w:val="pt-BR"/>
        </w:rPr>
      </w:pPr>
      <w:r w:rsidRPr="00EB4D74">
        <w:rPr>
          <w:rFonts w:ascii="Tahoma" w:hAnsi="Tahoma" w:cs="Tahoma"/>
          <w:b/>
          <w:color w:val="000000"/>
          <w:sz w:val="18"/>
          <w:lang w:val="pt-BR"/>
        </w:rPr>
        <w:t>Opções na renovação do Software Assurance</w:t>
      </w:r>
    </w:p>
    <w:p w:rsidR="008B1196" w:rsidRPr="00EB4D74" w:rsidRDefault="008B1196" w:rsidP="008B1196">
      <w:pPr>
        <w:pStyle w:val="FootnoteBulletLevel1"/>
        <w:tabs>
          <w:tab w:val="clear" w:pos="900"/>
        </w:tabs>
        <w:spacing w:before="0" w:after="0"/>
        <w:ind w:left="720" w:firstLine="0"/>
        <w:rPr>
          <w:rFonts w:ascii="Tahoma" w:hAnsi="Tahoma" w:cs="Tahoma"/>
          <w:lang w:val="it-IT"/>
        </w:rPr>
      </w:pPr>
      <w:r w:rsidRPr="00EB4D74">
        <w:rPr>
          <w:rFonts w:ascii="Tahoma" w:hAnsi="Tahoma" w:cs="Tahoma"/>
          <w:color w:val="000000"/>
          <w:sz w:val="18"/>
          <w:lang w:val="pt-BR"/>
        </w:rPr>
        <w:t xml:space="preserve">Quaisquer licenças outorgadas sob esta oferta incluirão uma cobertura do Software Assurance que se encerrará quando a cobertura sobre as licenças de qualificação correspondentes se encerrar. </w:t>
      </w:r>
      <w:r w:rsidRPr="00EB4D74">
        <w:rPr>
          <w:rFonts w:ascii="Tahoma" w:hAnsi="Tahoma" w:cs="Tahoma"/>
          <w:sz w:val="18"/>
          <w:lang w:val="pt-BR"/>
        </w:rPr>
        <w:t>Ao término da cobertura do Software Assurance, os clientes poderão renovar o Software Assurance de acordo com uma das seguintes opções:</w:t>
      </w:r>
    </w:p>
    <w:p w:rsidR="008B1196" w:rsidRPr="00EB4D74" w:rsidRDefault="008B1196" w:rsidP="008B1196">
      <w:pPr>
        <w:pStyle w:val="FootnoteBulletLevel1"/>
        <w:tabs>
          <w:tab w:val="clear" w:pos="900"/>
        </w:tabs>
        <w:spacing w:before="0" w:after="0"/>
        <w:ind w:left="720" w:firstLine="0"/>
        <w:rPr>
          <w:rFonts w:ascii="Tahoma" w:hAnsi="Tahoma" w:cs="Tahoma"/>
          <w:sz w:val="18"/>
          <w:szCs w:val="18"/>
          <w:lang w:val="it-IT"/>
        </w:rPr>
      </w:pPr>
    </w:p>
    <w:p w:rsidR="008B1196" w:rsidRPr="00EB4D74" w:rsidRDefault="008B1196" w:rsidP="008B1196">
      <w:pPr>
        <w:pStyle w:val="FootnoteBulletLevel1"/>
        <w:numPr>
          <w:ilvl w:val="0"/>
          <w:numId w:val="70"/>
        </w:numPr>
        <w:tabs>
          <w:tab w:val="left" w:pos="720"/>
        </w:tabs>
        <w:spacing w:before="0" w:after="60"/>
        <w:ind w:left="1440"/>
        <w:rPr>
          <w:rFonts w:ascii="Tahoma" w:hAnsi="Tahoma" w:cs="Tahoma"/>
          <w:lang w:val="it-IT"/>
        </w:rPr>
      </w:pPr>
      <w:r w:rsidRPr="00EB4D74">
        <w:rPr>
          <w:rFonts w:ascii="Tahoma" w:hAnsi="Tahoma" w:cs="Tahoma"/>
          <w:sz w:val="18"/>
          <w:lang w:val="pt-BR"/>
        </w:rPr>
        <w:t>Os clientes poderão renovar a cobertura para a licença original do SMSE. Os direitos de gerenciamento sob a cobertura do Software Assurance para o SMSE serão determinados pelos direitos aplicáveis ao SMSE na ocasião da renovação. Na renovação da licença original do SMSE, o cliente perderá os direitos às quatro licenças gratuitas do SMSD.</w:t>
      </w:r>
    </w:p>
    <w:p w:rsidR="008B1196" w:rsidRPr="00EB4D74" w:rsidRDefault="008B1196" w:rsidP="008B1196">
      <w:pPr>
        <w:pStyle w:val="FootnoteBulletLevel1"/>
        <w:numPr>
          <w:ilvl w:val="0"/>
          <w:numId w:val="71"/>
        </w:numPr>
        <w:tabs>
          <w:tab w:val="left" w:pos="720"/>
        </w:tabs>
        <w:spacing w:before="0" w:after="60"/>
        <w:ind w:left="1440"/>
        <w:rPr>
          <w:rFonts w:ascii="Tahoma" w:hAnsi="Tahoma" w:cs="Tahoma"/>
        </w:rPr>
      </w:pPr>
      <w:r w:rsidRPr="00EB4D74">
        <w:rPr>
          <w:rFonts w:ascii="Tahoma" w:hAnsi="Tahoma" w:cs="Tahoma"/>
          <w:sz w:val="18"/>
          <w:lang w:val="pt-BR"/>
        </w:rPr>
        <w:t>Os clientes poderão renovar a cobertura para as licenças gratuitas do SMSD:</w:t>
      </w:r>
    </w:p>
    <w:p w:rsidR="008B1196" w:rsidRPr="00EB4D74" w:rsidRDefault="008B1196" w:rsidP="008B1196">
      <w:pPr>
        <w:pStyle w:val="FootnoteBulletLevel1"/>
        <w:numPr>
          <w:ilvl w:val="2"/>
          <w:numId w:val="72"/>
        </w:numPr>
        <w:tabs>
          <w:tab w:val="left" w:pos="720"/>
        </w:tabs>
        <w:spacing w:before="0" w:after="60"/>
        <w:ind w:left="1980"/>
        <w:rPr>
          <w:rFonts w:ascii="Tahoma" w:hAnsi="Tahoma" w:cs="Tahoma"/>
          <w:lang w:val="it-IT"/>
        </w:rPr>
      </w:pPr>
      <w:r w:rsidRPr="00EB4D74">
        <w:rPr>
          <w:rFonts w:ascii="Tahoma" w:hAnsi="Tahoma" w:cs="Tahoma"/>
          <w:sz w:val="18"/>
          <w:lang w:val="pt-BR"/>
        </w:rPr>
        <w:t>Os clientes poderão renovar a cobertura para todas as licenças do SMSD do conjunto de quatro licenças gratuitas do SMSD outorgadas sob esta oferta. Nesta opção, o requisito para alocar o conjunto de quatro licenças a um único dispositivo será dispensado.</w:t>
      </w:r>
    </w:p>
    <w:p w:rsidR="008B1196" w:rsidRPr="00EB4D74" w:rsidRDefault="008B1196" w:rsidP="008B1196">
      <w:pPr>
        <w:pStyle w:val="FootnoteBulletLevel1"/>
        <w:numPr>
          <w:ilvl w:val="2"/>
          <w:numId w:val="72"/>
        </w:numPr>
        <w:tabs>
          <w:tab w:val="left" w:pos="720"/>
        </w:tabs>
        <w:spacing w:before="0" w:after="60"/>
        <w:ind w:left="1980"/>
        <w:rPr>
          <w:rFonts w:ascii="Tahoma" w:hAnsi="Tahoma" w:cs="Tahoma"/>
          <w:lang w:val="it-IT"/>
        </w:rPr>
      </w:pPr>
      <w:r w:rsidRPr="00EB4D74">
        <w:rPr>
          <w:rFonts w:ascii="Tahoma" w:hAnsi="Tahoma" w:cs="Tahoma"/>
          <w:sz w:val="18"/>
          <w:lang w:val="pt-BR"/>
        </w:rPr>
        <w:t>Os clientes que renovarem o Software Assurance antes de 1° de julho de 2011 poderão renovar a cobertura para duas licenças do conjunto de quatro licenças gratuitas do SMSD outorgadas sob esta oferta. Se eles fizerem isso, terão sua cobertura considerada renovada para as quatro licenças do SMSD do mesmo conjunto. Nesta opção, o requisito para alocar o conjunto de quatro licenças a um único dispositivo continuará a ser aplicável na ocasião da renovação. Na renovação subsequente do Software Assurance, os clientes poderão renovar a cobertura para as licenças do SMSD de que precisarem dentro de cada conjunto de quatro licenças gratuitas do SMSD. Nessa ocasião, ao contrário da primeira renovação, qualquer licença do SMSD para a qual a cobertura não for renovada não continuará a ter a cobertura do Software Assurance. O requisito para alocar um conjunto de quatro licenças gratuitas do SMSD a um único dispositivo só será dispensado nessa renovação subsequente se a cobertura para todas as quatro licenças do SMSD for renovada.</w:t>
      </w:r>
    </w:p>
    <w:p w:rsidR="008B1196" w:rsidRPr="00EB4D74" w:rsidRDefault="008B1196" w:rsidP="008B1196">
      <w:pPr>
        <w:pStyle w:val="FootnoteBulletLevel1"/>
        <w:tabs>
          <w:tab w:val="clear" w:pos="900"/>
          <w:tab w:val="left" w:pos="720"/>
        </w:tabs>
        <w:spacing w:before="0" w:after="0"/>
        <w:ind w:firstLine="0"/>
        <w:rPr>
          <w:rFonts w:ascii="Tahoma" w:hAnsi="Tahoma" w:cs="Tahoma"/>
          <w:lang w:val="it-IT"/>
        </w:rPr>
      </w:pPr>
    </w:p>
    <w:p w:rsidR="008B1196" w:rsidRPr="00EB4D74" w:rsidRDefault="008B1196" w:rsidP="008B1196">
      <w:pPr>
        <w:pStyle w:val="FootnoteBulletLevel1"/>
        <w:tabs>
          <w:tab w:val="clear" w:pos="900"/>
          <w:tab w:val="left" w:pos="720"/>
        </w:tabs>
        <w:spacing w:before="0" w:after="60"/>
        <w:ind w:left="720" w:firstLine="0"/>
        <w:rPr>
          <w:rFonts w:ascii="Tahoma" w:hAnsi="Tahoma" w:cs="Tahoma"/>
          <w:lang w:val="it-IT"/>
        </w:rPr>
      </w:pPr>
      <w:r w:rsidRPr="00EB4D74">
        <w:rPr>
          <w:rFonts w:ascii="Tahoma" w:hAnsi="Tahoma" w:cs="Tahoma"/>
          <w:b/>
          <w:sz w:val="18"/>
          <w:lang w:val="pt-BR"/>
        </w:rPr>
        <w:t>Remoção da limitação de que cada conjunto de licenças do SMSD outorgadas deverá ser alocado a um único dispositivo</w:t>
      </w:r>
    </w:p>
    <w:p w:rsidR="008B1196" w:rsidRPr="00EB4D74" w:rsidRDefault="008B1196" w:rsidP="008B1196">
      <w:pPr>
        <w:pStyle w:val="FootnoteBulletLevel1"/>
        <w:tabs>
          <w:tab w:val="clear" w:pos="900"/>
          <w:tab w:val="left" w:pos="720"/>
        </w:tabs>
        <w:spacing w:before="0" w:after="0"/>
        <w:ind w:left="720" w:firstLine="0"/>
        <w:rPr>
          <w:rFonts w:ascii="Tahoma" w:hAnsi="Tahoma" w:cs="Tahoma"/>
          <w:lang w:val="it-IT"/>
        </w:rPr>
      </w:pPr>
      <w:r w:rsidRPr="00EB4D74">
        <w:rPr>
          <w:rFonts w:ascii="Tahoma" w:hAnsi="Tahoma" w:cs="Tahoma"/>
          <w:sz w:val="18"/>
          <w:lang w:val="pt-BR"/>
        </w:rPr>
        <w:t>A qualquer momento antes da primeira renovação do Software Assurance após esta outorga, os clientes poderão remover o requisito de que cada conjunto de licenças do SMSD outorgadas deverá ser alocado a um único dispositivo. Para isso, deverão comprar a cobertura do Software Assurance para duas licenças do SMSD de um dado conjunto de quatro licenças gratuitas do SMSD.</w:t>
      </w:r>
    </w:p>
    <w:p w:rsidR="008B1196" w:rsidRPr="00EB4D74" w:rsidRDefault="008B1196" w:rsidP="008B1196">
      <w:pPr>
        <w:pStyle w:val="FootnoteBulletLevel1"/>
        <w:tabs>
          <w:tab w:val="clear" w:pos="900"/>
          <w:tab w:val="left" w:pos="720"/>
        </w:tabs>
        <w:spacing w:before="0" w:after="0"/>
        <w:ind w:left="720" w:firstLine="0"/>
        <w:rPr>
          <w:rFonts w:ascii="Tahoma" w:hAnsi="Tahoma" w:cs="Tahoma"/>
          <w:lang w:val="it-IT"/>
        </w:rPr>
      </w:pPr>
    </w:p>
    <w:p w:rsidR="008B1196" w:rsidRPr="00EB4D74" w:rsidRDefault="008B1196" w:rsidP="008B1196">
      <w:pPr>
        <w:pStyle w:val="FootnoteBulletLevel1"/>
        <w:tabs>
          <w:tab w:val="clear" w:pos="900"/>
          <w:tab w:val="left" w:pos="720"/>
        </w:tabs>
        <w:spacing w:before="0" w:after="0"/>
        <w:ind w:left="720" w:firstLine="0"/>
        <w:rPr>
          <w:rFonts w:ascii="Tahoma" w:hAnsi="Tahoma" w:cs="Tahoma"/>
        </w:rPr>
      </w:pPr>
      <w:r w:rsidRPr="00EB4D74">
        <w:rPr>
          <w:rFonts w:ascii="Tahoma" w:hAnsi="Tahoma" w:cs="Tahoma"/>
          <w:sz w:val="18"/>
          <w:lang w:val="pt-BR"/>
        </w:rPr>
        <w:t>O direito de uso do software pelos clientes sob as licenças gratuitas do SMSD é comprovado por esta nota de condição do produto e por evidências das licenças de qualificação correspondentes. O uso do software por um cliente sob esta oferta está sujeito aos termos e condições de seu contrato de licença e aos direitos de uso de produto relacionados ao software. O direito de usar o software sob as licenças gratuitas expirará quando o direito de usar o software sob as licenças de qualificação expirar. Os clientes não poderão transferir as licenças outorgadas sob esta oferta separadamente das licenças de qualificação correspondentes.</w:t>
      </w:r>
    </w:p>
    <w:p w:rsidR="008B1196" w:rsidRPr="00EB4D74" w:rsidRDefault="008B1196" w:rsidP="008B1196">
      <w:pPr>
        <w:pStyle w:val="FootnoteBulletLevel1"/>
        <w:tabs>
          <w:tab w:val="clear" w:pos="900"/>
          <w:tab w:val="left" w:pos="720"/>
        </w:tabs>
        <w:spacing w:before="0" w:after="0"/>
        <w:ind w:left="720" w:firstLine="0"/>
        <w:rPr>
          <w:rFonts w:ascii="Tahoma" w:hAnsi="Tahoma" w:cs="Tahoma"/>
        </w:rPr>
      </w:pPr>
    </w:p>
    <w:p w:rsidR="008B1196" w:rsidRPr="00EB4D74" w:rsidRDefault="008B1196" w:rsidP="008B1196">
      <w:pPr>
        <w:pStyle w:val="FootnoteBulletLevel1"/>
        <w:tabs>
          <w:tab w:val="clear" w:pos="900"/>
          <w:tab w:val="left" w:pos="720"/>
        </w:tabs>
        <w:spacing w:before="0" w:after="0"/>
        <w:ind w:left="720" w:firstLine="0"/>
        <w:rPr>
          <w:rFonts w:ascii="Tahoma" w:hAnsi="Tahoma" w:cs="Tahoma"/>
        </w:rPr>
      </w:pPr>
      <w:r w:rsidRPr="00EB4D74">
        <w:rPr>
          <w:rFonts w:ascii="Tahoma" w:hAnsi="Tahoma" w:cs="Tahoma"/>
          <w:sz w:val="18"/>
          <w:lang w:val="pt-BR"/>
        </w:rPr>
        <w:t>*As alterações no licenciamento do SMSE são efetivas para o System Center Operations Manager 2007 R2 e para novos lançamentos dos outros produtos incluídos no System Center Server Management Suite Enterprise (por exemplo, o System Center Virtual Machine Manager 2008 R2).</w:t>
      </w:r>
    </w:p>
    <w:p w:rsidR="008B1196" w:rsidRPr="00EB4D74" w:rsidRDefault="008B1196" w:rsidP="008B1196">
      <w:pPr>
        <w:pStyle w:val="FootnoteBulletLevel1"/>
        <w:tabs>
          <w:tab w:val="clear" w:pos="900"/>
          <w:tab w:val="left" w:pos="720"/>
        </w:tabs>
        <w:spacing w:before="0" w:after="0"/>
        <w:rPr>
          <w:rFonts w:ascii="Tahoma" w:hAnsi="Tahoma" w:cs="Tahoma"/>
        </w:rPr>
      </w:pPr>
    </w:p>
    <w:p w:rsidR="008B1196" w:rsidRPr="00EB4D74" w:rsidRDefault="008B1196" w:rsidP="008B1196">
      <w:pPr>
        <w:pStyle w:val="FootnoteBulletLevel1"/>
        <w:tabs>
          <w:tab w:val="clear" w:pos="900"/>
          <w:tab w:val="left" w:pos="720"/>
        </w:tabs>
        <w:spacing w:before="0" w:after="0"/>
        <w:rPr>
          <w:rFonts w:ascii="Tahoma" w:hAnsi="Tahoma" w:cs="Tahoma"/>
        </w:rPr>
      </w:pPr>
    </w:p>
    <w:p w:rsidR="008B1196" w:rsidRPr="00EB4D74" w:rsidRDefault="008B1196" w:rsidP="008B1196">
      <w:pPr>
        <w:pStyle w:val="Heading3"/>
        <w:rPr>
          <w:rFonts w:ascii="Tahoma" w:hAnsi="Tahoma" w:cs="Tahoma"/>
        </w:rPr>
      </w:pPr>
      <w:bookmarkStart w:id="1461" w:name="_86_System_Center"/>
      <w:bookmarkStart w:id="1462" w:name="_Toc336338355"/>
      <w:bookmarkStart w:id="1463" w:name="Srv_90SysCtrSvrMgmtSuiteDatacenter"/>
      <w:bookmarkStart w:id="1464" w:name="_Toc342914981"/>
      <w:bookmarkEnd w:id="1461"/>
      <w:bookmarkEnd w:id="1462"/>
      <w:bookmarkEnd w:id="1463"/>
      <w:r w:rsidRPr="00EB4D74">
        <w:rPr>
          <w:rFonts w:ascii="Tahoma" w:hAnsi="Tahoma" w:cs="Tahoma"/>
          <w:caps/>
          <w:color w:val="FF7415"/>
          <w:sz w:val="22"/>
          <w:vertAlign w:val="superscript"/>
          <w:lang w:val="pt-BR"/>
        </w:rPr>
        <w:t xml:space="preserve">87 </w:t>
      </w:r>
      <w:r w:rsidRPr="00EB4D74">
        <w:rPr>
          <w:rFonts w:ascii="Tahoma" w:hAnsi="Tahoma" w:cs="Tahoma"/>
          <w:color w:val="FF7415"/>
          <w:sz w:val="22"/>
          <w:lang w:val="pt-BR"/>
        </w:rPr>
        <w:t>System Center Server Management Suite Datacenter</w:t>
      </w:r>
      <w:bookmarkEnd w:id="1464"/>
    </w:p>
    <w:p w:rsidR="008B1196" w:rsidRPr="00EB4D74" w:rsidRDefault="008B1196" w:rsidP="008B1196">
      <w:pPr>
        <w:ind w:left="360"/>
        <w:rPr>
          <w:rFonts w:cs="Tahoma"/>
        </w:rPr>
      </w:pPr>
    </w:p>
    <w:p w:rsidR="008B1196" w:rsidRPr="00EB4D74" w:rsidRDefault="008B1196" w:rsidP="008B1196">
      <w:pPr>
        <w:pStyle w:val="EndnoteText"/>
        <w:ind w:left="720"/>
        <w:rPr>
          <w:rFonts w:ascii="Tahoma" w:hAnsi="Tahoma" w:cs="Tahoma"/>
          <w:lang w:val="it-IT"/>
        </w:rPr>
      </w:pPr>
      <w:r w:rsidRPr="00EB4D74">
        <w:rPr>
          <w:rFonts w:ascii="Tahoma" w:hAnsi="Tahoma" w:cs="Tahoma"/>
          <w:color w:val="000000"/>
          <w:sz w:val="18"/>
          <w:lang w:val="it-IT"/>
        </w:rPr>
        <w:t>Este produto encontra-se no status EOL (Fim da Vida Útil) e não será mais oferecido.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FootnoteBulletLevel1"/>
        <w:tabs>
          <w:tab w:val="clear" w:pos="900"/>
        </w:tabs>
        <w:spacing w:before="0" w:after="60"/>
        <w:ind w:left="720" w:firstLine="0"/>
        <w:rPr>
          <w:rFonts w:ascii="Tahoma" w:hAnsi="Tahoma" w:cs="Tahoma"/>
          <w:lang w:val="it-IT"/>
        </w:rPr>
      </w:pPr>
      <w:r w:rsidRPr="00EB4D74">
        <w:rPr>
          <w:rFonts w:ascii="Tahoma" w:hAnsi="Tahoma" w:cs="Tahoma"/>
          <w:b/>
          <w:sz w:val="18"/>
          <w:lang w:val="pt-BR"/>
        </w:rPr>
        <w:t>Detalhes da Outorga de Licença Transicional Única do System Center 2012</w:t>
      </w:r>
    </w:p>
    <w:p w:rsidR="008B1196" w:rsidRPr="00EB4D74" w:rsidRDefault="008B1196" w:rsidP="008B1196">
      <w:pPr>
        <w:ind w:left="720"/>
        <w:rPr>
          <w:rFonts w:cs="Tahoma"/>
          <w:lang w:val="it-IT"/>
        </w:rPr>
      </w:pPr>
      <w:r w:rsidRPr="00EB4D74">
        <w:rPr>
          <w:rFonts w:cs="Tahoma"/>
          <w:lang w:val="pt-BR"/>
        </w:rPr>
        <w:lastRenderedPageBreak/>
        <w:t>Consulte a nota do produto nas ofertas do System Center 2012 para obter detalhes sobre as outorgas de licença transicionais.</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lang w:val="pt-BR"/>
        </w:rPr>
        <w:t>O System Center Server Management Suite Datacenter é independente da versão e os direitos de uso de produto são determinados pelo status da cobertura do Software Assurance para o System Center Server Management Suite Datacenter. Se a cobertura for interrompida, os direitos de acesso sob as licenças perpétuas serão determinados com base nos direitos de uso de produto em vigor antes da interrupção.</w:t>
      </w:r>
    </w:p>
    <w:p w:rsidR="008B1196" w:rsidRPr="00EB4D74" w:rsidRDefault="008B1196" w:rsidP="008B1196">
      <w:pPr>
        <w:ind w:left="720"/>
        <w:rPr>
          <w:rFonts w:cs="Tahoma"/>
          <w:lang w:val="it-IT"/>
        </w:rPr>
      </w:pPr>
    </w:p>
    <w:p w:rsidR="008B1196" w:rsidRPr="00EB4D74" w:rsidRDefault="008B1196" w:rsidP="008B1196">
      <w:pPr>
        <w:ind w:left="720"/>
        <w:rPr>
          <w:rFonts w:cs="Tahoma"/>
          <w:lang w:val="pt-BR"/>
        </w:rPr>
      </w:pPr>
      <w:r w:rsidRPr="00EB4D74">
        <w:rPr>
          <w:rFonts w:cs="Tahoma"/>
          <w:color w:val="000000"/>
          <w:lang w:val="pt-BR"/>
        </w:rPr>
        <w:t>A partir de 1° de novembro de 2010, uma licença para o System Center Server Management Suite Datacenter com cobertura do Software Assurance ativa concederá direitos de gerenciamento de servidor para licenças de gerenciamento de servidor do System Center Enterprise para o Operations Manager 2007 R2, o Configuration Manager 2007 R3, o Data Protection Manager 2010, o Service Manager 2010 e o Virtual Machine Manager 2008 R2. Além disso, estará incluída a licença de servidor do Virtual Machine Manager 2008 R2 e do Data Protection Manager 2010. Consulte o PUR para obter informações sobre os direitos de uso.</w:t>
      </w:r>
    </w:p>
    <w:p w:rsidR="008B1196" w:rsidRPr="00EB4D74" w:rsidRDefault="008B1196" w:rsidP="008B1196">
      <w:pPr>
        <w:rPr>
          <w:rFonts w:cs="Tahoma"/>
          <w:lang w:val="pt-BR"/>
        </w:rPr>
      </w:pPr>
      <w:bookmarkStart w:id="1465" w:name="_90_System_Center"/>
      <w:bookmarkEnd w:id="1465"/>
    </w:p>
    <w:p w:rsidR="008B1196" w:rsidRPr="00EB4D74" w:rsidRDefault="008B1196" w:rsidP="008B1196">
      <w:pPr>
        <w:rPr>
          <w:rFonts w:cs="Tahoma"/>
          <w:lang w:val="pt-BR"/>
        </w:rPr>
      </w:pPr>
    </w:p>
    <w:p w:rsidR="008B1196" w:rsidRPr="00EB4D74" w:rsidRDefault="008B1196" w:rsidP="008B1196">
      <w:pPr>
        <w:pStyle w:val="Heading3"/>
        <w:ind w:left="243" w:hanging="243"/>
        <w:rPr>
          <w:rFonts w:ascii="Tahoma" w:hAnsi="Tahoma" w:cs="Tahoma"/>
          <w:lang w:val="it-IT"/>
        </w:rPr>
      </w:pPr>
      <w:bookmarkStart w:id="1466" w:name="_Toc336338356"/>
      <w:bookmarkStart w:id="1467" w:name="Srv_99SystemCtrServiceMgr2010"/>
      <w:bookmarkStart w:id="1468" w:name="Srv_92TechNetPlusSingleUser"/>
      <w:bookmarkStart w:id="1469" w:name="_Toc342914982"/>
      <w:bookmarkEnd w:id="1466"/>
      <w:bookmarkEnd w:id="1467"/>
      <w:bookmarkEnd w:id="1468"/>
      <w:r w:rsidRPr="00EB4D74">
        <w:rPr>
          <w:rFonts w:ascii="Tahoma" w:hAnsi="Tahoma" w:cs="Tahoma"/>
          <w:color w:val="FF6F0D"/>
          <w:sz w:val="22"/>
          <w:vertAlign w:val="superscript"/>
          <w:lang w:val="pt-BR"/>
        </w:rPr>
        <w:t>88</w:t>
      </w:r>
      <w:r w:rsidRPr="00EB4D74">
        <w:rPr>
          <w:rFonts w:ascii="Tahoma" w:hAnsi="Tahoma" w:cs="Tahoma"/>
          <w:color w:val="FF6F0D"/>
          <w:sz w:val="22"/>
          <w:lang w:val="pt-BR"/>
        </w:rPr>
        <w:t xml:space="preserve"> System Center Service Manager 2010 – Licenças de Gerenciamento de Servidor, Gerenciamento de Clientes e Servidor de Gerenciamento</w:t>
      </w:r>
      <w:bookmarkEnd w:id="1469"/>
    </w:p>
    <w:p w:rsidR="008B1196" w:rsidRPr="00EB4D74" w:rsidRDefault="008B1196" w:rsidP="008B1196">
      <w:pPr>
        <w:rPr>
          <w:rFonts w:cs="Tahoma"/>
          <w:lang w:val="it-IT"/>
        </w:rPr>
      </w:pPr>
    </w:p>
    <w:p w:rsidR="008B1196" w:rsidRPr="00EB4D74" w:rsidRDefault="008B1196" w:rsidP="008B1196">
      <w:pPr>
        <w:ind w:left="720"/>
        <w:rPr>
          <w:rFonts w:cs="Tahoma"/>
          <w:lang w:val="it-IT"/>
        </w:rPr>
      </w:pPr>
      <w:r w:rsidRPr="00EB4D74">
        <w:rPr>
          <w:rFonts w:cs="Tahoma"/>
          <w:lang w:val="pt-BR"/>
        </w:rPr>
        <w:t>Estes produtos encontram-se no status EOL (Fim da Vida Útil) e não serão mais oferecidos.</w:t>
      </w:r>
    </w:p>
    <w:p w:rsidR="008B1196" w:rsidRPr="00EB4D74" w:rsidRDefault="008B1196" w:rsidP="008B1196">
      <w:pPr>
        <w:ind w:left="720"/>
        <w:rPr>
          <w:rFonts w:cs="Tahoma"/>
          <w:lang w:val="it-IT"/>
        </w:rPr>
      </w:pPr>
    </w:p>
    <w:p w:rsidR="008B1196" w:rsidRPr="00EB4D74" w:rsidRDefault="008B1196" w:rsidP="008B1196">
      <w:pPr>
        <w:adjustRightInd w:val="0"/>
        <w:spacing w:after="60"/>
        <w:ind w:left="720"/>
        <w:textAlignment w:val="baseline"/>
        <w:rPr>
          <w:rFonts w:cs="Tahoma"/>
          <w:lang w:val="it-IT"/>
        </w:rPr>
      </w:pPr>
      <w:r w:rsidRPr="00EB4D74">
        <w:rPr>
          <w:rFonts w:cs="Tahoma"/>
          <w:b/>
          <w:lang w:val="pt-BR"/>
        </w:rPr>
        <w:t>Detalhes da Outorga de Licença Transicional Única do System Center 2012</w:t>
      </w:r>
    </w:p>
    <w:p w:rsidR="008B1196" w:rsidRPr="00EB4D74" w:rsidRDefault="008B1196" w:rsidP="008B1196">
      <w:pPr>
        <w:ind w:left="720"/>
        <w:rPr>
          <w:rFonts w:cs="Tahoma"/>
          <w:lang w:val="it-IT"/>
        </w:rPr>
      </w:pPr>
      <w:r w:rsidRPr="00EB4D74">
        <w:rPr>
          <w:rFonts w:cs="Tahoma"/>
          <w:lang w:val="pt-BR"/>
        </w:rPr>
        <w:t>Consulte a nota do produto nas ofertas do System Center 2012 para obter detalhes sobre as outorgas de licença transicionais.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ind w:left="243" w:hanging="243"/>
        <w:rPr>
          <w:rFonts w:ascii="Tahoma" w:hAnsi="Tahoma" w:cs="Tahoma"/>
          <w:sz w:val="22"/>
          <w:szCs w:val="22"/>
          <w:lang w:val="it-IT"/>
        </w:rPr>
      </w:pPr>
      <w:bookmarkStart w:id="1470" w:name="_Toc336338357"/>
      <w:bookmarkStart w:id="1471" w:name="Srv_100SysCenterVMM2008R2"/>
      <w:bookmarkStart w:id="1472" w:name="_89_System_Center"/>
      <w:bookmarkStart w:id="1473" w:name="_Toc342914983"/>
      <w:bookmarkEnd w:id="1470"/>
      <w:bookmarkEnd w:id="1471"/>
      <w:bookmarkEnd w:id="1472"/>
      <w:r w:rsidRPr="00EB4D74">
        <w:rPr>
          <w:rFonts w:ascii="Tahoma" w:hAnsi="Tahoma" w:cs="Tahoma"/>
          <w:color w:val="FF6F0D"/>
          <w:sz w:val="22"/>
          <w:szCs w:val="22"/>
          <w:vertAlign w:val="superscript"/>
          <w:lang w:val="pt-BR"/>
        </w:rPr>
        <w:t>89</w:t>
      </w:r>
      <w:r w:rsidRPr="00EB4D74">
        <w:rPr>
          <w:rFonts w:ascii="Tahoma" w:hAnsi="Tahoma" w:cs="Tahoma"/>
          <w:color w:val="FF6F0D"/>
          <w:sz w:val="22"/>
          <w:szCs w:val="22"/>
          <w:lang w:val="pt-BR"/>
        </w:rPr>
        <w:t xml:space="preserve"> System Center Virtual Machine Manager 2008 R2 – Licenças de Gerenciamento de Servidor e Cliente</w:t>
      </w:r>
      <w:bookmarkEnd w:id="1473"/>
    </w:p>
    <w:p w:rsidR="008B1196" w:rsidRPr="00EB4D74" w:rsidRDefault="008B1196" w:rsidP="008B1196">
      <w:pPr>
        <w:rPr>
          <w:rFonts w:cs="Tahoma"/>
          <w:lang w:val="it-IT"/>
        </w:rPr>
      </w:pPr>
    </w:p>
    <w:p w:rsidR="008B1196" w:rsidRPr="00EB4D74" w:rsidRDefault="008B1196" w:rsidP="008B1196">
      <w:pPr>
        <w:ind w:left="720"/>
        <w:rPr>
          <w:rFonts w:cs="Tahoma"/>
          <w:lang w:val="it-IT"/>
        </w:rPr>
      </w:pPr>
      <w:r w:rsidRPr="00EB4D74">
        <w:rPr>
          <w:rFonts w:cs="Tahoma"/>
          <w:lang w:val="pt-BR"/>
        </w:rPr>
        <w:t>Estes produtos encontram-se no status EOL (Fim da Vida Útil) e não serão mais oferecidos.</w:t>
      </w:r>
    </w:p>
    <w:p w:rsidR="008B1196" w:rsidRPr="00EB4D74" w:rsidRDefault="008B1196" w:rsidP="008B1196">
      <w:pPr>
        <w:ind w:left="720"/>
        <w:rPr>
          <w:rFonts w:cs="Tahoma"/>
          <w:lang w:val="it-IT"/>
        </w:rPr>
      </w:pPr>
    </w:p>
    <w:p w:rsidR="008B1196" w:rsidRPr="00EB4D74" w:rsidRDefault="008B1196" w:rsidP="008B1196">
      <w:pPr>
        <w:adjustRightInd w:val="0"/>
        <w:spacing w:after="60"/>
        <w:ind w:left="720"/>
        <w:textAlignment w:val="baseline"/>
        <w:rPr>
          <w:rFonts w:cs="Tahoma"/>
          <w:lang w:val="it-IT"/>
        </w:rPr>
      </w:pPr>
      <w:r w:rsidRPr="00EB4D74">
        <w:rPr>
          <w:rFonts w:cs="Tahoma"/>
          <w:b/>
          <w:lang w:val="pt-BR"/>
        </w:rPr>
        <w:t>Detalhes da Outorga de Licença Transicional Única do System Center 2012</w:t>
      </w:r>
    </w:p>
    <w:p w:rsidR="008B1196" w:rsidRPr="00EB4D74" w:rsidRDefault="008B1196" w:rsidP="008B1196">
      <w:pPr>
        <w:ind w:left="720"/>
        <w:rPr>
          <w:rFonts w:cs="Tahoma"/>
          <w:lang w:val="it-IT"/>
        </w:rPr>
      </w:pPr>
      <w:bookmarkStart w:id="1474" w:name="_Toc336338358"/>
      <w:r w:rsidRPr="00EB4D74">
        <w:rPr>
          <w:rFonts w:cs="Tahoma"/>
          <w:lang w:val="pt-BR"/>
        </w:rPr>
        <w:t>Consulte a nota do produto nas ofertas do System Center 2012 para obter detalhes sobre as outorgas de licença transicionais.</w:t>
      </w:r>
    </w:p>
    <w:p w:rsidR="008B1196" w:rsidRPr="00EB4D74" w:rsidRDefault="008B1196" w:rsidP="008B1196">
      <w:pPr>
        <w:rPr>
          <w:rFonts w:cs="Tahoma"/>
          <w:lang w:val="it-IT"/>
        </w:rPr>
      </w:pPr>
    </w:p>
    <w:p w:rsidR="008B1196" w:rsidRPr="00EB4D74" w:rsidRDefault="008B1196" w:rsidP="008B1196">
      <w:pPr>
        <w:rPr>
          <w:rFonts w:cs="Tahoma"/>
          <w:lang w:val="it-IT"/>
        </w:rPr>
      </w:pPr>
    </w:p>
    <w:p w:rsidR="008B1196" w:rsidRPr="00EB4D74" w:rsidRDefault="008B1196" w:rsidP="008B1196">
      <w:pPr>
        <w:pStyle w:val="Heading3"/>
        <w:rPr>
          <w:rFonts w:ascii="Tahoma" w:hAnsi="Tahoma" w:cs="Tahoma"/>
        </w:rPr>
      </w:pPr>
      <w:bookmarkStart w:id="1475" w:name="Srv_101SystemCenter2012"/>
      <w:bookmarkStart w:id="1476" w:name="_Toc342914984"/>
      <w:bookmarkEnd w:id="1474"/>
      <w:bookmarkEnd w:id="1475"/>
      <w:r w:rsidRPr="00EB4D74">
        <w:rPr>
          <w:rFonts w:ascii="Tahoma" w:hAnsi="Tahoma" w:cs="Tahoma"/>
          <w:color w:val="FF6F0D"/>
          <w:sz w:val="22"/>
          <w:vertAlign w:val="superscript"/>
          <w:lang w:val="pt-BR"/>
        </w:rPr>
        <w:t xml:space="preserve">90 </w:t>
      </w:r>
      <w:r w:rsidRPr="00EB4D74">
        <w:rPr>
          <w:rFonts w:ascii="Tahoma" w:hAnsi="Tahoma" w:cs="Tahoma"/>
          <w:color w:val="FF6F0D"/>
          <w:sz w:val="22"/>
          <w:lang w:val="pt-BR"/>
        </w:rPr>
        <w:t>System Center 2012</w:t>
      </w:r>
      <w:bookmarkEnd w:id="1476"/>
    </w:p>
    <w:p w:rsidR="008B1196" w:rsidRPr="00EB4D74" w:rsidRDefault="008B1196" w:rsidP="008B1196">
      <w:pPr>
        <w:rPr>
          <w:rFonts w:cs="Tahoma"/>
        </w:rPr>
      </w:pPr>
    </w:p>
    <w:p w:rsidR="008B1196" w:rsidRPr="00EB4D74" w:rsidRDefault="008B1196" w:rsidP="008B1196">
      <w:pPr>
        <w:ind w:left="720"/>
        <w:rPr>
          <w:rFonts w:cs="Tahoma"/>
          <w:lang w:val="it-IT"/>
        </w:rPr>
      </w:pPr>
      <w:r w:rsidRPr="00EB4D74">
        <w:rPr>
          <w:rFonts w:cs="Tahoma"/>
          <w:color w:val="000000"/>
          <w:szCs w:val="24"/>
          <w:lang w:val="pt-BR"/>
        </w:rPr>
        <w:t xml:space="preserve">As versões posteriores do System Center Data Protection Manager 2010, System Center Operations Manager 2008 R2, System Center Service Manager 2010 e System Center Virtual Machine Manager 2008 R2 não serão disponíveis. Da mesma forma, versões posteriores do System Center Configuration Manager 2007 R3 não estarão disponíveis sob licenças de software separadas ou licenças de gerenciamento de servidores. </w:t>
      </w:r>
      <w:r w:rsidRPr="00EB4D74">
        <w:rPr>
          <w:rFonts w:cs="Tahoma"/>
          <w:color w:val="000000"/>
          <w:lang w:val="pt-BR"/>
        </w:rPr>
        <w:t>Como uma exceção, mediante a disponibilidade do System Center 2012, aos clientes do Software Assurance ativo que tiveram cobertura nas licenças de gerenciamento e de software correspondendo a esses produtos em 1º de abril de 2012 serão fornecidas licenças para atualizar e usar o software Systems Center 2012 em vez desses produtos como pode ser visto a seguir.</w:t>
      </w:r>
    </w:p>
    <w:p w:rsidR="008B1196" w:rsidRPr="00EB4D74" w:rsidRDefault="008B1196" w:rsidP="008B1196">
      <w:pPr>
        <w:ind w:left="900"/>
        <w:rPr>
          <w:rFonts w:cs="Tahoma"/>
          <w:lang w:val="it-IT"/>
        </w:rPr>
      </w:pPr>
    </w:p>
    <w:p w:rsidR="008B1196" w:rsidRPr="00EB4D74" w:rsidRDefault="008B1196" w:rsidP="008B1196">
      <w:pPr>
        <w:ind w:left="900"/>
        <w:rPr>
          <w:rFonts w:cs="Tahoma"/>
          <w:lang w:val="it-IT"/>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8B1196" w:rsidRPr="00EB4D74" w:rsidTr="00EA30FC">
        <w:trPr>
          <w:tblHeader/>
        </w:trPr>
        <w:tc>
          <w:tcPr>
            <w:tcW w:w="396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b/>
                <w:color w:val="000000"/>
                <w:szCs w:val="20"/>
                <w:lang w:val="pt-BR"/>
              </w:rPr>
              <w:t>Licenças Qualificadas</w:t>
            </w:r>
          </w:p>
        </w:tc>
        <w:tc>
          <w:tcPr>
            <w:tcW w:w="405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b/>
                <w:color w:val="000000"/>
                <w:szCs w:val="20"/>
                <w:lang w:val="pt-BR"/>
              </w:rPr>
              <w:t>Licenças do System Center 2012:</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Client Management Suite (ML de Cliente) por OSE</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OSE</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Client Management Suite (ML de Cliente) por Usuário</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Usuário</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Configuration Manager 2007 R3</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lastRenderedPageBreak/>
              <w:t>Licença de Gerenciamento de Cliente do System Center Configuration Manager 2007 R3 (ML do Cliente) por OSE</w:t>
            </w:r>
          </w:p>
        </w:tc>
        <w:tc>
          <w:tcPr>
            <w:tcW w:w="4050" w:type="dxa"/>
            <w:shd w:val="clear" w:color="auto" w:fill="FFFFFF"/>
          </w:tcPr>
          <w:p w:rsidR="008B1196" w:rsidRPr="00EB4D74" w:rsidRDefault="008B1196" w:rsidP="00EA30FC">
            <w:pPr>
              <w:rPr>
                <w:rFonts w:cs="Tahoma"/>
                <w:color w:val="000000"/>
                <w:szCs w:val="20"/>
              </w:rPr>
            </w:pPr>
            <w:r w:rsidRPr="00EB4D74">
              <w:rPr>
                <w:rFonts w:cs="Tahoma"/>
                <w:lang w:val="pt-BR"/>
              </w:rPr>
              <w:t>1 Licença de Gerenciamento de Cliente do System Center 2012 Configuration Manager (ML do Cliente) por OSE</w:t>
            </w:r>
          </w:p>
        </w:tc>
      </w:tr>
      <w:tr w:rsidR="008B1196" w:rsidRPr="00EB4D74" w:rsidTr="00EA30FC">
        <w:trPr>
          <w:cantSplit/>
        </w:trPr>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Cliente do System Center Configuration Manager 2007 R3 (ML de Cliente) por Usuário</w:t>
            </w:r>
          </w:p>
        </w:tc>
        <w:tc>
          <w:tcPr>
            <w:tcW w:w="4050" w:type="dxa"/>
            <w:shd w:val="clear" w:color="auto" w:fill="FFFFFF"/>
          </w:tcPr>
          <w:p w:rsidR="008B1196" w:rsidRPr="00EB4D74" w:rsidRDefault="008B1196" w:rsidP="00EA30FC">
            <w:pPr>
              <w:rPr>
                <w:rFonts w:cs="Tahoma"/>
                <w:color w:val="000000"/>
                <w:szCs w:val="20"/>
              </w:rPr>
            </w:pPr>
            <w:r w:rsidRPr="00EB4D74">
              <w:rPr>
                <w:rFonts w:cs="Tahoma"/>
                <w:lang w:val="pt-BR"/>
              </w:rPr>
              <w:t>1 Licença de Gerenciamento de Cliente do System Center 2012 Configuration Manager (ML de Cliente) por Usuário</w:t>
            </w:r>
          </w:p>
        </w:tc>
      </w:tr>
      <w:tr w:rsidR="008B1196" w:rsidRPr="00EB4D74" w:rsidTr="00EA30FC">
        <w:tc>
          <w:tcPr>
            <w:tcW w:w="3960" w:type="dxa"/>
            <w:shd w:val="clear" w:color="auto" w:fill="FFFFFF"/>
          </w:tcPr>
          <w:p w:rsidR="008B1196" w:rsidRPr="00EB4D74" w:rsidRDefault="008B1196" w:rsidP="00EA30FC">
            <w:pPr>
              <w:rPr>
                <w:rFonts w:cs="Tahoma"/>
                <w:color w:val="000000"/>
                <w:szCs w:val="20"/>
                <w:lang w:val="it-IT"/>
              </w:rPr>
            </w:pPr>
            <w:r w:rsidRPr="00EB4D74">
              <w:rPr>
                <w:rFonts w:cs="Tahoma"/>
                <w:color w:val="000000"/>
                <w:lang w:val="pt-BR"/>
              </w:rPr>
              <w:t>Licença de Gerenciamento de Cliente (ML de Cliente) do System Center Configuration Manager 2007 R3 (Somente para Aluno)*</w:t>
            </w:r>
          </w:p>
        </w:tc>
        <w:tc>
          <w:tcPr>
            <w:tcW w:w="4050" w:type="dxa"/>
            <w:shd w:val="clear" w:color="auto" w:fill="FFFFFF"/>
          </w:tcPr>
          <w:p w:rsidR="008B1196" w:rsidRPr="00EB4D74" w:rsidRDefault="008B1196" w:rsidP="00EA30FC">
            <w:pPr>
              <w:rPr>
                <w:rFonts w:cs="Tahoma"/>
                <w:color w:val="000000"/>
                <w:szCs w:val="20"/>
                <w:lang w:val="it-IT"/>
              </w:rPr>
            </w:pPr>
            <w:r w:rsidRPr="00EB4D74">
              <w:rPr>
                <w:rFonts w:cs="Tahoma"/>
                <w:lang w:val="pt-BR"/>
              </w:rPr>
              <w:t>1 Licença de Gerenciamento de Cliente (ML de Cliente) do System Center 2012 Configuration Manager (Somente para Aluno)*</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Enterprise do System Center Configuration Manager 2007 R3</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Standard do System Center Configuration Manager 2007 R3</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Configuration Manager 2007 R3 com Tecnologia SQL Server 2008</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Cliente do System Center Data Protection Manager 2010 por Usuário</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Usuário</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Cliente do System Center Data Protection Manager 2010 por OSE</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OSE</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Enterprise do System Center Data Protection Manager 2010</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Standard do System Center Data Protection Manager 2010</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Operations Manager 2007 R2</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Operations Manager 2007 R2 com Tecnologia SQL Server 2008</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Standard do System Center Operations Manager 2007 R2</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Enterprise do System Center Operations Manager 2007 R2</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Cliente do System Center Operations Manager 2007 R2 por OSE</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OSE</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Cliente do System Center Operations Manager 2007 R2 por Usuário</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Usuário</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Server Management Suite Enterprise</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2 Licenças de Gerenciamento do System Center 2012 Standard Server (MLs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Server Management Suite Datacenter</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Datacenter Server (ML de Servidor) para cada 2 licenças de qualificação do System Center Server Management Suite Datacenter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Service Manager 2010</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System Center Service Manager 2010 com Tecnologia SQL Server 2008</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 xml:space="preserve">Licença de Gerenciamento de Cliente (ML de </w:t>
            </w:r>
            <w:r w:rsidRPr="00EB4D74">
              <w:rPr>
                <w:rFonts w:cs="Tahoma"/>
                <w:color w:val="000000"/>
                <w:szCs w:val="20"/>
                <w:lang w:val="pt-BR"/>
              </w:rPr>
              <w:lastRenderedPageBreak/>
              <w:t>Cliente) do System Center Service Manager 2010 por OSE</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lastRenderedPageBreak/>
              <w:t xml:space="preserve">1 System Center 2012 Client Management Suite </w:t>
            </w:r>
            <w:r w:rsidRPr="00EB4D74">
              <w:rPr>
                <w:rFonts w:cs="Tahoma"/>
                <w:color w:val="000000"/>
                <w:szCs w:val="20"/>
                <w:lang w:val="pt-BR"/>
              </w:rPr>
              <w:lastRenderedPageBreak/>
              <w:t>(ML de Cliente) por OSE</w:t>
            </w:r>
          </w:p>
        </w:tc>
      </w:tr>
      <w:tr w:rsidR="008B1196" w:rsidRPr="00EB4D74" w:rsidTr="00EA30FC">
        <w:trPr>
          <w:cantSplit/>
        </w:trPr>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lastRenderedPageBreak/>
              <w:t>Licença de Gerenciamento de Cliente (ML de Cliente) do System Center Service Manager 2010 por Usuário</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System Center 2012 Client Management Suite (ML de Cliente) por Usuário</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do System Center Service Manager 2010 (ML do Servidor)</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Standard Server (ML de Servidor)</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Cliente do System Center Virtual Machine Manager 2008 R2 por OSE</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de Cliente do System Center Configuration Manager (ML de Cliente) por OSE</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lang w:val="pt-BR"/>
              </w:rPr>
              <w:t>Licença de Gerenciamento de Cliente do System Center Virtual Machine Manager 2008 R2 por Usuário</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de Cliente do System Center Configuration Manager (ML do Cliente) por Usuário</w:t>
            </w:r>
          </w:p>
        </w:tc>
      </w:tr>
      <w:tr w:rsidR="008B1196" w:rsidRPr="00EB4D74" w:rsidTr="00EA30FC">
        <w:tc>
          <w:tcPr>
            <w:tcW w:w="3960" w:type="dxa"/>
            <w:tcBorders>
              <w:bottom w:val="single" w:sz="4" w:space="0" w:color="000000"/>
            </w:tcBorders>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Licença de Gerenciamento de Servidor Enterprise do System Center Virtual Machine Manager 2008 R2</w:t>
            </w:r>
          </w:p>
        </w:tc>
        <w:tc>
          <w:tcPr>
            <w:tcW w:w="4050" w:type="dxa"/>
            <w:tcBorders>
              <w:bottom w:val="single" w:sz="4" w:space="0" w:color="000000"/>
            </w:tcBorders>
            <w:shd w:val="clear" w:color="auto" w:fill="FFFFFF"/>
          </w:tcPr>
          <w:p w:rsidR="008B1196" w:rsidRPr="00EB4D74" w:rsidRDefault="008B1196" w:rsidP="00EA30FC">
            <w:pPr>
              <w:rPr>
                <w:rFonts w:cs="Tahoma"/>
                <w:color w:val="000000"/>
                <w:szCs w:val="20"/>
              </w:rPr>
            </w:pPr>
            <w:r w:rsidRPr="00EB4D74">
              <w:rPr>
                <w:rFonts w:cs="Tahoma"/>
                <w:color w:val="000000"/>
                <w:szCs w:val="20"/>
                <w:lang w:val="pt-BR"/>
              </w:rPr>
              <w:t>1 Licença de Gerenciamento do System Center 2012 Datacenter Server (ML de Servidor)</w:t>
            </w:r>
          </w:p>
        </w:tc>
      </w:tr>
    </w:tbl>
    <w:p w:rsidR="008B1196" w:rsidRPr="00EB4D74" w:rsidRDefault="008B1196" w:rsidP="008B1196">
      <w:pPr>
        <w:ind w:left="720"/>
        <w:rPr>
          <w:rFonts w:cs="Tahoma"/>
          <w:lang w:val="it-IT"/>
        </w:rPr>
      </w:pPr>
      <w:r w:rsidRPr="00EB4D74">
        <w:rPr>
          <w:rFonts w:cs="Tahoma"/>
          <w:i/>
          <w:vertAlign w:val="superscript"/>
          <w:lang w:val="pt-BR"/>
        </w:rPr>
        <w:t>*</w:t>
      </w:r>
      <w:r w:rsidRPr="00EB4D74">
        <w:rPr>
          <w:rFonts w:cs="Tahoma"/>
          <w:i/>
          <w:lang w:val="pt-BR"/>
        </w:rPr>
        <w:t xml:space="preserve"> As MLs de Cliente Somente para Aluno estão disponíveis a PCs de propriedade de um aluno ou de uma instituição licenciados dedicados a um aluno individual somente e não se destinam ao uso em laboratórios ou salas de aula</w:t>
      </w:r>
    </w:p>
    <w:p w:rsidR="008B1196" w:rsidRPr="00EB4D74" w:rsidRDefault="008B1196" w:rsidP="008B1196">
      <w:pPr>
        <w:ind w:left="720"/>
        <w:rPr>
          <w:rFonts w:cs="Tahoma"/>
          <w:lang w:val="it-IT"/>
        </w:rPr>
      </w:pPr>
    </w:p>
    <w:p w:rsidR="008B1196" w:rsidRPr="00EB4D74" w:rsidRDefault="008B1196" w:rsidP="008B1196">
      <w:pPr>
        <w:ind w:left="720"/>
        <w:rPr>
          <w:rFonts w:cs="Tahoma"/>
          <w:lang w:val="pt-BR"/>
        </w:rPr>
      </w:pPr>
      <w:r w:rsidRPr="00EB4D74">
        <w:rPr>
          <w:rFonts w:cs="Tahoma"/>
          <w:color w:val="000000"/>
          <w:lang w:val="pt-BR"/>
        </w:rPr>
        <w:t>Todas as licenças concedidas sob esta oferta incluirão cobertura do Software Assurance. Essa cobertura se encerrará no término da cobertura de qualificação de Software Assurance correspondente. Ao término dessa cobertura, os clientes poderão renovar o Software Assurance sobre as licenças outorgadas.</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color w:val="000000"/>
          <w:lang w:val="pt-BR"/>
        </w:rPr>
        <w:t>O uso do software por um cliente sob esta oferta está sujeito aos termos e condições de seu contrato de licença e aos direitos de uso de produto relacionados ao software. O direito de usar o software expira quando o direito de usar o software sob a licença de qualificação expirar. A evidência de suas licenças de qualificação e esta Nota do Produto evidenciarão o direito do cliente de usar o System Center 2012 sob os termos desta oferta. O cliente não terá mais o direito de usar o software sob licenças de qualificação atribuídas ao servidor mediante sua atualização para o System Center 2012. Os clientes não poderão transferir as licenças concedidas sob esta oferta separadamente das licenças de qualificação correspondentes.</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Para Clientes Enterprise</w:t>
      </w:r>
    </w:p>
    <w:p w:rsidR="008B1196" w:rsidRPr="00EB4D74" w:rsidRDefault="008B1196" w:rsidP="008B1196">
      <w:pPr>
        <w:ind w:left="720"/>
        <w:rPr>
          <w:rFonts w:cs="Tahoma"/>
          <w:lang w:val="pt-BR"/>
        </w:rPr>
      </w:pPr>
      <w:r w:rsidRPr="00EB4D74">
        <w:rPr>
          <w:rFonts w:cs="Tahoma"/>
          <w:color w:val="000000"/>
          <w:lang w:val="pt-BR"/>
        </w:rPr>
        <w:t>As licenças* adquiridas em ou antes do primeiro aniversário de uma data de início de vigência do registro do cliente depois de 17 de janeiro de 2012 como parta qualificação de um processo anual de adequação (“true-up”) de um cliente para a outorga de licença descrita acima. As Licenças adquiridas após esta data não estão qualificadas para uma outorga de licenças do System Center 2012 para essa oferta.</w:t>
      </w:r>
    </w:p>
    <w:p w:rsidR="008B1196" w:rsidRPr="00EB4D74" w:rsidRDefault="008B1196" w:rsidP="008B1196">
      <w:pPr>
        <w:ind w:left="720"/>
        <w:rPr>
          <w:rFonts w:cs="Tahoma"/>
          <w:lang w:val="pt-BR"/>
        </w:rPr>
      </w:pPr>
    </w:p>
    <w:p w:rsidR="008B1196" w:rsidRPr="00EB4D74" w:rsidRDefault="008B1196" w:rsidP="008B1196">
      <w:pPr>
        <w:ind w:left="720"/>
        <w:rPr>
          <w:rFonts w:cs="Tahoma"/>
        </w:rPr>
      </w:pPr>
      <w:r w:rsidRPr="00EB4D74">
        <w:rPr>
          <w:rFonts w:cs="Tahoma"/>
          <w:b/>
          <w:color w:val="000000"/>
          <w:vertAlign w:val="superscript"/>
          <w:lang w:val="pt-BR"/>
        </w:rPr>
        <w:t>*</w:t>
      </w:r>
      <w:r w:rsidRPr="00EB4D74">
        <w:rPr>
          <w:rFonts w:cs="Tahoma"/>
          <w:color w:val="000000"/>
          <w:lang w:val="pt-BR"/>
        </w:rPr>
        <w:t>Para o System Center Server Management Suite Enterprise, System Center Server Management Suite Datacenter, System Center Client Management Suite e System Center Configuration Manager Client Management License, todas as licenças compradas até o final da qualificação do contrato para concessão.</w:t>
      </w:r>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Para Enterprise Subscription, Campus e School (incluindo Enrollment for Education Solutions) e Clientes Open Value Subscription</w:t>
      </w:r>
    </w:p>
    <w:p w:rsidR="008B1196" w:rsidRPr="00EB4D74" w:rsidRDefault="008B1196" w:rsidP="008B1196">
      <w:pPr>
        <w:ind w:left="720"/>
        <w:rPr>
          <w:rFonts w:cs="Tahoma"/>
        </w:rPr>
      </w:pPr>
      <w:r w:rsidRPr="00EB4D74">
        <w:rPr>
          <w:rFonts w:cs="Tahoma"/>
          <w:color w:val="000000"/>
          <w:lang w:val="pt-BR"/>
        </w:rPr>
        <w:t>As Licenças são concedidas sob os mesmos termos, mas não em uma base temporária no final do registro Enterprise Subscription, Campus e School ou contrato Open Value Subscription ou ainda o termo Enrollment for Education Solutions, contanto que o cliente mantenha uma cobertura contínua da assinatura. Os clientes que optam por licenças de compra possuem duas opções.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t>Opção 1: adquirir licenças para produtos do System Center correspondendo às licenças de qualificação do cliente. Nesta opção, o cliente não estará mais qualificado para adicionar o Software Assurance à licença ou usar o System Center 2012 ou qualquer versão posterior do software System Center.</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color w:val="000000"/>
          <w:lang w:val="pt-BR"/>
        </w:rPr>
        <w:t xml:space="preserve">Opção 2: </w:t>
      </w:r>
      <w:r w:rsidRPr="00EB4D74">
        <w:rPr>
          <w:rFonts w:cs="Tahoma"/>
          <w:bCs/>
          <w:color w:val="000000"/>
          <w:szCs w:val="18"/>
          <w:lang w:val="pt-BR"/>
        </w:rPr>
        <w:t xml:space="preserve">adquirir licenças do System Center 2012 correspondendo às licenças de qualificação do cliente. </w:t>
      </w:r>
      <w:r w:rsidRPr="00EB4D74">
        <w:rPr>
          <w:rFonts w:cs="Tahoma"/>
          <w:color w:val="000000"/>
          <w:lang w:val="pt-BR"/>
        </w:rPr>
        <w:t>Nesta opção, o cliente estará qualificado para adicionar Software Assurance.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spacing w:after="60"/>
        <w:ind w:left="720"/>
        <w:rPr>
          <w:rFonts w:cs="Tahoma"/>
        </w:rPr>
      </w:pPr>
      <w:r w:rsidRPr="00EB4D74">
        <w:rPr>
          <w:rFonts w:cs="Tahoma"/>
          <w:b/>
          <w:color w:val="000000"/>
          <w:lang w:val="pt-BR"/>
        </w:rPr>
        <w:t>Outorga de Licença Alternativa Padrão do System Center 2012 para Clientes com Servidores com Mais de Dois Processadores</w:t>
      </w:r>
    </w:p>
    <w:p w:rsidR="008B1196" w:rsidRPr="00EB4D74" w:rsidRDefault="008B1196" w:rsidP="008B1196">
      <w:pPr>
        <w:ind w:left="720"/>
        <w:rPr>
          <w:rFonts w:cs="Tahoma"/>
          <w:lang w:val="pt-BR"/>
        </w:rPr>
      </w:pPr>
      <w:r w:rsidRPr="00EB4D74">
        <w:rPr>
          <w:rFonts w:cs="Tahoma"/>
          <w:szCs w:val="18"/>
          <w:lang w:val="pt-BR"/>
        </w:rPr>
        <w:t xml:space="preserve">Cada ML de Servidor do System Center 2012 Standard abrange até dois processadores em um servidor físico. Os clientes com licenças de qualificação atribuídas aos servidores com mais de dois processadores a partir de 1º de abril de 2012 ou o primeiro aniversário do cliente depois de 17 de janeiro de 2012 poderá optar por uma concessão alternativa de uma série de MLs de Servidor do System Center 2012 Standard igual ao número de processadores físicos do servidor gerenciado dividido por dois. O servidor deverá estar totalmente licenciado para permitir o gerenciamento de ambientes do sistema operacional naquele servidor sob os termos das licenças de qualificação no momento da concessão. Essa concessão alternativa garante que os servidores do cliente permaneçam totalmente qualificados por meio da transição. O cliente deverá documentar o número de processadores físicos no servidor gerenciado usando a ferramenta Microsoft MAP ou qualquer software equivalente. Esta documentação junto com a evidência de suas licenças de qualificação e esta Nota do Produto evidenciarão o direito do cliente de usar o System Center 2012 sob os termos desta oferta. </w:t>
      </w:r>
      <w:r w:rsidRPr="00EB4D74">
        <w:rPr>
          <w:rFonts w:cs="Tahoma"/>
          <w:lang w:val="pt-BR"/>
        </w:rPr>
        <w:t>O cliente não terá mais o direito de usar o software sob licenças de qualificação atribuídas ao servidor mediante sua atualização para o System Center 2012. Os clientes não poderão transferir as licenças concedidas sob esta oferta separadamente das licenças de qualificação correspondentes.</w:t>
      </w:r>
    </w:p>
    <w:p w:rsidR="008B1196" w:rsidRPr="00EB4D74" w:rsidRDefault="008B1196" w:rsidP="008B1196">
      <w:pPr>
        <w:tabs>
          <w:tab w:val="left" w:pos="2970"/>
        </w:tabs>
        <w:ind w:left="720"/>
        <w:contextualSpacing/>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Outorga de Licença Alternativa do System Center 2012 Datacenter para Clientes com licenças de qualificação para Virtual Machine Manager (ML do Servidor do VMM Enterprise)</w:t>
      </w:r>
    </w:p>
    <w:p w:rsidR="008B1196" w:rsidRPr="00EB4D74" w:rsidRDefault="008B1196" w:rsidP="008B1196">
      <w:pPr>
        <w:tabs>
          <w:tab w:val="left" w:pos="2970"/>
        </w:tabs>
        <w:ind w:left="720"/>
        <w:contextualSpacing/>
        <w:rPr>
          <w:rFonts w:cs="Tahoma"/>
          <w:spacing w:val="-4"/>
          <w:lang w:val="pt-BR"/>
        </w:rPr>
      </w:pPr>
      <w:r w:rsidRPr="00EB4D74">
        <w:rPr>
          <w:rFonts w:cs="Tahoma"/>
          <w:spacing w:val="-4"/>
          <w:szCs w:val="18"/>
          <w:lang w:val="pt-BR"/>
        </w:rPr>
        <w:t xml:space="preserve">Os clientes com MLs de qualificação do VMM Enterprise Server atribuídas aos servidores com mais de dois processadores a partir de 1º de abril de 2012 ou o primeiro aniversário do cliente depois de 17 de janeiro de 2012 poderá optar por uma concessão alternativa de uma série de MLs de Servidor do System Center 2012 Datacenter igual ao número de processadores físicos do servidor gerenciado dividido por dois. Essa concessão alternativa garante que os servidores do cliente permaneçam totalmente qualificados por meio da transição. O cliente deverá documentar o número de processadores físicos no servidor gerenciado usando a ferramenta Microsoft MAP ou qualquer software equivalente. Esta documentação junto com a evidência de suas licenças de qualificação e esta Nota do Produto evidenciarão o direito do cliente de usar o System Center 2012 sob os termos desta oferta. </w:t>
      </w:r>
      <w:r w:rsidRPr="00EB4D74">
        <w:rPr>
          <w:rFonts w:cs="Tahoma"/>
          <w:spacing w:val="-4"/>
          <w:lang w:val="pt-BR"/>
        </w:rPr>
        <w:t>O cliente não terá mais o direito de usar o software sob licença de qualificação atribuída ao servidor mediante sua atualização para o System Center 2012. Os clientes não poderão transferir as licenças concedidas sob esta oferta separadamente das licenças de qualificação correspondentes.</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color w:val="000000"/>
          <w:lang w:val="pt-BR"/>
        </w:rPr>
        <w:t>Clientes Renovando Software Assurance Antes de 1º de outubro de 2012</w:t>
      </w:r>
    </w:p>
    <w:p w:rsidR="008B1196" w:rsidRPr="00EB4D74" w:rsidRDefault="008B1196" w:rsidP="008B1196">
      <w:pPr>
        <w:ind w:left="720"/>
        <w:rPr>
          <w:rFonts w:cs="Tahoma"/>
          <w:lang w:val="pt-BR"/>
        </w:rPr>
      </w:pPr>
      <w:r w:rsidRPr="00EB4D74">
        <w:rPr>
          <w:rFonts w:cs="Tahoma"/>
          <w:color w:val="000000"/>
          <w:lang w:val="pt-BR"/>
        </w:rPr>
        <w:t xml:space="preserve">Clientes Academic, Open e Open Value que estão renovando o </w:t>
      </w:r>
      <w:r w:rsidRPr="00EB4D74">
        <w:rPr>
          <w:rFonts w:cs="Tahoma"/>
          <w:lang w:val="pt-BR"/>
        </w:rPr>
        <w:t xml:space="preserve">Software Assurance para System Center 2012 antes de 1º de outubro de 2012 estarão qualificados para renovar a cobertura para as licenças, ficando qualificados para a outorga de licença do </w:t>
      </w:r>
      <w:r w:rsidRPr="00EB4D74">
        <w:rPr>
          <w:rFonts w:cs="Tahoma"/>
          <w:color w:val="000000"/>
          <w:lang w:val="pt-BR"/>
        </w:rPr>
        <w:t>System Center 2012 (para cada, uma “licença de qualificação”). Renovando a cobertura para uma licença de qualificação, um cliente será considerado como tendo a cobertura renovada para as licenças correspondentes do System Center 2012 fornecidas por esta concessão. Da mesma forma, o cliente estará qualificado para versões posteriores do System Center 2012 disponibilizadas durante o prazo renovado da cobertura do Software Assurance e estará qualificado para renovar a cobertura do System Center 2012 com base no preço de renovação atual do System Center 2012, até o término da cobertura solicitada nesta oferta. Apesar da renovação do Software Assurance para as licenças de qualificação, os termos e as condições da outorga de licença do System Center 2012 permanecerão em vigor. Da mesma forma, os clientes não podem usar o software sob uma licença de qualificação e as licenças correspondentes do System Center 2012 ao mesmo tempo. A Licença e o Software Assurance (L&amp;SA) para novas licenças adquiridas na renovação devem ser solicitadas usando o preço do System Center 2012.</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lang w:val="pt-BR"/>
        </w:rPr>
        <w:t>Qualquer outro cliente que esteja renovando o Software Assurance antes de 1º de outubro de 2012 para as licenças do System Center 2012 concedidas nesta oferta poderão estar qualificados da mesma forma para renovar a cobertura com base no preço de Software Assurance para as licenças que os qualificam para a outorga. Os clientes devem entrar em contato com o gerente de conta Microsoft ou com o revendedor para obter detalhes. Essa oferta não se aplica à renovação do Software Assurance para licenças de gerenciamento de clientes do System Center Client Management Suite e System Center Configuration Manager</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3"/>
        <w:rPr>
          <w:rFonts w:ascii="Tahoma" w:hAnsi="Tahoma" w:cs="Tahoma"/>
        </w:rPr>
      </w:pPr>
      <w:bookmarkStart w:id="1477" w:name="_103_System_Center"/>
      <w:bookmarkStart w:id="1478" w:name="_91_System_Center"/>
      <w:bookmarkStart w:id="1479" w:name="_Toc336338359"/>
      <w:bookmarkStart w:id="1480" w:name="Srv_102SysCtr2012EndpointProt"/>
      <w:bookmarkStart w:id="1481" w:name="_Toc342914985"/>
      <w:bookmarkEnd w:id="1477"/>
      <w:bookmarkEnd w:id="1478"/>
      <w:bookmarkEnd w:id="1479"/>
      <w:bookmarkEnd w:id="1480"/>
      <w:r w:rsidRPr="00EB4D74">
        <w:rPr>
          <w:rFonts w:ascii="Tahoma" w:hAnsi="Tahoma" w:cs="Tahoma"/>
          <w:color w:val="F66400"/>
          <w:sz w:val="22"/>
          <w:vertAlign w:val="superscript"/>
          <w:lang w:val="pt-BR"/>
        </w:rPr>
        <w:t>91</w:t>
      </w:r>
      <w:r w:rsidRPr="00EB4D74">
        <w:rPr>
          <w:rFonts w:ascii="Tahoma" w:hAnsi="Tahoma" w:cs="Tahoma"/>
          <w:color w:val="F66400"/>
          <w:sz w:val="22"/>
          <w:lang w:val="pt-BR"/>
        </w:rPr>
        <w:t xml:space="preserve"> System Center 2012 Endpoint Protection</w:t>
      </w:r>
      <w:bookmarkEnd w:id="1481"/>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lang w:val="pt-BR"/>
        </w:rPr>
        <w:t>Atualizações/Downgrade</w:t>
      </w:r>
    </w:p>
    <w:p w:rsidR="008B1196" w:rsidRPr="00EB4D74" w:rsidRDefault="008B1196" w:rsidP="008B1196">
      <w:pPr>
        <w:ind w:left="720"/>
        <w:rPr>
          <w:rFonts w:cs="Tahoma"/>
          <w:lang w:val="pt-BR"/>
        </w:rPr>
      </w:pPr>
      <w:r w:rsidRPr="00EB4D74">
        <w:rPr>
          <w:rFonts w:eastAsia="Times New Roman" w:cs="Tahoma"/>
          <w:szCs w:val="18"/>
          <w:lang w:val="pt-BR"/>
        </w:rPr>
        <w:t xml:space="preserve">A partir de 1º de abril de 2012, o Forefront Endpoint Protection se tornará o System Center 2012 Endpoint Protection. O System Center 2012 Endpoint Protection, como uma oferta independente, confere direitos de uso apenas para proteger os dispositivos do cliente. </w:t>
      </w:r>
      <w:r w:rsidRPr="00EB4D74">
        <w:rPr>
          <w:rFonts w:cs="Tahoma"/>
          <w:lang w:val="pt-BR"/>
        </w:rPr>
        <w:t>Os direitos de uso para proteger dispositivos de servidor podem ser adquiridos somente por meio da aquisição das licenças de gerenciamento do servidor do System Center 2012 Standard ou Datacenter.</w:t>
      </w:r>
    </w:p>
    <w:p w:rsidR="008B1196" w:rsidRPr="00EB4D74" w:rsidRDefault="008B1196" w:rsidP="008B1196">
      <w:pPr>
        <w:ind w:left="720"/>
        <w:rPr>
          <w:rFonts w:cs="Tahoma"/>
          <w:lang w:val="pt-BR"/>
        </w:rPr>
      </w:pPr>
    </w:p>
    <w:p w:rsidR="008B1196" w:rsidRPr="00EB4D74" w:rsidRDefault="008B1196" w:rsidP="008B1196">
      <w:pPr>
        <w:ind w:left="720"/>
        <w:rPr>
          <w:rFonts w:cs="Tahoma"/>
        </w:rPr>
      </w:pPr>
      <w:r w:rsidRPr="00EB4D74">
        <w:rPr>
          <w:rFonts w:eastAsia="Times New Roman" w:cs="Tahoma"/>
          <w:szCs w:val="18"/>
          <w:lang w:val="pt-BR"/>
        </w:rPr>
        <w:t xml:space="preserve">Os usuários com assinaturas do Forefront Endpoint Protection e que ajudam o serviço a proteger os dispositivos do cliente, podem fazer atualização para e usar o System Center 2012 Endpoint Protection para a mesma finalidade. </w:t>
      </w:r>
      <w:r w:rsidRPr="00EB4D74">
        <w:rPr>
          <w:rFonts w:cs="Tahoma"/>
          <w:lang w:val="pt-BR"/>
        </w:rPr>
        <w:t>Os clientes com assinaturas do System Center 2012 Endpoint Protection também podem fazer downgrade para o Forefront Endpoint Protection.</w:t>
      </w:r>
    </w:p>
    <w:p w:rsidR="008B1196" w:rsidRPr="00EB4D74" w:rsidRDefault="008B1196" w:rsidP="008B1196">
      <w:pPr>
        <w:ind w:left="720"/>
        <w:rPr>
          <w:rFonts w:cs="Tahoma"/>
        </w:rPr>
      </w:pPr>
    </w:p>
    <w:p w:rsidR="008B1196" w:rsidRPr="00EB4D74" w:rsidRDefault="008B1196" w:rsidP="008B1196">
      <w:pPr>
        <w:ind w:left="720"/>
        <w:rPr>
          <w:rFonts w:cs="Tahoma"/>
          <w:lang w:val="pt-BR"/>
        </w:rPr>
      </w:pPr>
      <w:r w:rsidRPr="00EB4D74">
        <w:rPr>
          <w:rFonts w:cs="Tahoma"/>
          <w:lang w:val="pt-BR"/>
        </w:rPr>
        <w:t>O System Center 2012 Configuration Manager é o console de gerenciamento do System Center 2012 Endpoint Protection. Os clientes devem ser licenciados para o System Center 2012 Configuration Manager para fornecer gerenciamento para o System Center 2012 Endpoint Protection. Opcionalmente, o System Center 2012 Endpoint Protection poderá ser usado de forma não gerenciada, sem a necessidade de licenciar o System Center 2012 Configuration Manager.</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lang w:val="pt-BR"/>
        </w:rPr>
        <w:t>Uso Doméstico</w:t>
      </w:r>
    </w:p>
    <w:p w:rsidR="008B1196" w:rsidRPr="00EB4D74" w:rsidRDefault="008B1196" w:rsidP="008B1196">
      <w:pPr>
        <w:ind w:left="720"/>
        <w:rPr>
          <w:rFonts w:cs="Tahoma"/>
          <w:lang w:val="pt-BR"/>
        </w:rPr>
      </w:pPr>
      <w:r w:rsidRPr="00EB4D74">
        <w:rPr>
          <w:rFonts w:cs="Tahoma"/>
          <w:lang w:val="pt-BR"/>
        </w:rPr>
        <w:t>Os clientes com as Licenças de Assinatura do Usuário atuais para qualificação do System Center 2012 Endpoint Protection como programa de Uso Doméstico</w:t>
      </w:r>
    </w:p>
    <w:p w:rsidR="008B1196" w:rsidRPr="00EB4D74" w:rsidRDefault="008B1196" w:rsidP="008B1196">
      <w:pPr>
        <w:rPr>
          <w:rFonts w:cs="Tahoma"/>
          <w:lang w:val="pt-BR"/>
        </w:rPr>
      </w:pPr>
    </w:p>
    <w:p w:rsidR="008B1196" w:rsidRPr="00EB4D74" w:rsidRDefault="008B1196" w:rsidP="008B1196">
      <w:pPr>
        <w:rPr>
          <w:rFonts w:cs="Tahoma"/>
          <w:lang w:val="pt-BR"/>
        </w:rPr>
      </w:pPr>
    </w:p>
    <w:p w:rsidR="008B1196" w:rsidRPr="00EB4D74" w:rsidRDefault="008B1196" w:rsidP="008B1196">
      <w:pPr>
        <w:pStyle w:val="Heading3"/>
        <w:rPr>
          <w:rFonts w:ascii="Tahoma" w:hAnsi="Tahoma" w:cs="Tahoma"/>
        </w:rPr>
      </w:pPr>
      <w:bookmarkStart w:id="1482" w:name="Srv_103TechNetPlusSingleUser"/>
      <w:bookmarkStart w:id="1483" w:name="_Toc336338360"/>
      <w:bookmarkStart w:id="1484" w:name="_Toc342914986"/>
      <w:bookmarkEnd w:id="1482"/>
      <w:bookmarkEnd w:id="1483"/>
      <w:r w:rsidRPr="00EB4D74">
        <w:rPr>
          <w:rFonts w:ascii="Tahoma" w:hAnsi="Tahoma" w:cs="Tahoma"/>
          <w:caps/>
          <w:color w:val="F66400"/>
          <w:sz w:val="22"/>
          <w:vertAlign w:val="superscript"/>
          <w:lang w:val="pt-BR"/>
        </w:rPr>
        <w:t>92</w:t>
      </w:r>
      <w:r w:rsidRPr="00EB4D74">
        <w:rPr>
          <w:rFonts w:ascii="Tahoma" w:hAnsi="Tahoma" w:cs="Tahoma"/>
          <w:color w:val="F66400"/>
          <w:sz w:val="22"/>
          <w:lang w:val="pt-BR"/>
        </w:rPr>
        <w:t xml:space="preserve"> TechNet Plus Single User</w:t>
      </w:r>
      <w:bookmarkEnd w:id="1484"/>
    </w:p>
    <w:p w:rsidR="008B1196" w:rsidRPr="00EB4D74" w:rsidRDefault="008B1196" w:rsidP="008B1196">
      <w:pPr>
        <w:tabs>
          <w:tab w:val="left" w:pos="2690"/>
        </w:tabs>
        <w:rPr>
          <w:rFonts w:cs="Tahoma"/>
        </w:rPr>
      </w:pPr>
    </w:p>
    <w:p w:rsidR="008B1196" w:rsidRPr="00EB4D74" w:rsidRDefault="008B1196" w:rsidP="008B1196">
      <w:pPr>
        <w:pStyle w:val="FootnoteBulletLevel1"/>
        <w:tabs>
          <w:tab w:val="clear" w:pos="900"/>
        </w:tabs>
        <w:spacing w:before="0" w:after="60"/>
        <w:ind w:left="720" w:firstLine="0"/>
        <w:rPr>
          <w:rFonts w:ascii="Tahoma" w:hAnsi="Tahoma" w:cs="Tahoma"/>
        </w:rPr>
      </w:pPr>
      <w:r w:rsidRPr="00EB4D74">
        <w:rPr>
          <w:rFonts w:ascii="Tahoma" w:hAnsi="Tahoma" w:cs="Tahoma"/>
          <w:b/>
          <w:sz w:val="18"/>
          <w:lang w:val="pt-BR"/>
        </w:rPr>
        <w:t>Caminho de migração para os clientes do TechNet Plus Single Server registrados no Software Assurance</w:t>
      </w:r>
    </w:p>
    <w:p w:rsidR="008B1196" w:rsidRPr="00EB4D74" w:rsidRDefault="008B1196" w:rsidP="008B1196">
      <w:pPr>
        <w:pStyle w:val="FootnoteBulletLevel1"/>
        <w:tabs>
          <w:tab w:val="clear" w:pos="900"/>
        </w:tabs>
        <w:spacing w:before="0" w:after="0"/>
        <w:ind w:left="720" w:firstLine="0"/>
        <w:rPr>
          <w:rFonts w:ascii="Tahoma" w:hAnsi="Tahoma" w:cs="Tahoma"/>
        </w:rPr>
      </w:pPr>
      <w:r w:rsidRPr="00EB4D74">
        <w:rPr>
          <w:rFonts w:ascii="Tahoma" w:hAnsi="Tahoma" w:cs="Tahoma"/>
          <w:sz w:val="18"/>
          <w:lang w:val="pt-BR"/>
        </w:rPr>
        <w:t>Os clientes com Software Assurance sobre o TechNet Plus Single Server próximo à data de término que desejarem renovar a cobertura poderão adquiri-la para o TechNet Plus Single User ou o TechNet Plus Direct.</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485" w:name="_92_Visual_Studio"/>
      <w:bookmarkStart w:id="1486" w:name="_Toc336338361"/>
      <w:bookmarkStart w:id="1487" w:name="Srv_105VDIStandardandPremiumSuites"/>
      <w:bookmarkStart w:id="1488" w:name="Srv_94VSLoadTestVirtualUserPack10"/>
      <w:bookmarkStart w:id="1489" w:name="_Toc342914987"/>
      <w:bookmarkEnd w:id="1485"/>
      <w:bookmarkEnd w:id="1486"/>
      <w:bookmarkEnd w:id="1487"/>
      <w:bookmarkEnd w:id="1488"/>
      <w:r w:rsidRPr="00EB4D74">
        <w:rPr>
          <w:rFonts w:ascii="Tahoma" w:hAnsi="Tahoma" w:cs="Tahoma"/>
          <w:color w:val="FF7415"/>
          <w:sz w:val="22"/>
          <w:vertAlign w:val="superscript"/>
          <w:lang w:val="pt-BR"/>
        </w:rPr>
        <w:t>93</w:t>
      </w:r>
      <w:r w:rsidRPr="00EB4D74">
        <w:rPr>
          <w:rFonts w:ascii="Tahoma" w:hAnsi="Tahoma" w:cs="Tahoma"/>
          <w:color w:val="FF7415"/>
          <w:sz w:val="22"/>
          <w:lang w:val="pt-BR"/>
        </w:rPr>
        <w:t xml:space="preserve"> VDI Standard e Premium Suites</w:t>
      </w:r>
      <w:bookmarkEnd w:id="1489"/>
    </w:p>
    <w:p w:rsidR="008B1196" w:rsidRPr="00EB4D74" w:rsidRDefault="008B1196" w:rsidP="008B1196">
      <w:pPr>
        <w:rPr>
          <w:rFonts w:cs="Tahoma"/>
        </w:rPr>
      </w:pPr>
    </w:p>
    <w:p w:rsidR="008B1196" w:rsidRPr="00EB4D74" w:rsidRDefault="008B1196" w:rsidP="008B1196">
      <w:pPr>
        <w:pStyle w:val="EndnoteText"/>
        <w:ind w:left="720"/>
        <w:rPr>
          <w:rFonts w:ascii="Tahoma" w:hAnsi="Tahoma" w:cs="Tahoma"/>
        </w:rPr>
      </w:pPr>
      <w:r w:rsidRPr="00EB4D74">
        <w:rPr>
          <w:rFonts w:ascii="Tahoma" w:hAnsi="Tahoma" w:cs="Tahoma"/>
          <w:color w:val="000000"/>
          <w:sz w:val="18"/>
        </w:rPr>
        <w:t>Estes produtos encontram-se no status EOL (Fim da Vida Útil) e não serão mais oferecidos. Os clientes do Enterprise Agreement podem consultar versões anteriores dos Direitos de Uso do Produto para obter informações sobre direitos de uso.</w:t>
      </w:r>
    </w:p>
    <w:p w:rsidR="008B1196" w:rsidRPr="00EB4D74" w:rsidRDefault="008B1196" w:rsidP="008B1196">
      <w:pPr>
        <w:pStyle w:val="EndnoteText"/>
        <w:ind w:left="0"/>
        <w:rPr>
          <w:rFonts w:ascii="Tahoma" w:hAnsi="Tahoma" w:cs="Tahoma"/>
          <w:sz w:val="18"/>
          <w:szCs w:val="18"/>
        </w:rPr>
      </w:pPr>
    </w:p>
    <w:p w:rsidR="008B1196" w:rsidRPr="00EB4D74" w:rsidRDefault="008B1196" w:rsidP="008B1196">
      <w:pPr>
        <w:pStyle w:val="EndnoteText"/>
        <w:ind w:left="0"/>
        <w:rPr>
          <w:rFonts w:ascii="Tahoma" w:hAnsi="Tahoma" w:cs="Tahoma"/>
          <w:sz w:val="18"/>
          <w:szCs w:val="18"/>
        </w:rPr>
      </w:pPr>
    </w:p>
    <w:p w:rsidR="008B1196" w:rsidRPr="00EB4D74" w:rsidRDefault="008B1196" w:rsidP="008B1196">
      <w:pPr>
        <w:pStyle w:val="Heading2"/>
        <w:ind w:left="0"/>
        <w:rPr>
          <w:rFonts w:ascii="Tahoma" w:hAnsi="Tahoma" w:cs="Tahoma"/>
          <w:caps/>
          <w:color w:val="EE6000"/>
          <w:sz w:val="22"/>
          <w:szCs w:val="18"/>
        </w:rPr>
      </w:pPr>
      <w:bookmarkStart w:id="1490" w:name="_105_Windows_Azure"/>
      <w:bookmarkStart w:id="1491" w:name="_Toc336338362"/>
      <w:bookmarkStart w:id="1492" w:name="_Toc342914988"/>
      <w:bookmarkEnd w:id="1490"/>
      <w:bookmarkEnd w:id="1491"/>
      <w:r w:rsidRPr="00EB4D74">
        <w:rPr>
          <w:rFonts w:ascii="Tahoma" w:hAnsi="Tahoma" w:cs="Tahoma"/>
          <w:caps/>
          <w:color w:val="EE6000"/>
          <w:sz w:val="22"/>
          <w:szCs w:val="18"/>
          <w:vertAlign w:val="superscript"/>
        </w:rPr>
        <w:t>94</w:t>
      </w:r>
      <w:r w:rsidRPr="00EB4D74">
        <w:rPr>
          <w:rFonts w:ascii="Tahoma" w:hAnsi="Tahoma" w:cs="Tahoma"/>
          <w:caps/>
          <w:color w:val="EE6000"/>
          <w:sz w:val="22"/>
          <w:szCs w:val="18"/>
        </w:rPr>
        <w:t xml:space="preserve"> </w:t>
      </w:r>
      <w:r w:rsidRPr="00EB4D74">
        <w:rPr>
          <w:rFonts w:ascii="Tahoma" w:hAnsi="Tahoma" w:cs="Tahoma"/>
          <w:color w:val="EE6000"/>
          <w:sz w:val="22"/>
          <w:szCs w:val="18"/>
        </w:rPr>
        <w:t>Serviços do Windows Azure</w:t>
      </w:r>
      <w:bookmarkEnd w:id="1492"/>
    </w:p>
    <w:p w:rsidR="008B1196" w:rsidRPr="00EB4D74" w:rsidRDefault="008B1196" w:rsidP="008B1196">
      <w:pPr>
        <w:widowControl w:val="0"/>
        <w:jc w:val="both"/>
        <w:rPr>
          <w:rFonts w:cs="Tahoma"/>
        </w:rPr>
      </w:pPr>
    </w:p>
    <w:p w:rsidR="008B1196" w:rsidRPr="00EB4D74" w:rsidRDefault="008B1196" w:rsidP="008B1196">
      <w:pPr>
        <w:widowControl w:val="0"/>
        <w:spacing w:after="60"/>
        <w:ind w:left="720"/>
        <w:jc w:val="both"/>
        <w:rPr>
          <w:rFonts w:cs="Tahoma"/>
        </w:rPr>
      </w:pPr>
      <w:r w:rsidRPr="00EB4D74">
        <w:rPr>
          <w:rFonts w:cs="Tahoma"/>
          <w:b/>
          <w:color w:val="000000"/>
          <w:lang w:val="pt-BR"/>
        </w:rPr>
        <w:t>Compromisso de Recursos do Windows Azure Compute</w:t>
      </w:r>
    </w:p>
    <w:p w:rsidR="008B1196" w:rsidRPr="00EB4D74" w:rsidRDefault="008B1196" w:rsidP="008B1196">
      <w:pPr>
        <w:widowControl w:val="0"/>
        <w:ind w:left="720"/>
        <w:jc w:val="both"/>
        <w:rPr>
          <w:rFonts w:cs="Tahoma"/>
          <w:lang w:val="it-IT"/>
        </w:rPr>
      </w:pPr>
      <w:r w:rsidRPr="00EB4D74">
        <w:rPr>
          <w:rFonts w:cs="Tahoma"/>
          <w:lang w:val="pt-BR"/>
        </w:rPr>
        <w:t xml:space="preserve">No caso do Windows Azure Compute, a Microsoft concorda em fornecer ao cliente um Compromisso de Recursos do Compute. O Compromisso de Recursos do Compute corresponderá a (1) </w:t>
      </w:r>
      <w:r w:rsidRPr="00EB4D74">
        <w:rPr>
          <w:rFonts w:cs="Tahoma"/>
          <w:color w:val="000000"/>
          <w:lang w:val="pt-BR"/>
        </w:rPr>
        <w:t xml:space="preserve">50 instâncias pequenas e simultâneas do Compute por mês ou (2) </w:t>
      </w:r>
      <w:r w:rsidRPr="00EB4D74">
        <w:rPr>
          <w:rFonts w:cs="Tahoma"/>
          <w:lang w:val="pt-BR"/>
        </w:rPr>
        <w:t>125% do Uso Estimado do Compute do cliente (conforme calculado abaixo), o que for maior.</w:t>
      </w:r>
    </w:p>
    <w:p w:rsidR="008B1196" w:rsidRPr="00EB4D74" w:rsidRDefault="008B1196" w:rsidP="008B1196">
      <w:pPr>
        <w:widowControl w:val="0"/>
        <w:ind w:left="720"/>
        <w:jc w:val="both"/>
        <w:rPr>
          <w:rFonts w:cs="Tahoma"/>
          <w:lang w:val="it-IT"/>
        </w:rPr>
      </w:pPr>
    </w:p>
    <w:p w:rsidR="008B1196" w:rsidRPr="00EB4D74" w:rsidRDefault="008B1196" w:rsidP="008B1196">
      <w:pPr>
        <w:widowControl w:val="0"/>
        <w:ind w:left="720"/>
        <w:jc w:val="both"/>
        <w:rPr>
          <w:rFonts w:cs="Tahoma"/>
          <w:lang w:val="it-IT"/>
        </w:rPr>
      </w:pPr>
      <w:r w:rsidRPr="00EB4D74">
        <w:rPr>
          <w:rFonts w:cs="Tahoma"/>
          <w:lang w:val="pt-BR"/>
        </w:rPr>
        <w:t xml:space="preserve">O “Uso Estimado do Compute” é calculado dividindo-se o Compromisso Monetário do cliente pelo número de meses cobertos pelo Compromisso Monetário (12 meses ou o número de meses restantes no registro do cliente, dependendo da opção escolhida pelo cliente, ou seja, a opção de assinatura de um ano ou a opção de assinatura coextensiva abaixo), e dividindo-se esse número pela Taxa de Compromissos para o Windows Azure Compute. Se o cliente adicionar fundos ao seu Compromisso Monetário durante o prazo do registro, o Uso Estimado do Compute será recalculado de acordo com esses fundos. Se o Compromisso Monetário restante do cliente corresponder a um valor abaixo do valor monetário do Uso Estimado do Compute, este </w:t>
      </w:r>
      <w:r w:rsidRPr="00EB4D74">
        <w:rPr>
          <w:rFonts w:cs="Tahoma"/>
          <w:lang w:val="pt-BR"/>
        </w:rPr>
        <w:lastRenderedPageBreak/>
        <w:t>será reduzido proporcionalmente de forma que o Compromisso Monetário seja equivalente ao valor monetário do Uso Estimado do Compute.</w:t>
      </w:r>
    </w:p>
    <w:p w:rsidR="008B1196" w:rsidRPr="00EB4D74" w:rsidRDefault="008B1196" w:rsidP="008B1196">
      <w:pPr>
        <w:widowControl w:val="0"/>
        <w:ind w:left="720"/>
        <w:jc w:val="both"/>
        <w:rPr>
          <w:rFonts w:cs="Tahoma"/>
          <w:lang w:val="it-IT"/>
        </w:rPr>
      </w:pPr>
      <w:r w:rsidRPr="00EB4D74">
        <w:rPr>
          <w:rFonts w:cs="Tahoma"/>
          <w:lang w:val="pt-BR"/>
        </w:rPr>
        <w:t>Se a Microsoft não cumprir o Compromisso de Recursos do Compute, a entidade receberá um crédito equivalente a 25% do valor monetário do serviço afetado do Windows Azure Compute à Taxa de Compromissos. Esse crédito não excederá o valor monetário total do Compromisso Monetário restante da entidade. Se essa indisponibilidade também qualificar a entidade a um Crédito de Serviço de acordo com o Contrato de Nível de Serviço (consulte a Seção 2. c acima), a entidade somente receberá a medida com o valor monetário mais alto.</w:t>
      </w:r>
    </w:p>
    <w:p w:rsidR="008B1196" w:rsidRPr="00EB4D74" w:rsidRDefault="008B1196" w:rsidP="008B1196">
      <w:pPr>
        <w:widowControl w:val="0"/>
        <w:ind w:left="720"/>
        <w:jc w:val="both"/>
        <w:rPr>
          <w:rFonts w:cs="Tahoma"/>
          <w:lang w:val="pt-BR"/>
        </w:rPr>
      </w:pPr>
      <w:r w:rsidRPr="00EB4D74">
        <w:rPr>
          <w:rFonts w:cs="Tahoma"/>
          <w:lang w:val="pt-BR"/>
        </w:rPr>
        <w:t>O uso do Windows Azure Compute acima do Compromisso de Recursos do Compute será feito “conforme disponível”. O uso de qualquer Serviço do Windows Azure que não seja do Windows Azure Compute será feito “conforme disponível”.</w:t>
      </w:r>
    </w:p>
    <w:p w:rsidR="008B1196" w:rsidRPr="00EB4D74" w:rsidRDefault="008B1196" w:rsidP="008B1196">
      <w:pPr>
        <w:pStyle w:val="EndnoteText"/>
        <w:ind w:left="720"/>
        <w:rPr>
          <w:rFonts w:ascii="Tahoma" w:hAnsi="Tahoma" w:cs="Tahoma"/>
          <w:sz w:val="18"/>
          <w:szCs w:val="18"/>
          <w:lang w:val="pt-BR"/>
        </w:rPr>
      </w:pPr>
    </w:p>
    <w:p w:rsidR="008B1196" w:rsidRPr="00EB4D74" w:rsidRDefault="008B1196" w:rsidP="008B1196">
      <w:pPr>
        <w:pStyle w:val="EndnoteText"/>
        <w:ind w:left="720"/>
        <w:rPr>
          <w:rFonts w:ascii="Tahoma" w:hAnsi="Tahoma" w:cs="Tahoma"/>
          <w:sz w:val="18"/>
          <w:szCs w:val="18"/>
          <w:lang w:val="pt-BR"/>
        </w:rPr>
      </w:pPr>
    </w:p>
    <w:p w:rsidR="008B1196" w:rsidRPr="00EB4D74" w:rsidRDefault="008B1196" w:rsidP="008B1196">
      <w:pPr>
        <w:pStyle w:val="Heading2"/>
        <w:ind w:left="243" w:hanging="243"/>
        <w:rPr>
          <w:rFonts w:ascii="Tahoma" w:hAnsi="Tahoma" w:cs="Tahoma"/>
          <w:lang w:val="pt-BR"/>
        </w:rPr>
      </w:pPr>
      <w:bookmarkStart w:id="1493" w:name="_Toc336338363"/>
      <w:bookmarkStart w:id="1494" w:name="Srv_107WindowsEmbeddedDeviceMgr2011"/>
      <w:bookmarkStart w:id="1495" w:name="Srv_93SBS2008PremiumEdition"/>
      <w:bookmarkStart w:id="1496" w:name="_Toc342914989"/>
      <w:bookmarkEnd w:id="1493"/>
      <w:bookmarkEnd w:id="1494"/>
      <w:bookmarkEnd w:id="1495"/>
      <w:r w:rsidRPr="00EB4D74">
        <w:rPr>
          <w:rFonts w:ascii="Tahoma" w:hAnsi="Tahoma" w:cs="Tahoma"/>
          <w:color w:val="FF6600"/>
          <w:sz w:val="22"/>
          <w:vertAlign w:val="superscript"/>
          <w:lang w:val="pt-BR"/>
        </w:rPr>
        <w:t xml:space="preserve">95 </w:t>
      </w:r>
      <w:r w:rsidRPr="00EB4D74">
        <w:rPr>
          <w:rFonts w:ascii="Tahoma" w:hAnsi="Tahoma" w:cs="Tahoma"/>
          <w:color w:val="FF6600"/>
          <w:sz w:val="22"/>
          <w:szCs w:val="22"/>
          <w:lang w:val="pt-BR"/>
        </w:rPr>
        <w:t>Windows Embedded Device Manager 2011 – Licença do Servidor de Gerenciamento</w:t>
      </w:r>
      <w:bookmarkEnd w:id="1496"/>
    </w:p>
    <w:p w:rsidR="008B1196" w:rsidRPr="00EB4D74" w:rsidRDefault="008B1196" w:rsidP="008B1196">
      <w:pPr>
        <w:rPr>
          <w:rFonts w:cs="Tahoma"/>
          <w:lang w:val="pt-BR"/>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color w:val="000000"/>
          <w:sz w:val="18"/>
          <w:szCs w:val="18"/>
          <w:lang w:val="it-IT"/>
        </w:rPr>
        <w:t>Este produto encontra-se no status EOL (Fim da Vida Útil) e não será mais oferecido.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spacing w:after="60"/>
        <w:ind w:left="720"/>
        <w:rPr>
          <w:rFonts w:ascii="Tahoma" w:hAnsi="Tahoma" w:cs="Tahoma"/>
          <w:sz w:val="18"/>
          <w:szCs w:val="18"/>
        </w:rPr>
      </w:pPr>
      <w:r w:rsidRPr="00EB4D74">
        <w:rPr>
          <w:rFonts w:ascii="Tahoma" w:hAnsi="Tahoma" w:cs="Tahoma"/>
          <w:b/>
          <w:color w:val="000000"/>
          <w:sz w:val="18"/>
          <w:szCs w:val="18"/>
        </w:rPr>
        <w:t>Outorga de Licença Única para Titulares de Licenças do Windows Embedded Device Manager 2011 com Software Assurance Ativo</w:t>
      </w:r>
    </w:p>
    <w:p w:rsidR="008B1196" w:rsidRPr="00EB4D74" w:rsidRDefault="008B1196" w:rsidP="008B1196">
      <w:pPr>
        <w:pStyle w:val="EndnoteText"/>
        <w:ind w:left="720"/>
        <w:rPr>
          <w:rFonts w:ascii="Tahoma" w:hAnsi="Tahoma" w:cs="Tahoma"/>
          <w:sz w:val="18"/>
          <w:szCs w:val="18"/>
        </w:rPr>
      </w:pPr>
      <w:r w:rsidRPr="00EB4D74">
        <w:rPr>
          <w:rFonts w:ascii="Tahoma" w:hAnsi="Tahoma" w:cs="Tahoma"/>
          <w:color w:val="000000"/>
          <w:sz w:val="18"/>
          <w:szCs w:val="18"/>
        </w:rPr>
        <w:t>Como exceção única relacionada à descontinuação das licenças do servidor de gerenciamento do Windows Embedded Device Manager 2011, aos clientes de Software Assurance que tiveram cobertura para licenças do servidor de gerenciamento em 1º de abril de 2012 serão fornecidas as licenças de gerenciamento de cliente da seguinte forma:</w:t>
      </w:r>
    </w:p>
    <w:p w:rsidR="008B1196" w:rsidRPr="00EB4D74" w:rsidRDefault="008B1196" w:rsidP="008B1196">
      <w:pPr>
        <w:pStyle w:val="EndnoteText"/>
        <w:rPr>
          <w:rFonts w:ascii="Tahoma" w:hAnsi="Tahoma" w:cs="Tahoma"/>
          <w:sz w:val="18"/>
          <w:szCs w:val="18"/>
        </w:rPr>
      </w:pPr>
    </w:p>
    <w:tbl>
      <w:tblPr>
        <w:tblW w:w="0" w:type="auto"/>
        <w:tblInd w:w="100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ook w:val="04A0" w:firstRow="1" w:lastRow="0" w:firstColumn="1" w:lastColumn="0" w:noHBand="0" w:noVBand="1"/>
      </w:tblPr>
      <w:tblGrid>
        <w:gridCol w:w="3960"/>
        <w:gridCol w:w="4050"/>
      </w:tblGrid>
      <w:tr w:rsidR="008B1196" w:rsidRPr="00EB4D74" w:rsidTr="00EA30FC">
        <w:tc>
          <w:tcPr>
            <w:tcW w:w="396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b/>
                <w:color w:val="000000"/>
                <w:lang w:val="pt-BR"/>
              </w:rPr>
              <w:t>Licenças Qualificadas</w:t>
            </w:r>
          </w:p>
        </w:tc>
        <w:tc>
          <w:tcPr>
            <w:tcW w:w="4050" w:type="dxa"/>
            <w:tcBorders>
              <w:top w:val="single" w:sz="4" w:space="0" w:color="000000"/>
            </w:tcBorders>
            <w:shd w:val="clear" w:color="auto" w:fill="FABF8F"/>
          </w:tcPr>
          <w:p w:rsidR="008B1196" w:rsidRPr="00EB4D74" w:rsidRDefault="008B1196" w:rsidP="00EA30FC">
            <w:pPr>
              <w:jc w:val="center"/>
              <w:rPr>
                <w:rFonts w:cs="Tahoma"/>
                <w:b/>
                <w:color w:val="000000"/>
                <w:szCs w:val="20"/>
              </w:rPr>
            </w:pPr>
            <w:r w:rsidRPr="00EB4D74">
              <w:rPr>
                <w:rFonts w:cs="Tahoma"/>
                <w:color w:val="000000"/>
                <w:lang w:val="pt-BR"/>
              </w:rPr>
              <w:t>Licenças de Gerenciamento de Cliente do Windows Embedded Device Manager 2011</w:t>
            </w:r>
          </w:p>
        </w:tc>
      </w:tr>
      <w:tr w:rsidR="008B1196" w:rsidRPr="00EB4D74" w:rsidTr="00EA30FC">
        <w:tc>
          <w:tcPr>
            <w:tcW w:w="3960" w:type="dxa"/>
            <w:shd w:val="clear" w:color="auto" w:fill="FFFFFF"/>
          </w:tcPr>
          <w:p w:rsidR="008B1196" w:rsidRPr="00EB4D74" w:rsidRDefault="008B1196" w:rsidP="00EA30FC">
            <w:pPr>
              <w:rPr>
                <w:rFonts w:cs="Tahoma"/>
                <w:color w:val="000000"/>
                <w:szCs w:val="20"/>
              </w:rPr>
            </w:pPr>
            <w:r w:rsidRPr="00EB4D74">
              <w:rPr>
                <w:rFonts w:cs="Tahoma"/>
                <w:color w:val="000000"/>
                <w:lang w:val="pt-BR"/>
              </w:rPr>
              <w:t>Licença do Windows Embedded Device Manager 2011 Server</w:t>
            </w:r>
          </w:p>
        </w:tc>
        <w:tc>
          <w:tcPr>
            <w:tcW w:w="4050" w:type="dxa"/>
            <w:shd w:val="clear" w:color="auto" w:fill="FFFFFF"/>
          </w:tcPr>
          <w:p w:rsidR="008B1196" w:rsidRPr="00EB4D74" w:rsidRDefault="008B1196" w:rsidP="00EA30FC">
            <w:pPr>
              <w:rPr>
                <w:rFonts w:cs="Tahoma"/>
                <w:color w:val="000000"/>
                <w:szCs w:val="20"/>
              </w:rPr>
            </w:pPr>
            <w:r w:rsidRPr="00EB4D74">
              <w:rPr>
                <w:rFonts w:cs="Tahoma"/>
                <w:color w:val="000000"/>
                <w:lang w:val="pt-BR"/>
              </w:rPr>
              <w:t>13 Licenças de Gerenciamento de Cliente do Windows Embedded Device Manager 2011</w:t>
            </w:r>
          </w:p>
        </w:tc>
      </w:tr>
      <w:tr w:rsidR="008B1196" w:rsidRPr="00EB4D74" w:rsidTr="00EA30FC">
        <w:tc>
          <w:tcPr>
            <w:tcW w:w="3960" w:type="dxa"/>
            <w:tcBorders>
              <w:bottom w:val="single" w:sz="4" w:space="0" w:color="000000"/>
            </w:tcBorders>
            <w:shd w:val="clear" w:color="auto" w:fill="FFFFFF"/>
          </w:tcPr>
          <w:p w:rsidR="008B1196" w:rsidRPr="00EB4D74" w:rsidRDefault="008B1196" w:rsidP="00EA30FC">
            <w:pPr>
              <w:rPr>
                <w:rFonts w:cs="Tahoma"/>
                <w:color w:val="000000"/>
                <w:szCs w:val="20"/>
              </w:rPr>
            </w:pPr>
            <w:r w:rsidRPr="00EB4D74">
              <w:rPr>
                <w:rFonts w:cs="Tahoma"/>
                <w:color w:val="000000"/>
                <w:lang w:val="pt-BR"/>
              </w:rPr>
              <w:t>Licença do Servidor do Windows Embedded Device Manager 2011 com Tecnologia SQL Server 2008</w:t>
            </w:r>
          </w:p>
        </w:tc>
        <w:tc>
          <w:tcPr>
            <w:tcW w:w="4050" w:type="dxa"/>
            <w:tcBorders>
              <w:bottom w:val="single" w:sz="4" w:space="0" w:color="000000"/>
            </w:tcBorders>
            <w:shd w:val="clear" w:color="auto" w:fill="FFFFFF"/>
          </w:tcPr>
          <w:p w:rsidR="008B1196" w:rsidRPr="00EB4D74" w:rsidRDefault="008B1196" w:rsidP="00EA30FC">
            <w:pPr>
              <w:rPr>
                <w:rFonts w:cs="Tahoma"/>
                <w:color w:val="000000"/>
                <w:szCs w:val="20"/>
              </w:rPr>
            </w:pPr>
            <w:r w:rsidRPr="00EB4D74">
              <w:rPr>
                <w:rFonts w:cs="Tahoma"/>
                <w:color w:val="000000"/>
                <w:lang w:val="pt-BR"/>
              </w:rPr>
              <w:t>30 Licenças de Gerenciamento de Cliente do Windows Embedded Device Manager 2011</w:t>
            </w:r>
          </w:p>
        </w:tc>
      </w:tr>
    </w:tbl>
    <w:p w:rsidR="008B1196" w:rsidRPr="00EB4D74" w:rsidRDefault="008B1196" w:rsidP="008B1196">
      <w:pPr>
        <w:pStyle w:val="EndnoteText"/>
        <w:ind w:left="0"/>
        <w:rPr>
          <w:rFonts w:ascii="Tahoma" w:hAnsi="Tahoma" w:cs="Tahoma"/>
          <w:sz w:val="18"/>
          <w:szCs w:val="18"/>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color w:val="000000"/>
          <w:sz w:val="18"/>
          <w:szCs w:val="18"/>
        </w:rPr>
        <w:t xml:space="preserve">Todas as licenças concedidas sob esta oferta incluirão cobertura do Software Assurance. </w:t>
      </w:r>
      <w:r w:rsidRPr="00EB4D74">
        <w:rPr>
          <w:rFonts w:ascii="Tahoma" w:hAnsi="Tahoma" w:cs="Tahoma"/>
          <w:color w:val="000000"/>
          <w:sz w:val="18"/>
          <w:szCs w:val="18"/>
          <w:lang w:val="it-IT"/>
        </w:rPr>
        <w:t>Essa cobertura se encerrará no término da cobertura nas licenças de qualificação. Ao término dessa cobertura, os clientes poderão renovar o Software Assurance sobre as licenças outorgadas.</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rPr>
      </w:pPr>
      <w:r w:rsidRPr="00EB4D74">
        <w:rPr>
          <w:rFonts w:ascii="Tahoma" w:hAnsi="Tahoma" w:cs="Tahoma"/>
          <w:color w:val="000000"/>
          <w:sz w:val="18"/>
          <w:szCs w:val="18"/>
          <w:lang w:val="it-IT"/>
        </w:rPr>
        <w:t xml:space="preserve">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de qualificação do Windows Embedded Device Manager 2011 expirar. A evidência de suas licenças de qualificação e esta Nota do Produto evidenciarão o direito do cliente de usar o Windows Embedded Device Manager 2011 sob os termos desta oferta. O cliente não terá mais o direito de usar o software sob as licenças de qualificação atribuídas ao servidor no seu uso do software sob esta oferta. </w:t>
      </w:r>
      <w:r w:rsidRPr="00EB4D74">
        <w:rPr>
          <w:rFonts w:ascii="Tahoma" w:hAnsi="Tahoma" w:cs="Tahoma"/>
          <w:color w:val="000000"/>
          <w:sz w:val="18"/>
          <w:szCs w:val="18"/>
        </w:rPr>
        <w:t>Os clientes não poderão transferir as licenças outorgadas sob esta oferta separadamente das licenças de qualificação correspondentes.</w:t>
      </w:r>
    </w:p>
    <w:p w:rsidR="008B1196" w:rsidRPr="00EB4D74" w:rsidRDefault="008B1196" w:rsidP="008B1196">
      <w:pPr>
        <w:pStyle w:val="EndnoteText"/>
        <w:ind w:left="720"/>
        <w:rPr>
          <w:rFonts w:ascii="Tahoma" w:hAnsi="Tahoma" w:cs="Tahoma"/>
          <w:sz w:val="18"/>
          <w:szCs w:val="18"/>
        </w:rPr>
      </w:pPr>
    </w:p>
    <w:p w:rsidR="008B1196" w:rsidRPr="00EB4D74" w:rsidRDefault="008B1196" w:rsidP="008B1196">
      <w:pPr>
        <w:ind w:left="720"/>
        <w:rPr>
          <w:rFonts w:cs="Tahoma"/>
        </w:rPr>
      </w:pPr>
      <w:r w:rsidRPr="00EB4D74">
        <w:rPr>
          <w:rFonts w:cs="Tahoma"/>
          <w:color w:val="000000"/>
          <w:lang w:val="pt-BR"/>
        </w:rPr>
        <w:t>As licenças do Windows Embedded Device Manager 2011 adquiridas após 1º de abril de 2012 como parte do processo anual de adequação (“true-up”) de um cliente para Registros Enterprise sob os quais as licenças do Windows Embedded Device Manager 2011 foram adquiridas pela primeira vez antes de 1º de abril de 2012 também estarão qualificadas para MLs de Cliente do Windows Embedded Device Manager 2011 de acordo com esta oferta.</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color w:val="000000"/>
          <w:szCs w:val="24"/>
          <w:lang w:val="pt-BR"/>
        </w:rPr>
        <w:t xml:space="preserve">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 </w:t>
      </w:r>
      <w:r w:rsidRPr="00EB4D74">
        <w:rPr>
          <w:rFonts w:cs="Tahoma"/>
          <w:color w:val="000000"/>
          <w:lang w:val="pt-BR"/>
        </w:rPr>
        <w:t>Esses direitos só se tornarão permanentes se a opção de compra (“buy-out”) for exercida e continuarão sujeitos a todos os termos e condições do contrato de licença do cliente.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pStyle w:val="Heading2"/>
        <w:ind w:left="216" w:hanging="216"/>
        <w:rPr>
          <w:rFonts w:ascii="Tahoma" w:hAnsi="Tahoma" w:cs="Tahoma"/>
        </w:rPr>
      </w:pPr>
      <w:bookmarkStart w:id="1497" w:name="_96_Windows_Embedded"/>
      <w:bookmarkStart w:id="1498" w:name="Srv_108EBS2008StandardPrem"/>
      <w:bookmarkStart w:id="1499" w:name="_96Windows_Embedded_Device"/>
      <w:bookmarkStart w:id="1500" w:name="_Toc342914990"/>
      <w:bookmarkEnd w:id="1497"/>
      <w:bookmarkEnd w:id="1498"/>
      <w:bookmarkEnd w:id="1499"/>
      <w:r w:rsidRPr="00EB4D74">
        <w:rPr>
          <w:rFonts w:ascii="Tahoma" w:hAnsi="Tahoma" w:cs="Tahoma"/>
          <w:caps/>
          <w:color w:val="FF6600"/>
          <w:sz w:val="22"/>
          <w:vertAlign w:val="superscript"/>
          <w:lang w:val="pt-BR"/>
        </w:rPr>
        <w:t>96</w:t>
      </w:r>
      <w:r>
        <w:rPr>
          <w:rFonts w:ascii="Tahoma" w:hAnsi="Tahoma" w:cs="Tahoma"/>
          <w:caps/>
          <w:color w:val="FF6600"/>
          <w:sz w:val="22"/>
          <w:vertAlign w:val="superscript"/>
          <w:lang w:val="pt-BR"/>
        </w:rPr>
        <w:t xml:space="preserve"> </w:t>
      </w:r>
      <w:r w:rsidRPr="00EB4D74">
        <w:rPr>
          <w:rFonts w:ascii="Tahoma" w:hAnsi="Tahoma" w:cs="Tahoma"/>
          <w:color w:val="FF6600"/>
          <w:sz w:val="22"/>
          <w:lang w:val="pt-BR"/>
        </w:rPr>
        <w:t>Windows Embedded Device Manager 2011 – Licença de Gerenciamento de Clientes</w:t>
      </w:r>
      <w:bookmarkEnd w:id="1500"/>
    </w:p>
    <w:p w:rsidR="008B1196" w:rsidRPr="00EB4D74" w:rsidRDefault="008B1196" w:rsidP="008B1196">
      <w:pPr>
        <w:rPr>
          <w:rFonts w:cs="Tahoma"/>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color w:val="000000"/>
          <w:sz w:val="18"/>
          <w:szCs w:val="18"/>
          <w:lang w:val="it-IT"/>
        </w:rPr>
        <w:t>Este produto encontra-se no status EOL (Fim da Vida Útil) e não será mais oferecido.</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color w:val="000000"/>
          <w:sz w:val="18"/>
          <w:szCs w:val="18"/>
          <w:u w:val="single"/>
          <w:lang w:val="it-IT"/>
        </w:rPr>
        <w:t>Outorga de Licença Única para Titulares de Licenças do Windows Embedded Device Manager 2011 – Licença de Gerenciamento de Clientes com Software Assurance Ativo</w:t>
      </w:r>
      <w:r w:rsidRPr="00EB4D74">
        <w:rPr>
          <w:rFonts w:ascii="Tahoma" w:hAnsi="Tahoma" w:cs="Tahoma"/>
          <w:color w:val="000000"/>
          <w:sz w:val="18"/>
          <w:szCs w:val="18"/>
          <w:lang w:val="it-IT"/>
        </w:rPr>
        <w:t>:</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color w:val="000000"/>
          <w:sz w:val="18"/>
          <w:szCs w:val="18"/>
          <w:lang w:val="it-IT"/>
        </w:rPr>
        <w:t>Como exceção única relacionada à descontinuação das licenças de Gerenciamento de Clientes do Windows Embedded Device Manager 2011 (por OSE/Usuário), será fornecido aos clientes de Software Assurance que tiverem cobertura em 1º de janeiro de 2013 o mesmo número de licenças de Gerenciamento de Clientes do System Center 2012 Configuration Manager (por OSE/Usuário).</w:t>
      </w:r>
    </w:p>
    <w:p w:rsidR="008B1196" w:rsidRPr="00EB4D74" w:rsidRDefault="008B1196" w:rsidP="008B1196">
      <w:pPr>
        <w:pStyle w:val="EndnoteText"/>
        <w:ind w:left="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lang w:val="it-IT"/>
        </w:rPr>
      </w:pPr>
      <w:r w:rsidRPr="00EB4D74">
        <w:rPr>
          <w:rFonts w:ascii="Tahoma" w:hAnsi="Tahoma" w:cs="Tahoma"/>
          <w:color w:val="000000"/>
          <w:sz w:val="18"/>
          <w:szCs w:val="18"/>
        </w:rPr>
        <w:t xml:space="preserve">Todas as licenças concedidas sob esta oferta incluirão cobertura do Software Assurance. </w:t>
      </w:r>
      <w:r w:rsidRPr="00EB4D74">
        <w:rPr>
          <w:rFonts w:ascii="Tahoma" w:hAnsi="Tahoma" w:cs="Tahoma"/>
          <w:color w:val="000000"/>
          <w:sz w:val="18"/>
          <w:szCs w:val="18"/>
          <w:lang w:val="it-IT"/>
        </w:rPr>
        <w:t>Essa cobertura se encerrará no término da cobertura nas licenças de qualificação. Ao término dessa cobertura, os clientes poderão renovar o Software Assurance sobre as licenças outorgadas.</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ind w:left="720"/>
        <w:rPr>
          <w:rFonts w:ascii="Tahoma" w:hAnsi="Tahoma" w:cs="Tahoma"/>
          <w:sz w:val="18"/>
          <w:szCs w:val="18"/>
        </w:rPr>
      </w:pPr>
      <w:r w:rsidRPr="00EB4D74">
        <w:rPr>
          <w:rFonts w:ascii="Tahoma" w:hAnsi="Tahoma" w:cs="Tahoma"/>
          <w:color w:val="000000"/>
          <w:sz w:val="18"/>
          <w:szCs w:val="18"/>
          <w:lang w:val="it-IT"/>
        </w:rPr>
        <w:t xml:space="preserve">O uso que um cliente faz do software outorgado sob esta oferta está sujeito aos termos e condições de seu contrato de licença e aos direitos de uso de produto relacionados ao software. O direito de usar o software outorgado expirará quando o direito de usar o software de acordo com a licença de qualificação de Gerenciamento de Clientes do Windows Embedded Device Manager 2011 expirar. A evidência de suas licenças de qualificação e esta Nota do Produto evidenciarão o direito do cliente de usar a licença de Gerenciamento de Clientes do System Center 2012 Configuration Manager sob os termos desta oferta. O cliente não terá mais o direito de usar o software sob as licenças de qualificação atribuídas ao servidor no seu uso do software sob esta oferta. </w:t>
      </w:r>
      <w:r w:rsidRPr="00EB4D74">
        <w:rPr>
          <w:rFonts w:ascii="Tahoma" w:hAnsi="Tahoma" w:cs="Tahoma"/>
          <w:color w:val="000000"/>
          <w:sz w:val="18"/>
          <w:szCs w:val="18"/>
        </w:rPr>
        <w:t>Os clientes não poderão transferir as licenças outorgadas sob esta oferta separadamente das licenças de qualificação correspondentes.</w:t>
      </w:r>
    </w:p>
    <w:p w:rsidR="008B1196" w:rsidRPr="00EB4D74" w:rsidRDefault="008B1196" w:rsidP="008B1196">
      <w:pPr>
        <w:pStyle w:val="EndnoteText"/>
        <w:ind w:left="720"/>
        <w:rPr>
          <w:rFonts w:ascii="Tahoma" w:hAnsi="Tahoma" w:cs="Tahoma"/>
          <w:sz w:val="18"/>
          <w:szCs w:val="18"/>
        </w:rPr>
      </w:pPr>
    </w:p>
    <w:p w:rsidR="008B1196" w:rsidRPr="00EB4D74" w:rsidRDefault="008B1196" w:rsidP="008B1196">
      <w:pPr>
        <w:ind w:left="720"/>
        <w:rPr>
          <w:rFonts w:cs="Tahoma"/>
          <w:szCs w:val="18"/>
        </w:rPr>
      </w:pPr>
      <w:r w:rsidRPr="00EB4D74">
        <w:rPr>
          <w:rFonts w:cs="Tahoma"/>
          <w:color w:val="000000"/>
          <w:szCs w:val="18"/>
          <w:lang w:val="pt-BR"/>
        </w:rPr>
        <w:t>As licenças de Gerenciamento de Clientes do Windows Embedded Device Manager 2011 adquiridas após 1º de janeiro de 2013 como parte do processo anual de adequação (“true-up”) para Registros Enterprise sob os quais as licenças de Gerenciamento de Clientes do Windows Embedded Device Manager 2011 foram adquiridas pela primeira vez antes de 1º de janeiro de 2013 também estarão qualificadas para MLs de Cliente do System Center 2012 Configuration Manager de acordo com esta oferta.</w:t>
      </w:r>
    </w:p>
    <w:p w:rsidR="008B1196" w:rsidRPr="00EB4D74" w:rsidRDefault="008B1196" w:rsidP="008B1196">
      <w:pPr>
        <w:ind w:left="720"/>
        <w:rPr>
          <w:rFonts w:cs="Tahoma"/>
          <w:szCs w:val="18"/>
        </w:rPr>
      </w:pPr>
    </w:p>
    <w:p w:rsidR="008B1196" w:rsidRPr="00EB4D74" w:rsidRDefault="008B1196" w:rsidP="008B1196">
      <w:pPr>
        <w:ind w:left="720"/>
        <w:rPr>
          <w:rFonts w:cs="Tahoma"/>
          <w:szCs w:val="18"/>
          <w:lang w:val="it-IT"/>
        </w:rPr>
      </w:pPr>
      <w:r w:rsidRPr="00EB4D74">
        <w:rPr>
          <w:rFonts w:cs="Tahoma"/>
          <w:color w:val="000000"/>
          <w:szCs w:val="18"/>
          <w:lang w:val="pt-BR"/>
        </w:rPr>
        <w:t>No caso de Contratos Enterprise Subscription, Campus e School e Open Value Subscription, os mesmos direitos serão outorgados temporariamente até o final do prazo do registro da licença, contanto que as Licenças e o Software Assurance sejam válidos durante o período da outorga e o cliente mantenha uma cobertura contínua da assinatura. Esses direitos só se tornarão permanentes se a opção de compra (“buy-out”) for exercida e continuarão sujeitos a todos os termos e condições do contrato de licença do cliente.</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color w:val="000000"/>
          <w:lang w:val="pt-BR"/>
        </w:rPr>
        <w:t>Os direitos de downgrade da versão podem ser aplicados a todas as Licenças de Gerenciamento de Clientes do System Center 2012 Configuration Manager 2012 concedidas.</w:t>
      </w:r>
    </w:p>
    <w:p w:rsidR="008B1196" w:rsidRPr="00EB4D74" w:rsidRDefault="008B1196" w:rsidP="008B1196">
      <w:pPr>
        <w:ind w:left="900"/>
        <w:rPr>
          <w:rFonts w:cs="Tahoma"/>
          <w:lang w:val="it-IT"/>
        </w:rPr>
      </w:pPr>
    </w:p>
    <w:p w:rsidR="008B1196" w:rsidRPr="00EB4D74" w:rsidRDefault="008B1196" w:rsidP="008B1196">
      <w:pPr>
        <w:ind w:left="900"/>
        <w:rPr>
          <w:rFonts w:cs="Tahoma"/>
          <w:lang w:val="it-IT"/>
        </w:rPr>
      </w:pPr>
    </w:p>
    <w:p w:rsidR="008B1196" w:rsidRPr="00EB4D74" w:rsidRDefault="008B1196" w:rsidP="008B1196">
      <w:pPr>
        <w:pStyle w:val="Heading3"/>
        <w:rPr>
          <w:rFonts w:ascii="Tahoma" w:hAnsi="Tahoma" w:cs="Tahoma"/>
          <w:sz w:val="22"/>
          <w:szCs w:val="22"/>
          <w:lang w:val="it-IT"/>
        </w:rPr>
      </w:pPr>
      <w:bookmarkStart w:id="1501" w:name="_107_EBS_2008"/>
      <w:bookmarkStart w:id="1502" w:name="_Toc336338364"/>
      <w:bookmarkStart w:id="1503" w:name="Srv_101WindowsEssBusSvrStdPrem"/>
      <w:bookmarkStart w:id="1504" w:name="_Toc342914991"/>
      <w:bookmarkEnd w:id="1501"/>
      <w:bookmarkEnd w:id="1502"/>
      <w:bookmarkEnd w:id="1503"/>
      <w:r w:rsidRPr="00EB4D74">
        <w:rPr>
          <w:rFonts w:ascii="Tahoma" w:hAnsi="Tahoma" w:cs="Tahoma"/>
          <w:caps/>
          <w:color w:val="F66400"/>
          <w:sz w:val="22"/>
          <w:szCs w:val="22"/>
          <w:vertAlign w:val="superscript"/>
          <w:lang w:val="pt-BR"/>
        </w:rPr>
        <w:t xml:space="preserve">97 </w:t>
      </w:r>
      <w:r w:rsidRPr="00EB4D74">
        <w:rPr>
          <w:rFonts w:ascii="Tahoma" w:hAnsi="Tahoma" w:cs="Tahoma"/>
          <w:color w:val="F66400"/>
          <w:sz w:val="22"/>
          <w:szCs w:val="22"/>
          <w:lang w:val="pt-BR"/>
        </w:rPr>
        <w:t>EBS 2008 Standard e EBS 2008 Premium</w:t>
      </w:r>
      <w:bookmarkEnd w:id="1504"/>
    </w:p>
    <w:p w:rsidR="008B1196" w:rsidRPr="00EB4D74" w:rsidRDefault="008B1196" w:rsidP="008B1196">
      <w:pPr>
        <w:rPr>
          <w:rFonts w:cs="Tahoma"/>
          <w:lang w:val="it-IT"/>
        </w:rPr>
      </w:pPr>
    </w:p>
    <w:p w:rsidR="008B1196" w:rsidRPr="00EB4D74" w:rsidRDefault="008B1196" w:rsidP="008B1196">
      <w:pPr>
        <w:pStyle w:val="EndnoteText"/>
        <w:ind w:left="720"/>
        <w:rPr>
          <w:rFonts w:ascii="Tahoma" w:hAnsi="Tahoma" w:cs="Tahoma"/>
          <w:lang w:val="it-IT"/>
        </w:rPr>
      </w:pPr>
      <w:r w:rsidRPr="00EB4D74">
        <w:rPr>
          <w:rFonts w:ascii="Tahoma" w:hAnsi="Tahoma" w:cs="Tahoma"/>
          <w:sz w:val="18"/>
          <w:lang w:val="it-IT"/>
        </w:rPr>
        <w:t>Estes produtos encontram-se no status EOL (Fim da Vida Útil) e não serão mais oferecidos.</w:t>
      </w:r>
    </w:p>
    <w:p w:rsidR="008B1196" w:rsidRPr="00EB4D74" w:rsidRDefault="008B1196" w:rsidP="008B1196">
      <w:pPr>
        <w:pStyle w:val="EndnoteText"/>
        <w:ind w:left="720"/>
        <w:rPr>
          <w:rFonts w:ascii="Tahoma" w:hAnsi="Tahoma" w:cs="Tahoma"/>
          <w:sz w:val="18"/>
          <w:szCs w:val="18"/>
          <w:lang w:val="it-IT"/>
        </w:rPr>
      </w:pPr>
    </w:p>
    <w:p w:rsidR="008B1196" w:rsidRPr="00EB4D74" w:rsidRDefault="008B1196" w:rsidP="008B1196">
      <w:pPr>
        <w:pStyle w:val="EndnoteText"/>
        <w:spacing w:after="60"/>
        <w:ind w:left="720"/>
        <w:rPr>
          <w:rFonts w:ascii="Tahoma" w:hAnsi="Tahoma" w:cs="Tahoma"/>
          <w:sz w:val="18"/>
          <w:szCs w:val="18"/>
          <w:lang w:val="it-IT"/>
        </w:rPr>
      </w:pPr>
      <w:r w:rsidRPr="00EB4D74">
        <w:rPr>
          <w:rFonts w:ascii="Tahoma" w:hAnsi="Tahoma" w:cs="Tahoma"/>
          <w:b/>
          <w:sz w:val="18"/>
          <w:szCs w:val="18"/>
          <w:lang w:val="it-IT"/>
        </w:rPr>
        <w:t>Outorga de Licença única para titulares de licenças do EBS 2008 Standard e do EBS 2008 Premium</w:t>
      </w: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u w:val="single"/>
          <w:lang w:val="it-IT"/>
        </w:rPr>
        <w:t>Todos os clientes do Licenciamento por Volume para o Windows Essential Business Server 2008 (EBS) Standard e Premium</w:t>
      </w:r>
      <w:r w:rsidRPr="00EB4D74">
        <w:rPr>
          <w:rFonts w:ascii="Tahoma" w:hAnsi="Tahoma" w:cs="Tahoma"/>
          <w:sz w:val="18"/>
          <w:szCs w:val="18"/>
          <w:lang w:val="it-IT"/>
        </w:rPr>
        <w:t xml:space="preserve"> estarão qualificados para as seguintes licenças gratuitas para cada licença do EBS 2008 Standard ou Premium que tiverem a partir de 1° de julho de 2010:</w:t>
      </w:r>
    </w:p>
    <w:p w:rsidR="008B1196" w:rsidRPr="00EB4D74" w:rsidRDefault="008B1196" w:rsidP="008B1196">
      <w:pPr>
        <w:pStyle w:val="ListParagraph"/>
        <w:ind w:left="1260"/>
        <w:contextualSpacing w:val="0"/>
        <w:rPr>
          <w:rFonts w:ascii="Tahoma" w:hAnsi="Tahoma" w:cs="Tahoma"/>
          <w:sz w:val="18"/>
          <w:szCs w:val="18"/>
          <w:lang w:val="it-IT"/>
        </w:rPr>
      </w:pPr>
    </w:p>
    <w:p w:rsidR="008B1196" w:rsidRPr="00EB4D74" w:rsidRDefault="008B1196" w:rsidP="008B1196">
      <w:pPr>
        <w:pStyle w:val="ListParagraph"/>
        <w:numPr>
          <w:ilvl w:val="0"/>
          <w:numId w:val="74"/>
        </w:numPr>
        <w:spacing w:after="60"/>
        <w:ind w:left="1440"/>
        <w:contextualSpacing w:val="0"/>
        <w:rPr>
          <w:rFonts w:ascii="Tahoma" w:hAnsi="Tahoma" w:cs="Tahoma"/>
          <w:sz w:val="18"/>
          <w:szCs w:val="18"/>
        </w:rPr>
      </w:pPr>
      <w:r w:rsidRPr="00EB4D74">
        <w:rPr>
          <w:rFonts w:ascii="Tahoma" w:hAnsi="Tahoma" w:cs="Tahoma"/>
          <w:sz w:val="18"/>
          <w:szCs w:val="18"/>
        </w:rPr>
        <w:t>3 licenças de software para o Windows Server 2008 Standard</w:t>
      </w:r>
    </w:p>
    <w:p w:rsidR="008B1196" w:rsidRPr="00EB4D74" w:rsidRDefault="008B1196" w:rsidP="008B1196">
      <w:pPr>
        <w:pStyle w:val="ListParagraph"/>
        <w:numPr>
          <w:ilvl w:val="0"/>
          <w:numId w:val="74"/>
        </w:numPr>
        <w:spacing w:after="60"/>
        <w:ind w:left="1440"/>
        <w:contextualSpacing w:val="0"/>
        <w:rPr>
          <w:rFonts w:ascii="Tahoma" w:hAnsi="Tahoma" w:cs="Tahoma"/>
          <w:sz w:val="18"/>
          <w:szCs w:val="18"/>
        </w:rPr>
      </w:pPr>
      <w:r w:rsidRPr="00EB4D74">
        <w:rPr>
          <w:rFonts w:ascii="Tahoma" w:hAnsi="Tahoma" w:cs="Tahoma"/>
          <w:sz w:val="18"/>
          <w:szCs w:val="18"/>
        </w:rPr>
        <w:t>2 licenças de software para o Exchange Server 2007 Standard</w:t>
      </w:r>
    </w:p>
    <w:p w:rsidR="008B1196" w:rsidRPr="00EB4D74" w:rsidRDefault="008B1196" w:rsidP="008B1196">
      <w:pPr>
        <w:pStyle w:val="ListParagraph"/>
        <w:numPr>
          <w:ilvl w:val="0"/>
          <w:numId w:val="74"/>
        </w:numPr>
        <w:spacing w:after="60"/>
        <w:ind w:left="1440"/>
        <w:contextualSpacing w:val="0"/>
        <w:rPr>
          <w:rFonts w:ascii="Tahoma" w:hAnsi="Tahoma" w:cs="Tahoma"/>
          <w:sz w:val="18"/>
          <w:szCs w:val="18"/>
          <w:lang w:val="it-IT"/>
        </w:rPr>
      </w:pPr>
      <w:r w:rsidRPr="00EB4D74">
        <w:rPr>
          <w:rFonts w:ascii="Tahoma" w:hAnsi="Tahoma" w:cs="Tahoma"/>
          <w:sz w:val="18"/>
          <w:szCs w:val="18"/>
          <w:lang w:val="it-IT"/>
        </w:rPr>
        <w:lastRenderedPageBreak/>
        <w:t>1 licença de software para o System Center Essentials 2007 e 10 licenças de gerenciamento de Servidor e 50 de Cliente</w:t>
      </w:r>
    </w:p>
    <w:p w:rsidR="008B1196" w:rsidRPr="00EB4D74" w:rsidRDefault="008B1196" w:rsidP="008B1196">
      <w:pPr>
        <w:ind w:left="720"/>
        <w:rPr>
          <w:rFonts w:cs="Tahoma"/>
        </w:rPr>
      </w:pPr>
      <w:r w:rsidRPr="00EB4D74">
        <w:rPr>
          <w:rFonts w:cs="Tahoma"/>
          <w:szCs w:val="18"/>
          <w:lang w:val="pt-BR"/>
        </w:rPr>
        <w:t xml:space="preserve">O contrato de Licenciamento por Volume dos clientes e esta nota de condição do produto são evidências dessas licenças gratuitas. O uso do software sob as licenças gratuitas está sujeito aos termos e condições do contrato celebrado pelos clientes e aos direitos de uso dos produtos individuais. O direito de usar o software sob as licenças gratuitas expirará quando o direito de usar o software sob as licenças de qualificação expirar. </w:t>
      </w:r>
      <w:r w:rsidRPr="00EB4D74">
        <w:rPr>
          <w:rFonts w:cs="Tahoma"/>
          <w:lang w:val="pt-BR"/>
        </w:rPr>
        <w:t>As licenças gratuitas não podem ser transferidas separadamente das licenças de qualificação.</w:t>
      </w:r>
    </w:p>
    <w:p w:rsidR="008B1196" w:rsidRPr="00EB4D74" w:rsidRDefault="008B1196" w:rsidP="008B1196">
      <w:pPr>
        <w:ind w:left="720"/>
        <w:rPr>
          <w:rFonts w:cs="Tahoma"/>
        </w:rPr>
      </w:pPr>
    </w:p>
    <w:p w:rsidR="008B1196" w:rsidRPr="00EB4D74" w:rsidRDefault="008B1196" w:rsidP="008B1196">
      <w:pPr>
        <w:pStyle w:val="ListParagraph"/>
        <w:contextualSpacing w:val="0"/>
        <w:rPr>
          <w:rFonts w:ascii="Tahoma" w:hAnsi="Tahoma" w:cs="Tahoma"/>
          <w:sz w:val="18"/>
          <w:szCs w:val="18"/>
        </w:rPr>
      </w:pPr>
      <w:r w:rsidRPr="00EB4D74">
        <w:rPr>
          <w:rFonts w:ascii="Tahoma" w:hAnsi="Tahoma" w:cs="Tahoma"/>
          <w:sz w:val="18"/>
          <w:szCs w:val="18"/>
          <w:u w:val="single"/>
        </w:rPr>
        <w:t>Os clientes do Licenciamento por Volume para o Windows Essential Business Server (EBS) 2008 Standard</w:t>
      </w:r>
      <w:r w:rsidRPr="00EB4D74">
        <w:rPr>
          <w:rFonts w:ascii="Tahoma" w:hAnsi="Tahoma" w:cs="Tahoma"/>
          <w:sz w:val="18"/>
          <w:szCs w:val="18"/>
        </w:rPr>
        <w:t xml:space="preserve"> estarão adicionalmente qualificados para as seguintes licenças gratuitas para cada licença do EBS 2008 Standard com cobertura do Software Assurance ativa que tiverem a partir de 1° de julho de 2010:</w:t>
      </w:r>
    </w:p>
    <w:p w:rsidR="008B1196" w:rsidRPr="00EB4D74" w:rsidRDefault="008B1196" w:rsidP="008B1196">
      <w:pPr>
        <w:pStyle w:val="ListParagraph"/>
        <w:ind w:left="1260"/>
        <w:contextualSpacing w:val="0"/>
        <w:rPr>
          <w:rFonts w:ascii="Tahoma" w:hAnsi="Tahoma" w:cs="Tahoma"/>
          <w:sz w:val="18"/>
          <w:szCs w:val="18"/>
        </w:rPr>
      </w:pPr>
    </w:p>
    <w:p w:rsidR="008B1196" w:rsidRPr="00EB4D74" w:rsidRDefault="008B1196" w:rsidP="008B1196">
      <w:pPr>
        <w:pStyle w:val="ListParagraph"/>
        <w:numPr>
          <w:ilvl w:val="0"/>
          <w:numId w:val="75"/>
        </w:numPr>
        <w:spacing w:after="60"/>
        <w:ind w:left="1440"/>
        <w:contextualSpacing w:val="0"/>
        <w:rPr>
          <w:rFonts w:ascii="Tahoma" w:hAnsi="Tahoma" w:cs="Tahoma"/>
          <w:sz w:val="18"/>
          <w:szCs w:val="18"/>
        </w:rPr>
      </w:pPr>
      <w:r w:rsidRPr="00EB4D74">
        <w:rPr>
          <w:rFonts w:ascii="Tahoma" w:hAnsi="Tahoma" w:cs="Tahoma"/>
          <w:sz w:val="18"/>
          <w:szCs w:val="18"/>
        </w:rPr>
        <w:t>3 licenças de software para o Windows Server 2008 R2 Standard</w:t>
      </w:r>
    </w:p>
    <w:p w:rsidR="008B1196" w:rsidRPr="00EB4D74" w:rsidRDefault="008B1196" w:rsidP="008B1196">
      <w:pPr>
        <w:pStyle w:val="ListParagraph"/>
        <w:numPr>
          <w:ilvl w:val="0"/>
          <w:numId w:val="75"/>
        </w:numPr>
        <w:spacing w:after="60"/>
        <w:ind w:left="1440"/>
        <w:contextualSpacing w:val="0"/>
        <w:rPr>
          <w:rFonts w:ascii="Tahoma" w:hAnsi="Tahoma" w:cs="Tahoma"/>
          <w:sz w:val="18"/>
          <w:szCs w:val="18"/>
        </w:rPr>
      </w:pPr>
      <w:r w:rsidRPr="00EB4D74">
        <w:rPr>
          <w:rFonts w:ascii="Tahoma" w:hAnsi="Tahoma" w:cs="Tahoma"/>
          <w:sz w:val="18"/>
          <w:szCs w:val="18"/>
        </w:rPr>
        <w:t>1 licença de software para o Exchange Server 2010 Standard</w:t>
      </w:r>
    </w:p>
    <w:p w:rsidR="008B1196" w:rsidRPr="00EB4D74" w:rsidRDefault="008B1196" w:rsidP="008B1196">
      <w:pPr>
        <w:pStyle w:val="ListParagraph"/>
        <w:numPr>
          <w:ilvl w:val="0"/>
          <w:numId w:val="75"/>
        </w:numPr>
        <w:spacing w:after="60"/>
        <w:ind w:left="1440"/>
        <w:contextualSpacing w:val="0"/>
        <w:rPr>
          <w:rFonts w:ascii="Tahoma" w:hAnsi="Tahoma" w:cs="Tahoma"/>
          <w:sz w:val="18"/>
          <w:szCs w:val="18"/>
          <w:lang w:val="it-IT"/>
        </w:rPr>
      </w:pPr>
      <w:r w:rsidRPr="00EB4D74">
        <w:rPr>
          <w:rFonts w:ascii="Tahoma" w:hAnsi="Tahoma" w:cs="Tahoma"/>
          <w:sz w:val="18"/>
          <w:szCs w:val="18"/>
          <w:lang w:val="it-IT"/>
        </w:rPr>
        <w:t>1 licença de software para o System Center Essentials 2010 e 10 licenças de gerenciamento de Servidor e 50 de Cliente</w:t>
      </w:r>
    </w:p>
    <w:p w:rsidR="008B1196" w:rsidRPr="00EB4D74" w:rsidRDefault="008B1196" w:rsidP="008B1196">
      <w:pPr>
        <w:pStyle w:val="ListParagraph"/>
        <w:numPr>
          <w:ilvl w:val="0"/>
          <w:numId w:val="75"/>
        </w:numPr>
        <w:spacing w:after="60"/>
        <w:ind w:left="1440"/>
        <w:contextualSpacing w:val="0"/>
        <w:rPr>
          <w:rFonts w:ascii="Tahoma" w:hAnsi="Tahoma" w:cs="Tahoma"/>
          <w:sz w:val="18"/>
          <w:szCs w:val="18"/>
        </w:rPr>
      </w:pPr>
      <w:r w:rsidRPr="00EB4D74">
        <w:rPr>
          <w:rFonts w:ascii="Tahoma" w:hAnsi="Tahoma" w:cs="Tahoma"/>
          <w:sz w:val="18"/>
          <w:szCs w:val="18"/>
        </w:rPr>
        <w:t>1 licença de software para o Forefront Threat Management Gateway Medium Business Edition 2010</w:t>
      </w:r>
    </w:p>
    <w:p w:rsidR="008B1196" w:rsidRPr="00EB4D74" w:rsidRDefault="008B1196" w:rsidP="008B1196">
      <w:pPr>
        <w:pStyle w:val="ListParagraph"/>
        <w:ind w:left="1260"/>
        <w:rPr>
          <w:rFonts w:ascii="Tahoma" w:hAnsi="Tahoma" w:cs="Tahoma"/>
          <w:sz w:val="18"/>
          <w:szCs w:val="18"/>
        </w:rPr>
      </w:pPr>
    </w:p>
    <w:p w:rsidR="008B1196" w:rsidRPr="00EB4D74" w:rsidRDefault="008B1196" w:rsidP="008B1196">
      <w:pPr>
        <w:pStyle w:val="ListParagraph"/>
        <w:rPr>
          <w:rFonts w:ascii="Tahoma" w:hAnsi="Tahoma" w:cs="Tahoma"/>
          <w:sz w:val="18"/>
          <w:szCs w:val="18"/>
          <w:lang w:val="it-IT"/>
        </w:rPr>
      </w:pPr>
      <w:r w:rsidRPr="00EB4D74">
        <w:rPr>
          <w:rFonts w:ascii="Tahoma" w:hAnsi="Tahoma" w:cs="Tahoma"/>
          <w:sz w:val="18"/>
          <w:szCs w:val="18"/>
          <w:lang w:val="it-IT"/>
        </w:rPr>
        <w:t>(Se uma nova versão de qualquer um dos produtos acima estiver disponível sob o programa de Licenciamento por Volume sob o qual um cliente adquiriu as licenças de qualificação antes do término da cobertura do Software Assurance ativa para a licença do EBS 2008 Standard, o cliente estará qualificado para usar essa nova versão no lugar da versão especificada acima.)</w:t>
      </w:r>
    </w:p>
    <w:p w:rsidR="008B1196" w:rsidRPr="00EB4D74" w:rsidRDefault="008B1196" w:rsidP="008B1196">
      <w:pPr>
        <w:pStyle w:val="ListParagraph"/>
        <w:rPr>
          <w:rFonts w:ascii="Tahoma" w:hAnsi="Tahoma" w:cs="Tahoma"/>
          <w:sz w:val="18"/>
          <w:szCs w:val="18"/>
          <w:lang w:val="it-IT"/>
        </w:rPr>
      </w:pPr>
    </w:p>
    <w:p w:rsidR="008B1196" w:rsidRPr="00EB4D74" w:rsidRDefault="008B1196" w:rsidP="008B1196">
      <w:pPr>
        <w:ind w:left="720"/>
        <w:rPr>
          <w:rFonts w:cs="Tahoma"/>
        </w:rPr>
      </w:pPr>
      <w:r w:rsidRPr="00EB4D74">
        <w:rPr>
          <w:rFonts w:cs="Tahoma"/>
          <w:szCs w:val="18"/>
          <w:lang w:val="pt-BR"/>
        </w:rPr>
        <w:t xml:space="preserve">O contrato de Licenciamento por Volume dos clientes e esta nota de condição do produto são evidências dessas licenças gratuitas. O uso do software sob as licenças gratuitas está sujeito aos termos e condições do contrato celebrado pelos clientes e aos direitos de uso dos produtos individuais. Salvo no caso do Forefront Protection for Exchange Server 2010, o direito de usar o software sob as licenças gratuitas expirará quando o direito de usar o software sob as licenças de qualificação expirar. O direito de usar o Forefront Protection for Exchange Server 2010 expirará em caso de término da cobertura do Software Assurance sobre as licenças de qualificação. </w:t>
      </w:r>
      <w:r w:rsidRPr="00EB4D74">
        <w:rPr>
          <w:rFonts w:cs="Tahoma"/>
          <w:lang w:val="pt-BR"/>
        </w:rPr>
        <w:t>Em todos os casos, as licenças gratuitas não poderão ser transferidas separadamente das licenças de qualificação.</w:t>
      </w:r>
    </w:p>
    <w:p w:rsidR="008B1196" w:rsidRPr="00EB4D74" w:rsidRDefault="008B1196" w:rsidP="008B1196">
      <w:pPr>
        <w:pStyle w:val="ListParagraph"/>
        <w:ind w:left="1260"/>
        <w:rPr>
          <w:rFonts w:ascii="Tahoma" w:hAnsi="Tahoma" w:cs="Tahoma"/>
          <w:sz w:val="18"/>
          <w:szCs w:val="18"/>
        </w:rPr>
      </w:pPr>
    </w:p>
    <w:p w:rsidR="008B1196" w:rsidRPr="00EB4D74" w:rsidRDefault="008B1196" w:rsidP="008B1196">
      <w:pPr>
        <w:tabs>
          <w:tab w:val="left" w:pos="1260"/>
        </w:tabs>
        <w:ind w:left="720"/>
        <w:rPr>
          <w:rFonts w:cs="Tahoma"/>
        </w:rPr>
      </w:pPr>
      <w:r w:rsidRPr="00EB4D74">
        <w:rPr>
          <w:rFonts w:cs="Tahoma"/>
          <w:u w:val="single"/>
          <w:lang w:val="pt-BR"/>
        </w:rPr>
        <w:t xml:space="preserve">Os clientes do Licenciamento por Volume para o Windows Essential Business Server (EBS) 2008 Premium </w:t>
      </w:r>
      <w:r w:rsidRPr="00EB4D74">
        <w:rPr>
          <w:rFonts w:cs="Tahoma"/>
          <w:lang w:val="pt-BR"/>
        </w:rPr>
        <w:t>estarão adicionalmente qualificados para as seguintes licenças gratuitas para cada licença do EBS 2008 Premium com cobertura do Software Assurance ativa que tiverem a partir de 1° de julho de 2010:</w:t>
      </w:r>
    </w:p>
    <w:p w:rsidR="008B1196" w:rsidRPr="00EB4D74" w:rsidRDefault="008B1196" w:rsidP="008B1196">
      <w:pPr>
        <w:pStyle w:val="ListParagraph"/>
        <w:ind w:left="1620"/>
        <w:contextualSpacing w:val="0"/>
        <w:rPr>
          <w:rFonts w:ascii="Tahoma" w:hAnsi="Tahoma" w:cs="Tahoma"/>
          <w:sz w:val="18"/>
          <w:szCs w:val="18"/>
        </w:rPr>
      </w:pPr>
    </w:p>
    <w:p w:rsidR="008B1196" w:rsidRPr="00EB4D74" w:rsidRDefault="008B1196" w:rsidP="008B1196">
      <w:pPr>
        <w:pStyle w:val="ListParagraph"/>
        <w:numPr>
          <w:ilvl w:val="0"/>
          <w:numId w:val="76"/>
        </w:numPr>
        <w:spacing w:after="60"/>
        <w:contextualSpacing w:val="0"/>
        <w:rPr>
          <w:rFonts w:ascii="Tahoma" w:hAnsi="Tahoma" w:cs="Tahoma"/>
          <w:sz w:val="18"/>
          <w:szCs w:val="18"/>
        </w:rPr>
      </w:pPr>
      <w:r w:rsidRPr="00EB4D74">
        <w:rPr>
          <w:rFonts w:ascii="Tahoma" w:hAnsi="Tahoma" w:cs="Tahoma"/>
          <w:sz w:val="18"/>
          <w:szCs w:val="18"/>
        </w:rPr>
        <w:t>4 licenças de software para o Windows Server 2008 R2 Standard</w:t>
      </w:r>
    </w:p>
    <w:p w:rsidR="008B1196" w:rsidRPr="00EB4D74" w:rsidRDefault="008B1196" w:rsidP="008B1196">
      <w:pPr>
        <w:pStyle w:val="ListParagraph"/>
        <w:numPr>
          <w:ilvl w:val="0"/>
          <w:numId w:val="76"/>
        </w:numPr>
        <w:spacing w:after="60"/>
        <w:contextualSpacing w:val="0"/>
        <w:rPr>
          <w:rFonts w:ascii="Tahoma" w:hAnsi="Tahoma" w:cs="Tahoma"/>
          <w:sz w:val="18"/>
          <w:szCs w:val="18"/>
        </w:rPr>
      </w:pPr>
      <w:r w:rsidRPr="00EB4D74">
        <w:rPr>
          <w:rFonts w:ascii="Tahoma" w:hAnsi="Tahoma" w:cs="Tahoma"/>
          <w:sz w:val="18"/>
          <w:szCs w:val="18"/>
        </w:rPr>
        <w:t>1 licença de software para o SQL Server 2008 R2 Standard</w:t>
      </w:r>
    </w:p>
    <w:p w:rsidR="008B1196" w:rsidRPr="00EB4D74" w:rsidRDefault="008B1196" w:rsidP="008B1196">
      <w:pPr>
        <w:pStyle w:val="ListParagraph"/>
        <w:numPr>
          <w:ilvl w:val="0"/>
          <w:numId w:val="76"/>
        </w:numPr>
        <w:spacing w:after="60"/>
        <w:contextualSpacing w:val="0"/>
        <w:rPr>
          <w:rFonts w:ascii="Tahoma" w:hAnsi="Tahoma" w:cs="Tahoma"/>
          <w:sz w:val="18"/>
          <w:szCs w:val="18"/>
        </w:rPr>
      </w:pPr>
      <w:r w:rsidRPr="00EB4D74">
        <w:rPr>
          <w:rFonts w:ascii="Tahoma" w:hAnsi="Tahoma" w:cs="Tahoma"/>
          <w:sz w:val="18"/>
          <w:szCs w:val="18"/>
        </w:rPr>
        <w:t>2 licenças de software para o Exchange Server 2010 Standard</w:t>
      </w:r>
    </w:p>
    <w:p w:rsidR="008B1196" w:rsidRPr="00EB4D74" w:rsidRDefault="008B1196" w:rsidP="008B1196">
      <w:pPr>
        <w:pStyle w:val="ListParagraph"/>
        <w:numPr>
          <w:ilvl w:val="0"/>
          <w:numId w:val="76"/>
        </w:numPr>
        <w:spacing w:after="60"/>
        <w:contextualSpacing w:val="0"/>
        <w:rPr>
          <w:rFonts w:ascii="Tahoma" w:hAnsi="Tahoma" w:cs="Tahoma"/>
          <w:sz w:val="18"/>
          <w:szCs w:val="18"/>
          <w:lang w:val="it-IT"/>
        </w:rPr>
      </w:pPr>
      <w:r w:rsidRPr="00EB4D74">
        <w:rPr>
          <w:rFonts w:ascii="Tahoma" w:hAnsi="Tahoma" w:cs="Tahoma"/>
          <w:sz w:val="18"/>
          <w:szCs w:val="18"/>
          <w:lang w:val="it-IT"/>
        </w:rPr>
        <w:t>1 licença de software para o System Center Essentials 2010 e 10 licenças de gerenciamento de Servidor e 50 de Cliente</w:t>
      </w:r>
    </w:p>
    <w:p w:rsidR="008B1196" w:rsidRPr="00EB4D74" w:rsidRDefault="008B1196" w:rsidP="008B1196">
      <w:pPr>
        <w:pStyle w:val="ListParagraph"/>
        <w:numPr>
          <w:ilvl w:val="0"/>
          <w:numId w:val="76"/>
        </w:numPr>
        <w:spacing w:after="60"/>
        <w:contextualSpacing w:val="0"/>
        <w:rPr>
          <w:rFonts w:ascii="Tahoma" w:hAnsi="Tahoma" w:cs="Tahoma"/>
          <w:sz w:val="18"/>
          <w:szCs w:val="18"/>
        </w:rPr>
      </w:pPr>
      <w:r w:rsidRPr="00EB4D74">
        <w:rPr>
          <w:rFonts w:ascii="Tahoma" w:hAnsi="Tahoma" w:cs="Tahoma"/>
          <w:sz w:val="18"/>
          <w:szCs w:val="18"/>
        </w:rPr>
        <w:t>1 licença de software para o Forefront Threat Management Gateway Medium Business 2010</w:t>
      </w:r>
    </w:p>
    <w:p w:rsidR="008B1196" w:rsidRPr="00EB4D74" w:rsidRDefault="008B1196" w:rsidP="008B1196">
      <w:pPr>
        <w:pStyle w:val="ListParagraph"/>
        <w:ind w:left="1620"/>
        <w:rPr>
          <w:rFonts w:ascii="Tahoma" w:hAnsi="Tahoma" w:cs="Tahoma"/>
          <w:sz w:val="18"/>
          <w:szCs w:val="18"/>
        </w:rPr>
      </w:pPr>
    </w:p>
    <w:p w:rsidR="008B1196" w:rsidRPr="00EB4D74" w:rsidRDefault="008B1196" w:rsidP="008B1196">
      <w:pPr>
        <w:pStyle w:val="ListParagraph"/>
        <w:rPr>
          <w:rFonts w:ascii="Tahoma" w:hAnsi="Tahoma" w:cs="Tahoma"/>
          <w:sz w:val="18"/>
          <w:szCs w:val="18"/>
          <w:lang w:val="it-IT"/>
        </w:rPr>
      </w:pPr>
      <w:r w:rsidRPr="00EB4D74">
        <w:rPr>
          <w:rFonts w:ascii="Tahoma" w:hAnsi="Tahoma" w:cs="Tahoma"/>
          <w:sz w:val="18"/>
          <w:szCs w:val="18"/>
          <w:lang w:val="it-IT"/>
        </w:rPr>
        <w:t>(Se uma nova versão de qualquer um dos produtos acima estiver disponível sob o programa de Licenciamento por Volume sob o qual um cliente adquiriu as licenças de qualificação antes do término da cobertura do Software Assurance ativa para a licença do EBS 2008 Premium, o cliente estará qualificado para usar essa nova versão no lugar da versão especificada acima.)</w:t>
      </w:r>
    </w:p>
    <w:p w:rsidR="008B1196" w:rsidRPr="00EB4D74" w:rsidRDefault="008B1196" w:rsidP="008B1196">
      <w:pPr>
        <w:pStyle w:val="ListParagraph"/>
        <w:ind w:left="1260"/>
        <w:rPr>
          <w:rFonts w:ascii="Tahoma" w:hAnsi="Tahoma" w:cs="Tahoma"/>
          <w:sz w:val="18"/>
          <w:szCs w:val="18"/>
          <w:lang w:val="it-IT"/>
        </w:rPr>
      </w:pPr>
    </w:p>
    <w:p w:rsidR="008B1196" w:rsidRPr="00EB4D74" w:rsidRDefault="008B1196" w:rsidP="008B1196">
      <w:pPr>
        <w:ind w:left="720"/>
        <w:rPr>
          <w:rFonts w:cs="Tahoma"/>
        </w:rPr>
      </w:pPr>
      <w:r w:rsidRPr="00EB4D74">
        <w:rPr>
          <w:rFonts w:cs="Tahoma"/>
          <w:szCs w:val="18"/>
          <w:lang w:val="pt-BR"/>
        </w:rPr>
        <w:t xml:space="preserve">O contrato de Licenciamento por Volume dos clientes e esta nota de condição do produto são evidências dessas licenças gratuitas. O uso do software sob as licenças gratuitas está sujeito aos termos e condições do contrato celebrado pelos clientes e aos direitos de uso dos produtos individuais. Salvo no caso do Forefront Protection for Exchange Server 2010, o direito de usar o software sob as licenças gratuitas expirará quando o direito de usar o software sob as licenças de qualificação expirar. O direito de usar o Forefront Protection for Exchange Server 2010 expirará em caso de término da cobertura do Software </w:t>
      </w:r>
      <w:r w:rsidRPr="00EB4D74">
        <w:rPr>
          <w:rFonts w:cs="Tahoma"/>
          <w:szCs w:val="18"/>
          <w:lang w:val="pt-BR"/>
        </w:rPr>
        <w:lastRenderedPageBreak/>
        <w:t xml:space="preserve">Assurance sobre as licenças de qualificação. </w:t>
      </w:r>
      <w:r w:rsidRPr="00EB4D74">
        <w:rPr>
          <w:rFonts w:cs="Tahoma"/>
          <w:lang w:val="pt-BR"/>
        </w:rPr>
        <w:t>Em todos os casos, as licenças gratuitas não poderão ser transferidas separadamente das licenças de qualificação.</w:t>
      </w:r>
    </w:p>
    <w:p w:rsidR="008B1196" w:rsidRPr="00EB4D74" w:rsidRDefault="008B1196" w:rsidP="008B1196">
      <w:pPr>
        <w:pStyle w:val="ListParagraph"/>
        <w:ind w:left="1800"/>
        <w:rPr>
          <w:rFonts w:ascii="Tahoma" w:hAnsi="Tahoma" w:cs="Tahoma"/>
          <w:sz w:val="18"/>
          <w:szCs w:val="18"/>
        </w:rPr>
      </w:pPr>
    </w:p>
    <w:p w:rsidR="008B1196" w:rsidRPr="00EB4D74" w:rsidRDefault="008B1196" w:rsidP="008B1196">
      <w:pPr>
        <w:pStyle w:val="ListParagraph"/>
        <w:spacing w:after="60"/>
        <w:contextualSpacing w:val="0"/>
        <w:rPr>
          <w:rFonts w:ascii="Tahoma" w:hAnsi="Tahoma" w:cs="Tahoma"/>
        </w:rPr>
      </w:pPr>
      <w:r w:rsidRPr="00EB4D74">
        <w:rPr>
          <w:rFonts w:ascii="Tahoma" w:hAnsi="Tahoma" w:cs="Tahoma"/>
          <w:b/>
          <w:sz w:val="18"/>
        </w:rPr>
        <w:t>Direitos de uso adicionais para CALs do Windows Essential Business Server (EBS) 2008</w:t>
      </w:r>
    </w:p>
    <w:p w:rsidR="008B1196" w:rsidRPr="00EB4D74" w:rsidRDefault="008B1196" w:rsidP="008B1196">
      <w:pPr>
        <w:ind w:left="720"/>
        <w:rPr>
          <w:rFonts w:cs="Tahoma"/>
          <w:lang w:val="pt-BR"/>
        </w:rPr>
      </w:pPr>
      <w:r w:rsidRPr="00EB4D74">
        <w:rPr>
          <w:rFonts w:cs="Tahoma"/>
          <w:szCs w:val="18"/>
          <w:lang w:val="pt-BR"/>
        </w:rPr>
        <w:t xml:space="preserve">Não obstante quaisquer disposições em contrário nos direitos de uso de produto para o Windows Server 2008 e o Exchange Server 2007 Standard, os clientes poderão usar o EBS 2008 CAL Suite e o EBS 2008 CAL Suite para Usuários e Dispositivos Premium para acessar suas instâncias licenciadas do referido software dentro ou fora do domínio do EBS 2008. </w:t>
      </w:r>
      <w:r w:rsidRPr="00EB4D74">
        <w:rPr>
          <w:rFonts w:cs="Tahoma"/>
          <w:lang w:val="pt-BR"/>
        </w:rPr>
        <w:t>Além disso, não obstante quaisquer disposições em contrário nos direitos de uso de produto para o SQL Server 2008 Standard, os clientes poderão usar o EBS 2008 CAL Suite para Usuários e Dispositivos Premium para acessar suas instâncias licenciadas do SQL Server 2008 Standard dentro ou fora do domínio do EBS 2008.</w:t>
      </w:r>
    </w:p>
    <w:p w:rsidR="008B1196" w:rsidRPr="00EB4D74" w:rsidRDefault="008B1196" w:rsidP="008B1196">
      <w:pPr>
        <w:tabs>
          <w:tab w:val="left" w:pos="1260"/>
        </w:tabs>
        <w:ind w:left="1260"/>
        <w:rPr>
          <w:rFonts w:cs="Tahoma"/>
          <w:lang w:val="pt-BR"/>
        </w:rPr>
      </w:pPr>
    </w:p>
    <w:p w:rsidR="008B1196" w:rsidRPr="00EB4D74" w:rsidRDefault="008B1196" w:rsidP="008B1196">
      <w:pPr>
        <w:tabs>
          <w:tab w:val="left" w:pos="1260"/>
        </w:tabs>
        <w:ind w:left="720"/>
        <w:rPr>
          <w:rFonts w:cs="Tahoma"/>
        </w:rPr>
      </w:pPr>
      <w:r w:rsidRPr="00EB4D74">
        <w:rPr>
          <w:rFonts w:cs="Tahoma"/>
          <w:lang w:val="pt-BR"/>
        </w:rPr>
        <w:t>Para clientes com CALs do Windows Essential Business Server (EBS) 2008 com cobertura do Software Assurance ativa a partir de 1° de julho de 2010:</w:t>
      </w:r>
    </w:p>
    <w:p w:rsidR="008B1196" w:rsidRPr="00EB4D74" w:rsidRDefault="008B1196" w:rsidP="008B1196">
      <w:pPr>
        <w:pStyle w:val="ListParagraph"/>
        <w:tabs>
          <w:tab w:val="left" w:pos="1260"/>
        </w:tabs>
        <w:ind w:left="1260"/>
        <w:contextualSpacing w:val="0"/>
        <w:rPr>
          <w:rFonts w:ascii="Tahoma" w:hAnsi="Tahoma" w:cs="Tahoma"/>
          <w:sz w:val="18"/>
          <w:szCs w:val="18"/>
        </w:rPr>
      </w:pPr>
    </w:p>
    <w:p w:rsidR="008B1196" w:rsidRPr="00EB4D74" w:rsidRDefault="008B1196" w:rsidP="008B1196">
      <w:pPr>
        <w:pStyle w:val="ListParagraph"/>
        <w:numPr>
          <w:ilvl w:val="0"/>
          <w:numId w:val="125"/>
        </w:numPr>
        <w:tabs>
          <w:tab w:val="left" w:pos="1440"/>
        </w:tabs>
        <w:spacing w:after="60"/>
        <w:contextualSpacing w:val="0"/>
        <w:rPr>
          <w:rFonts w:ascii="Tahoma" w:hAnsi="Tahoma" w:cs="Tahoma"/>
          <w:sz w:val="18"/>
          <w:szCs w:val="18"/>
          <w:lang w:val="it-IT"/>
        </w:rPr>
      </w:pPr>
      <w:r w:rsidRPr="00EB4D74">
        <w:rPr>
          <w:rFonts w:ascii="Tahoma" w:hAnsi="Tahoma" w:cs="Tahoma"/>
          <w:sz w:val="18"/>
          <w:szCs w:val="18"/>
          <w:lang w:val="it-IT"/>
        </w:rPr>
        <w:t>Para cada EBS 2008 CAL Suite com cobertura do Software Assurance ativa a partir de 1° de julho de 2010 que tiver, o cliente estará qualificado para as seguintes licenças gratuitas:</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1 CAL do Windows Server 2008</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1 CAL do Exchange Server 2010 Standard</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1 licença de assinatura de dispositivo ou usuário para o Forefront Protection for Exchange Server 2010</w:t>
      </w:r>
    </w:p>
    <w:p w:rsidR="008B1196" w:rsidRPr="00EB4D74" w:rsidRDefault="008B1196" w:rsidP="008B1196">
      <w:pPr>
        <w:pStyle w:val="ListParagraph"/>
        <w:tabs>
          <w:tab w:val="num" w:pos="1800"/>
        </w:tabs>
        <w:spacing w:after="60"/>
        <w:ind w:left="1800"/>
        <w:contextualSpacing w:val="0"/>
        <w:rPr>
          <w:rFonts w:ascii="Tahoma" w:hAnsi="Tahoma" w:cs="Tahoma"/>
          <w:sz w:val="18"/>
          <w:szCs w:val="18"/>
        </w:rPr>
      </w:pPr>
    </w:p>
    <w:p w:rsidR="008B1196" w:rsidRPr="00EB4D74" w:rsidRDefault="008B1196" w:rsidP="008B1196">
      <w:pPr>
        <w:pStyle w:val="ListParagraph"/>
        <w:numPr>
          <w:ilvl w:val="0"/>
          <w:numId w:val="125"/>
        </w:numPr>
        <w:tabs>
          <w:tab w:val="left" w:pos="1440"/>
        </w:tabs>
        <w:spacing w:after="60"/>
        <w:contextualSpacing w:val="0"/>
        <w:rPr>
          <w:rFonts w:ascii="Tahoma" w:hAnsi="Tahoma" w:cs="Tahoma"/>
          <w:sz w:val="18"/>
          <w:szCs w:val="18"/>
          <w:lang w:val="it-IT"/>
        </w:rPr>
      </w:pPr>
      <w:r w:rsidRPr="00EB4D74">
        <w:rPr>
          <w:rFonts w:ascii="Tahoma" w:hAnsi="Tahoma" w:cs="Tahoma"/>
          <w:sz w:val="18"/>
          <w:szCs w:val="18"/>
          <w:lang w:val="it-IT"/>
        </w:rPr>
        <w:t>Para cada EBS 2008 CAL Suite para Usuários e Dispositivos Premium com cobertura do Software Assurance ativa a partir de 1° de julho de 2010 que tiver, o cliente estará qualificado para as seguintes licenças gratuitas:</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CAL do Windows Server 2008</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CAL do Exchange Server 2010 Standard</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CAL do SQL Server 2008 R2</w:t>
      </w:r>
    </w:p>
    <w:p w:rsidR="008B1196" w:rsidRPr="00EB4D74" w:rsidRDefault="008B1196" w:rsidP="008B1196">
      <w:pPr>
        <w:pStyle w:val="ListParagraph"/>
        <w:numPr>
          <w:ilvl w:val="1"/>
          <w:numId w:val="126"/>
        </w:numPr>
        <w:tabs>
          <w:tab w:val="clear" w:pos="720"/>
        </w:tabs>
        <w:spacing w:after="60"/>
        <w:ind w:left="1980"/>
        <w:contextualSpacing w:val="0"/>
        <w:rPr>
          <w:rFonts w:ascii="Tahoma" w:hAnsi="Tahoma" w:cs="Tahoma"/>
          <w:sz w:val="18"/>
          <w:szCs w:val="18"/>
        </w:rPr>
      </w:pPr>
      <w:r w:rsidRPr="00EB4D74">
        <w:rPr>
          <w:rFonts w:ascii="Tahoma" w:hAnsi="Tahoma" w:cs="Tahoma"/>
          <w:sz w:val="18"/>
          <w:szCs w:val="18"/>
        </w:rPr>
        <w:t>1 licença de assinatura de dispositivo ou usuário para o Forefront Protection for Exchange Server 2010</w:t>
      </w:r>
    </w:p>
    <w:p w:rsidR="008B1196" w:rsidRPr="00EB4D74" w:rsidRDefault="008B1196" w:rsidP="008B1196">
      <w:pPr>
        <w:pStyle w:val="ListParagraph"/>
        <w:spacing w:after="60"/>
        <w:ind w:left="1980"/>
        <w:contextualSpacing w:val="0"/>
        <w:rPr>
          <w:rFonts w:ascii="Tahoma" w:hAnsi="Tahoma" w:cs="Tahoma"/>
          <w:sz w:val="18"/>
          <w:szCs w:val="18"/>
          <w:lang w:val="it-IT"/>
        </w:rPr>
      </w:pPr>
      <w:r w:rsidRPr="00EB4D74">
        <w:rPr>
          <w:rFonts w:ascii="Tahoma" w:hAnsi="Tahoma" w:cs="Tahoma"/>
          <w:sz w:val="18"/>
          <w:szCs w:val="18"/>
          <w:lang w:val="it-IT"/>
        </w:rPr>
        <w:t>(Se uma nova versão desses produtos estiver disponível sob o programa de Licenciamento por Volume sob o qual um cliente adquiriu as licenças de qualificação antes do término da cobertura do Software Assurance ativa para a CAL do EBS 2008 qualificada, o cliente estará qualificado para CALs correspondentes a essa nova versão.)</w:t>
      </w:r>
    </w:p>
    <w:p w:rsidR="008B1196" w:rsidRPr="00EB4D74" w:rsidRDefault="008B1196" w:rsidP="008B1196">
      <w:pPr>
        <w:rPr>
          <w:rFonts w:cs="Tahoma"/>
          <w:lang w:val="it-IT"/>
        </w:rPr>
      </w:pPr>
    </w:p>
    <w:p w:rsidR="008B1196" w:rsidRPr="00EB4D74" w:rsidRDefault="008B1196" w:rsidP="008B1196">
      <w:pPr>
        <w:ind w:left="720"/>
        <w:rPr>
          <w:rFonts w:cs="Tahoma"/>
        </w:rPr>
      </w:pPr>
      <w:r w:rsidRPr="00EB4D74">
        <w:rPr>
          <w:rFonts w:cs="Tahoma"/>
          <w:szCs w:val="18"/>
          <w:lang w:val="pt-BR"/>
        </w:rPr>
        <w:t xml:space="preserve">O contrato de Licenciamento por Volume dos clientes e esta nota de condição do produto são evidências dessas CALs gratuitas. O uso do software sob as CALs gratuitas está sujeito aos termos e condições do contrato celebrado pelos clientes e aos direitos de uso dos produtos individuais. O direito de usar o software sob as CALs gratuitas expirará quando o direito de usar o software sob as CALs qualificadas expirar. </w:t>
      </w:r>
      <w:bookmarkStart w:id="1505" w:name="_107_Windows_Azure"/>
      <w:bookmarkEnd w:id="1505"/>
      <w:r w:rsidRPr="00EB4D74">
        <w:rPr>
          <w:rFonts w:cs="Tahoma"/>
          <w:lang w:val="pt-BR"/>
        </w:rPr>
        <w:t>Em todos os casos, as CALs gratuitas não poderão ser transferidas separadamente das CALs qualificadas.</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rPr>
          <w:rFonts w:ascii="Tahoma" w:hAnsi="Tahoma" w:cs="Tahoma"/>
        </w:rPr>
      </w:pPr>
      <w:bookmarkStart w:id="1506" w:name="_Toc336338365"/>
      <w:bookmarkStart w:id="1507" w:name="Srv_109HPCServer2008_R2Suite"/>
      <w:bookmarkStart w:id="1508" w:name="Srv_96WindowsHighPerfCompSvr08"/>
      <w:bookmarkStart w:id="1509" w:name="Srv_94HPCServer2008_R2Suite"/>
      <w:bookmarkStart w:id="1510" w:name="Srv_106HPCServer2008_R2Suite"/>
      <w:bookmarkStart w:id="1511" w:name="_98_Windows_HPC"/>
      <w:bookmarkStart w:id="1512" w:name="_Toc342914992"/>
      <w:bookmarkEnd w:id="1506"/>
      <w:bookmarkEnd w:id="1507"/>
      <w:bookmarkEnd w:id="1508"/>
      <w:bookmarkEnd w:id="1509"/>
      <w:bookmarkEnd w:id="1510"/>
      <w:bookmarkEnd w:id="1511"/>
      <w:r w:rsidRPr="00EB4D74">
        <w:rPr>
          <w:rFonts w:ascii="Tahoma" w:hAnsi="Tahoma" w:cs="Tahoma"/>
          <w:caps/>
          <w:color w:val="F66400"/>
          <w:sz w:val="22"/>
          <w:vertAlign w:val="superscript"/>
          <w:lang w:val="pt-BR"/>
        </w:rPr>
        <w:t>98</w:t>
      </w:r>
      <w:r w:rsidRPr="00EB4D74">
        <w:rPr>
          <w:rFonts w:ascii="Tahoma" w:hAnsi="Tahoma" w:cs="Tahoma"/>
          <w:color w:val="F66400"/>
          <w:sz w:val="22"/>
          <w:lang w:val="pt-BR"/>
        </w:rPr>
        <w:t xml:space="preserve"> Windows HPC Server 2008 R2 Suite</w:t>
      </w:r>
      <w:bookmarkEnd w:id="1512"/>
    </w:p>
    <w:p w:rsidR="008B1196" w:rsidRPr="00EB4D74" w:rsidRDefault="008B1196" w:rsidP="008B1196">
      <w:pPr>
        <w:pStyle w:val="EndnoteText"/>
        <w:rPr>
          <w:rFonts w:ascii="Tahoma" w:hAnsi="Tahoma" w:cs="Tahoma"/>
          <w:sz w:val="18"/>
          <w:szCs w:val="18"/>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da edição do HPC Server Suite</w:t>
      </w:r>
    </w:p>
    <w:p w:rsidR="008B1196" w:rsidRPr="00EB4D74" w:rsidRDefault="008B1196" w:rsidP="008B1196">
      <w:pPr>
        <w:ind w:left="720"/>
        <w:rPr>
          <w:rFonts w:cs="Tahoma"/>
          <w:spacing w:val="-2"/>
          <w:lang w:val="it-IT"/>
        </w:rPr>
      </w:pPr>
      <w:r w:rsidRPr="00EB4D74">
        <w:rPr>
          <w:rFonts w:cs="Tahoma"/>
          <w:color w:val="000000"/>
          <w:spacing w:val="-2"/>
          <w:lang w:val="pt-BR"/>
        </w:rPr>
        <w:t xml:space="preserve">O HPC Server Suite 2008 R2 será a última versão do HPC Server Suite. </w:t>
      </w:r>
      <w:r w:rsidRPr="00EB4D74">
        <w:rPr>
          <w:rFonts w:cs="Tahoma"/>
          <w:spacing w:val="-2"/>
          <w:lang w:val="pt-BR"/>
        </w:rPr>
        <w:t>Os clientes de licenciamento por volume com Software Assurance ativo para licenças do HPC Server Suite em 1º de setembro de 2012 ou a partir da data da primeira disponibilização do Windows Server 2012 para download no Volume Licensing Service Center (Centro de Atendimento de Licenciamento por Volume), o que ocorrer primeiro, (“Licenças Qualificadas”) poderão atualizar para e usar o software Windows Server 2012 Standard em vez do HPC Server Suite. Para facilitar essa atualização, para cada Licença de Qualificação que o cliente possui, ele terá uma licença do processador Windows Server 2012 Standard mediante a disponibilização do Windows Server 2012.</w:t>
      </w:r>
    </w:p>
    <w:p w:rsidR="008B1196" w:rsidRPr="00EB4D74" w:rsidRDefault="008B1196" w:rsidP="008B1196">
      <w:pPr>
        <w:ind w:left="720"/>
        <w:rPr>
          <w:rFonts w:cs="Tahoma"/>
          <w:lang w:val="it-IT"/>
        </w:rPr>
      </w:pPr>
    </w:p>
    <w:p w:rsidR="008B1196" w:rsidRPr="00EB4D74" w:rsidRDefault="008B1196" w:rsidP="008B1196">
      <w:pPr>
        <w:numPr>
          <w:ilvl w:val="0"/>
          <w:numId w:val="93"/>
        </w:numPr>
        <w:tabs>
          <w:tab w:val="left" w:pos="1440"/>
        </w:tabs>
        <w:spacing w:after="60"/>
        <w:ind w:left="1440"/>
        <w:rPr>
          <w:rFonts w:cs="Tahoma"/>
          <w:lang w:val="it-IT"/>
        </w:rPr>
      </w:pPr>
      <w:r w:rsidRPr="00EB4D74">
        <w:rPr>
          <w:rFonts w:eastAsia="Times New Roman" w:cs="Tahoma"/>
          <w:szCs w:val="18"/>
          <w:lang w:val="pt-BR"/>
        </w:rPr>
        <w:t xml:space="preserve">As licenças adquiridas sob esta concessão incluirão cobertura do Software Assurance. </w:t>
      </w:r>
      <w:r w:rsidRPr="00EB4D74">
        <w:rPr>
          <w:rFonts w:cs="Tahoma"/>
          <w:lang w:val="pt-BR"/>
        </w:rPr>
        <w:t>Tal cobertura expira quando a cobertura correspondente nas Licenças de Qualificação expirar.</w:t>
      </w:r>
    </w:p>
    <w:p w:rsidR="008B1196" w:rsidRPr="00EB4D74" w:rsidRDefault="008B1196" w:rsidP="008B1196">
      <w:pPr>
        <w:numPr>
          <w:ilvl w:val="0"/>
          <w:numId w:val="93"/>
        </w:numPr>
        <w:tabs>
          <w:tab w:val="left" w:pos="1440"/>
        </w:tabs>
        <w:spacing w:after="60"/>
        <w:ind w:left="1440"/>
        <w:rPr>
          <w:rFonts w:cs="Tahoma"/>
          <w:spacing w:val="-2"/>
          <w:lang w:val="it-IT"/>
        </w:rPr>
      </w:pPr>
      <w:r w:rsidRPr="00EB4D74">
        <w:rPr>
          <w:rFonts w:cs="Tahoma"/>
          <w:spacing w:val="-2"/>
          <w:lang w:val="pt-BR"/>
        </w:rPr>
        <w:lastRenderedPageBreak/>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3"/>
        </w:numPr>
        <w:tabs>
          <w:tab w:val="left" w:pos="1440"/>
        </w:tabs>
        <w:spacing w:after="60"/>
        <w:ind w:left="1440"/>
        <w:rPr>
          <w:rFonts w:cs="Tahoma"/>
        </w:rPr>
      </w:pPr>
      <w:r w:rsidRPr="00EB4D74">
        <w:rPr>
          <w:rFonts w:cs="Tahoma"/>
          <w:lang w:val="pt-BR"/>
        </w:rPr>
        <w:t>Na atualização para o Windows Server 2012 Standard sob essa concessão, as Licenças de Qualificação do HPC Server Suite existentes do cliente não serão mais válidas.</w:t>
      </w:r>
    </w:p>
    <w:p w:rsidR="008B1196" w:rsidRPr="00EB4D74" w:rsidRDefault="008B1196" w:rsidP="008B1196">
      <w:pPr>
        <w:numPr>
          <w:ilvl w:val="0"/>
          <w:numId w:val="97"/>
        </w:numPr>
        <w:tabs>
          <w:tab w:val="left" w:pos="1440"/>
        </w:tabs>
        <w:spacing w:after="60"/>
        <w:ind w:left="1440"/>
        <w:rPr>
          <w:rFonts w:cs="Tahoma"/>
        </w:rPr>
      </w:pPr>
      <w:r w:rsidRPr="00EB4D74">
        <w:rPr>
          <w:rFonts w:cs="Tahoma"/>
          <w:color w:val="000000"/>
          <w:lang w:val="pt-BR"/>
        </w:rPr>
        <w:t>As licenças do HPC Server Suite adquiridas posteriormente no mesmo prazo de registro, como parte de um processo de adequação (“true-up”) programado do cliente Enterprise, Enterprise Subscription, Open Value Subscription ou EES também são Licenças de Qualificação para os propósitos da concessão supracitada.</w:t>
      </w:r>
    </w:p>
    <w:p w:rsidR="008B1196" w:rsidRPr="00EB4D74" w:rsidRDefault="008B1196" w:rsidP="008B1196">
      <w:pPr>
        <w:numPr>
          <w:ilvl w:val="0"/>
          <w:numId w:val="97"/>
        </w:numPr>
        <w:tabs>
          <w:tab w:val="left" w:pos="1440"/>
        </w:tabs>
        <w:spacing w:after="60"/>
        <w:ind w:left="1440"/>
        <w:rPr>
          <w:rFonts w:cs="Tahoma"/>
        </w:rPr>
      </w:pPr>
      <w:r w:rsidRPr="00EB4D74">
        <w:rPr>
          <w:rFonts w:cs="Tahoma"/>
          <w:color w:val="000000"/>
          <w:lang w:val="pt-BR"/>
        </w:rPr>
        <w:t>Não obstante a concessão das licenças do Windows Server 2012 Standard e qualquer atualização para esta versão, as obrigações de pagar montantes devidos e pendentes pelas Licenças de Qualificação e cobertura permanecem em pleno vigor e efeito.</w:t>
      </w:r>
    </w:p>
    <w:p w:rsidR="008B1196" w:rsidRPr="00EB4D74" w:rsidRDefault="008B1196" w:rsidP="008B1196">
      <w:pPr>
        <w:numPr>
          <w:ilvl w:val="0"/>
          <w:numId w:val="97"/>
        </w:numPr>
        <w:tabs>
          <w:tab w:val="left" w:pos="1440"/>
        </w:tabs>
        <w:spacing w:after="60"/>
        <w:ind w:left="1440"/>
        <w:rPr>
          <w:rFonts w:cs="Tahoma"/>
        </w:rPr>
      </w:pPr>
      <w:bookmarkStart w:id="1513" w:name="_109_Windows®_Intune"/>
      <w:bookmarkEnd w:id="1513"/>
      <w:r w:rsidRPr="00EB4D74">
        <w:rPr>
          <w:rFonts w:cs="Tahoma"/>
          <w:color w:val="000000"/>
          <w:lang w:val="pt-BR"/>
        </w:rPr>
        <w:t>Consulte as notas da lista de produtos relacionadas ao Windows Server 2008 R2 HPC Edition e HPC Pack 2008 R2 Enterprise.</w:t>
      </w:r>
    </w:p>
    <w:p w:rsidR="008B1196" w:rsidRPr="00EB4D74" w:rsidRDefault="008B1196" w:rsidP="008B1196">
      <w:pPr>
        <w:tabs>
          <w:tab w:val="left" w:pos="1440"/>
        </w:tabs>
        <w:ind w:left="1080"/>
        <w:contextualSpacing/>
        <w:rPr>
          <w:rFonts w:cs="Tahoma"/>
        </w:rPr>
      </w:pPr>
    </w:p>
    <w:p w:rsidR="008B1196" w:rsidRPr="00EB4D74" w:rsidRDefault="008B1196" w:rsidP="008B1196">
      <w:pPr>
        <w:tabs>
          <w:tab w:val="left" w:pos="1440"/>
        </w:tabs>
        <w:ind w:left="1080"/>
        <w:contextualSpacing/>
        <w:rPr>
          <w:rFonts w:cs="Tahoma"/>
        </w:rPr>
      </w:pPr>
    </w:p>
    <w:p w:rsidR="008B1196" w:rsidRPr="00EB4D74" w:rsidRDefault="008B1196" w:rsidP="008B1196">
      <w:pPr>
        <w:pStyle w:val="Heading2"/>
        <w:ind w:hanging="720"/>
        <w:rPr>
          <w:rFonts w:ascii="Tahoma" w:hAnsi="Tahoma" w:cs="Tahoma"/>
        </w:rPr>
      </w:pPr>
      <w:bookmarkStart w:id="1514" w:name="_98Windows_Intune_Add-on"/>
      <w:bookmarkStart w:id="1515" w:name="_98_Windows_Multipoint"/>
      <w:bookmarkStart w:id="1516" w:name="_Toc336338366"/>
      <w:bookmarkStart w:id="1517" w:name="Srv_110WindowsIntuneAddOn"/>
      <w:bookmarkStart w:id="1518" w:name="Srv_104WindowsIntuneAddOn"/>
      <w:bookmarkStart w:id="1519" w:name="_99_Complemento_do"/>
      <w:bookmarkStart w:id="1520" w:name="_Toc342914993"/>
      <w:bookmarkEnd w:id="1514"/>
      <w:bookmarkEnd w:id="1515"/>
      <w:bookmarkEnd w:id="1516"/>
      <w:bookmarkEnd w:id="1517"/>
      <w:bookmarkEnd w:id="1518"/>
      <w:bookmarkEnd w:id="1519"/>
      <w:r w:rsidRPr="00EB4D74">
        <w:rPr>
          <w:rFonts w:ascii="Tahoma" w:hAnsi="Tahoma" w:cs="Tahoma"/>
          <w:caps/>
          <w:color w:val="EE6000"/>
          <w:sz w:val="22"/>
          <w:vertAlign w:val="superscript"/>
          <w:lang w:val="pt-BR"/>
        </w:rPr>
        <w:t xml:space="preserve">99 </w:t>
      </w:r>
      <w:r w:rsidRPr="00EB4D74">
        <w:rPr>
          <w:rFonts w:ascii="Tahoma" w:hAnsi="Tahoma" w:cs="Tahoma"/>
          <w:color w:val="EE6000"/>
          <w:sz w:val="22"/>
          <w:lang w:val="pt-BR"/>
        </w:rPr>
        <w:t>Complemento do Windows Intune (Por Dispositivo)</w:t>
      </w:r>
      <w:bookmarkEnd w:id="1520"/>
    </w:p>
    <w:p w:rsidR="008B1196" w:rsidRPr="00EB4D74" w:rsidRDefault="008B1196" w:rsidP="008B1196">
      <w:pPr>
        <w:ind w:left="720"/>
        <w:rPr>
          <w:rFonts w:cs="Tahoma"/>
        </w:rPr>
      </w:pPr>
    </w:p>
    <w:p w:rsidR="008B1196" w:rsidRPr="00EB4D74" w:rsidRDefault="008B1196" w:rsidP="008B1196">
      <w:pPr>
        <w:ind w:left="720"/>
        <w:rPr>
          <w:rFonts w:cs="Tahoma"/>
          <w:lang w:val="pt-BR"/>
        </w:rPr>
      </w:pPr>
      <w:r w:rsidRPr="00EB4D74">
        <w:rPr>
          <w:rFonts w:cs="Tahoma"/>
          <w:lang w:val="pt-BR"/>
        </w:rPr>
        <w:t>Os clientes empresariais que desejarem adquirirem licenças adicionais do Complemento do Windows Intune (Por Dispositivo) devem primeiro ter adquirido e cedido ao desktop para o qual estão adquirindo a licença do Complemento do Windows Intune tanto o Software Assurance do Windows ativo quanto uma licença ativa do Windows Virtual Desktop Access (ou Windows VDA). As licenças do Complemento do Windows Intune (Por Dispositivo) devem ser adquiridas de acordo com o mesmo registro da cobertura de Software Assurance ou licença do Windows VDA correspondentes.</w:t>
      </w:r>
    </w:p>
    <w:p w:rsidR="008B1196" w:rsidRPr="00EB4D74" w:rsidRDefault="008B1196" w:rsidP="008B1196">
      <w:pPr>
        <w:ind w:left="720"/>
        <w:rPr>
          <w:rFonts w:cs="Tahoma"/>
          <w:lang w:val="pt-BR"/>
        </w:rPr>
      </w:pPr>
    </w:p>
    <w:p w:rsidR="008B1196" w:rsidRPr="00EB4D74" w:rsidRDefault="008B1196" w:rsidP="008B1196">
      <w:pPr>
        <w:spacing w:after="60"/>
        <w:ind w:left="720"/>
        <w:rPr>
          <w:rFonts w:cs="Tahoma"/>
          <w:lang w:val="pt-BR"/>
        </w:rPr>
      </w:pPr>
      <w:r w:rsidRPr="00EB4D74">
        <w:rPr>
          <w:rFonts w:cs="Tahoma"/>
          <w:b/>
          <w:lang w:val="pt-BR"/>
        </w:rPr>
        <w:t>Realocação da Licença</w:t>
      </w:r>
    </w:p>
    <w:p w:rsidR="008B1196" w:rsidRPr="00EB4D74" w:rsidRDefault="008B1196" w:rsidP="008B1196">
      <w:pPr>
        <w:ind w:left="720"/>
        <w:rPr>
          <w:rFonts w:cs="Tahoma"/>
          <w:lang w:val="it-IT"/>
        </w:rPr>
      </w:pPr>
      <w:r w:rsidRPr="00EB4D74">
        <w:rPr>
          <w:rFonts w:cs="Tahoma"/>
          <w:lang w:val="pt-BR"/>
        </w:rPr>
        <w:t>Os clientes poderão ceder licenças do Complemento do Windows Intune (Por Dispositivo), mas não a curto prazo (ou seja, não antes de 90 dias depois da última cessão). Eles poderão realocar uma licença do Complemento do Windows Intune (Por Dispositivo) mais cedo se desativarem o dispositivo licenciado existente em decorrência de uma falha de hardware permanente. O dispositivo para o qual a licença do Complemento do Windows Intune (Por Dispositivo) for cedida deverá ter um Software Assurance do Windows ativo ou uma licença ativa do Windows VDA adquirida de acordo com o mesmo registro da licença</w:t>
      </w:r>
      <w:r w:rsidRPr="00EB4D74">
        <w:rPr>
          <w:lang w:val="it-IT"/>
        </w:rPr>
        <w:t> </w:t>
      </w:r>
      <w:r w:rsidRPr="00EB4D74">
        <w:rPr>
          <w:rFonts w:cs="Tahoma"/>
          <w:lang w:val="pt-BR"/>
        </w:rPr>
        <w:t>do Complemento do Windows Intune (Por Dispositivo).</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p>
    <w:p w:rsidR="008B1196" w:rsidRPr="00EB4D74" w:rsidRDefault="008B1196" w:rsidP="008B1196">
      <w:pPr>
        <w:pStyle w:val="Heading2"/>
        <w:ind w:left="0"/>
        <w:rPr>
          <w:rFonts w:ascii="Tahoma" w:hAnsi="Tahoma" w:cs="Tahoma"/>
        </w:rPr>
      </w:pPr>
      <w:bookmarkStart w:id="1521" w:name="_Toc336338367"/>
      <w:bookmarkStart w:id="1522" w:name="_100Windows_Multipoint_Server"/>
      <w:bookmarkStart w:id="1523" w:name="_Toc342914994"/>
      <w:bookmarkEnd w:id="1521"/>
      <w:bookmarkEnd w:id="1522"/>
      <w:r w:rsidRPr="00EB4D74">
        <w:rPr>
          <w:rFonts w:ascii="Tahoma" w:hAnsi="Tahoma" w:cs="Tahoma"/>
          <w:caps/>
          <w:color w:val="FA6500"/>
          <w:sz w:val="22"/>
          <w:vertAlign w:val="superscript"/>
          <w:lang w:val="pt-BR"/>
        </w:rPr>
        <w:t>100</w:t>
      </w:r>
      <w:r w:rsidRPr="00EB4D74">
        <w:rPr>
          <w:rFonts w:ascii="Tahoma" w:hAnsi="Tahoma" w:cs="Tahoma"/>
          <w:caps/>
          <w:color w:val="FA6500"/>
          <w:sz w:val="22"/>
          <w:lang w:val="pt-BR"/>
        </w:rPr>
        <w:t xml:space="preserve"> </w:t>
      </w:r>
      <w:r w:rsidRPr="00EB4D74">
        <w:rPr>
          <w:rFonts w:ascii="Tahoma" w:hAnsi="Tahoma" w:cs="Tahoma"/>
          <w:color w:val="FA6500"/>
          <w:sz w:val="22"/>
          <w:lang w:val="pt-BR"/>
        </w:rPr>
        <w:t>Windows Multipoint Server 2012 Standard</w:t>
      </w:r>
      <w:bookmarkEnd w:id="1523"/>
    </w:p>
    <w:p w:rsidR="008B1196" w:rsidRPr="00EB4D74" w:rsidRDefault="008B1196" w:rsidP="008B1196">
      <w:pPr>
        <w:rPr>
          <w:rFonts w:cs="Tahoma"/>
        </w:rPr>
      </w:pPr>
    </w:p>
    <w:p w:rsidR="008B1196" w:rsidRPr="00EB4D74" w:rsidRDefault="008B1196" w:rsidP="008B1196">
      <w:pPr>
        <w:ind w:left="720"/>
        <w:rPr>
          <w:rFonts w:cs="Tahoma"/>
          <w:spacing w:val="-2"/>
        </w:rPr>
      </w:pPr>
      <w:r w:rsidRPr="00EB4D74">
        <w:rPr>
          <w:rFonts w:cs="Tahoma"/>
          <w:color w:val="000000"/>
          <w:spacing w:val="-2"/>
          <w:lang w:val="pt-BR"/>
        </w:rPr>
        <w:t>O Windows Multipoint Server 2012 Standard é a próxima versão do Windows Multipoint Server 2011 Standard.</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rPr>
          <w:rFonts w:ascii="Tahoma" w:hAnsi="Tahoma" w:cs="Tahoma"/>
        </w:rPr>
      </w:pPr>
      <w:bookmarkStart w:id="1524" w:name="_Toc336338368"/>
      <w:bookmarkStart w:id="1525" w:name="Srv_103WinMultipointSvr2011Premium"/>
      <w:bookmarkStart w:id="1526" w:name="Srv_107WinMultipointSvr2011Premium"/>
      <w:bookmarkStart w:id="1527" w:name="Srv_111WinMultipointSvr2011Premium"/>
      <w:bookmarkStart w:id="1528" w:name="_Toc342914995"/>
      <w:bookmarkEnd w:id="1524"/>
      <w:bookmarkEnd w:id="1525"/>
      <w:bookmarkEnd w:id="1526"/>
      <w:bookmarkEnd w:id="1527"/>
      <w:r w:rsidRPr="00EB4D74">
        <w:rPr>
          <w:rFonts w:ascii="Tahoma" w:hAnsi="Tahoma" w:cs="Tahoma"/>
          <w:caps/>
          <w:color w:val="FA6500"/>
          <w:sz w:val="22"/>
          <w:vertAlign w:val="superscript"/>
          <w:lang w:val="pt-BR"/>
        </w:rPr>
        <w:t>101</w:t>
      </w:r>
      <w:r w:rsidRPr="00EB4D74">
        <w:rPr>
          <w:rFonts w:ascii="Tahoma" w:hAnsi="Tahoma" w:cs="Tahoma"/>
          <w:caps/>
          <w:color w:val="FA6500"/>
          <w:sz w:val="22"/>
          <w:lang w:val="pt-BR"/>
        </w:rPr>
        <w:t xml:space="preserve"> </w:t>
      </w:r>
      <w:r w:rsidRPr="00EB4D74">
        <w:rPr>
          <w:rFonts w:ascii="Tahoma" w:hAnsi="Tahoma" w:cs="Tahoma"/>
          <w:color w:val="FA6500"/>
          <w:sz w:val="22"/>
          <w:lang w:val="pt-BR"/>
        </w:rPr>
        <w:t>Windows Multipoint Server 2012 Premium</w:t>
      </w:r>
      <w:bookmarkEnd w:id="1528"/>
    </w:p>
    <w:p w:rsidR="008B1196" w:rsidRPr="00EB4D74" w:rsidRDefault="008B1196" w:rsidP="008B1196">
      <w:pPr>
        <w:rPr>
          <w:rFonts w:cs="Tahoma"/>
        </w:rPr>
      </w:pPr>
    </w:p>
    <w:p w:rsidR="008B1196" w:rsidRPr="00EB4D74" w:rsidRDefault="008B1196" w:rsidP="008B1196">
      <w:pPr>
        <w:ind w:left="720"/>
        <w:rPr>
          <w:rFonts w:cs="Tahoma"/>
          <w:spacing w:val="-2"/>
        </w:rPr>
      </w:pPr>
      <w:bookmarkStart w:id="1529" w:name="_Toc280612355"/>
      <w:r w:rsidRPr="00EB4D74">
        <w:rPr>
          <w:rFonts w:cs="Tahoma"/>
          <w:color w:val="000000"/>
          <w:spacing w:val="-2"/>
          <w:lang w:val="pt-BR"/>
        </w:rPr>
        <w:t>O Windows MultiPoint Server 2012 Premium é a próxima versão do Windows MultiPoint Server 2011 Premium.</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rPr>
          <w:rFonts w:ascii="Tahoma" w:hAnsi="Tahoma" w:cs="Tahoma"/>
        </w:rPr>
      </w:pPr>
      <w:bookmarkStart w:id="1530" w:name="_Toc342914996"/>
      <w:bookmarkStart w:id="1531" w:name="Srv_104WinMultipointSvr2011CAL"/>
      <w:bookmarkStart w:id="1532" w:name="Srv_108WinMultipointSvr2011CAL"/>
      <w:bookmarkStart w:id="1533" w:name="Srv_112WinMultipointSvr2011CAL"/>
      <w:bookmarkEnd w:id="1529"/>
      <w:r w:rsidRPr="00EB4D74">
        <w:rPr>
          <w:rFonts w:ascii="Tahoma" w:hAnsi="Tahoma" w:cs="Tahoma"/>
          <w:caps/>
          <w:color w:val="FA6500"/>
          <w:sz w:val="22"/>
          <w:vertAlign w:val="superscript"/>
          <w:lang w:val="pt-BR"/>
        </w:rPr>
        <w:t>102</w:t>
      </w:r>
      <w:r w:rsidRPr="00EB4D74">
        <w:rPr>
          <w:rFonts w:ascii="Tahoma" w:hAnsi="Tahoma" w:cs="Tahoma"/>
          <w:color w:val="FA6500"/>
          <w:sz w:val="22"/>
          <w:lang w:val="pt-BR"/>
        </w:rPr>
        <w:t xml:space="preserve"> CAL do Windows Multipoint Server 2012</w:t>
      </w:r>
      <w:bookmarkEnd w:id="1530"/>
    </w:p>
    <w:bookmarkEnd w:id="1531"/>
    <w:bookmarkEnd w:id="1532"/>
    <w:bookmarkEnd w:id="1533"/>
    <w:p w:rsidR="008B1196" w:rsidRPr="00EB4D74" w:rsidRDefault="008B1196" w:rsidP="008B1196">
      <w:pPr>
        <w:ind w:firstLine="360"/>
        <w:rPr>
          <w:rFonts w:cs="Tahoma"/>
        </w:rPr>
      </w:pPr>
    </w:p>
    <w:p w:rsidR="008B1196" w:rsidRPr="00EB4D74" w:rsidRDefault="008B1196" w:rsidP="008B1196">
      <w:pPr>
        <w:ind w:left="720"/>
        <w:rPr>
          <w:rFonts w:cs="Tahoma"/>
        </w:rPr>
      </w:pPr>
      <w:r w:rsidRPr="00EB4D74">
        <w:rPr>
          <w:rFonts w:cs="Tahoma"/>
          <w:color w:val="000000"/>
          <w:lang w:val="pt-BR"/>
        </w:rPr>
        <w:t>A CAL do Windows MultiPoint Server 2012 é a próxima versão da CAL do Windows MultiPoint Server 2011.</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3"/>
        <w:ind w:left="360" w:hanging="360"/>
        <w:rPr>
          <w:rFonts w:ascii="Tahoma" w:hAnsi="Tahoma" w:cs="Tahoma"/>
        </w:rPr>
      </w:pPr>
      <w:bookmarkStart w:id="1534" w:name="_Toc336338369"/>
      <w:bookmarkStart w:id="1535" w:name="Srv_97WinSvr08HighPerfCompandHyperV"/>
      <w:bookmarkStart w:id="1536" w:name="Srv_98WinSvr08HighPerfCompandHyperV"/>
      <w:bookmarkStart w:id="1537" w:name="Srv_110WinSvr08R2HPC"/>
      <w:bookmarkStart w:id="1538" w:name="Srv_114WinSvr08R2HPC"/>
      <w:bookmarkStart w:id="1539" w:name="_Toc342914997"/>
      <w:bookmarkEnd w:id="1534"/>
      <w:bookmarkEnd w:id="1535"/>
      <w:bookmarkEnd w:id="1536"/>
      <w:bookmarkEnd w:id="1537"/>
      <w:bookmarkEnd w:id="1538"/>
      <w:r w:rsidRPr="00EB4D74">
        <w:rPr>
          <w:rFonts w:ascii="Tahoma" w:hAnsi="Tahoma" w:cs="Tahoma"/>
          <w:caps/>
          <w:color w:val="F66400"/>
          <w:sz w:val="22"/>
          <w:vertAlign w:val="superscript"/>
          <w:lang w:val="pt-BR"/>
        </w:rPr>
        <w:t xml:space="preserve">103 </w:t>
      </w:r>
      <w:r w:rsidRPr="00EB4D74">
        <w:rPr>
          <w:rFonts w:ascii="Tahoma" w:hAnsi="Tahoma" w:cs="Tahoma"/>
          <w:color w:val="F66400"/>
          <w:sz w:val="22"/>
          <w:lang w:val="pt-BR"/>
        </w:rPr>
        <w:t>Windows Server 2008 R2 HPC Edition</w:t>
      </w:r>
      <w:bookmarkEnd w:id="1539"/>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da edição do Windows Server HPC</w:t>
      </w:r>
    </w:p>
    <w:p w:rsidR="008B1196" w:rsidRPr="00EB4D74" w:rsidRDefault="008B1196" w:rsidP="008B1196">
      <w:pPr>
        <w:ind w:left="720"/>
        <w:rPr>
          <w:rFonts w:cs="Tahoma"/>
          <w:spacing w:val="-2"/>
          <w:lang w:val="pt-BR"/>
        </w:rPr>
      </w:pPr>
      <w:r w:rsidRPr="00EB4D74">
        <w:rPr>
          <w:rFonts w:cs="Tahoma"/>
          <w:color w:val="000000"/>
          <w:spacing w:val="-2"/>
          <w:lang w:val="pt-BR"/>
        </w:rPr>
        <w:t xml:space="preserve">O Windows Server 2008 R2 será a última versão da edição do Windows Server HPC. </w:t>
      </w:r>
      <w:r w:rsidRPr="00EB4D74">
        <w:rPr>
          <w:rFonts w:cs="Tahoma"/>
          <w:spacing w:val="-2"/>
          <w:lang w:val="pt-BR"/>
        </w:rPr>
        <w:t xml:space="preserve">Os clientes de licenciamento por volume com Software Assurance ativo para licenças do Windows Server 2008 R2 HPC Edition em 1º de setembro de 2012 ou a partir da data da primeira disponibilização do Windows Server 2012 para download no </w:t>
      </w:r>
      <w:r w:rsidRPr="00EB4D74">
        <w:rPr>
          <w:rFonts w:cs="Tahoma"/>
          <w:spacing w:val="-2"/>
          <w:szCs w:val="18"/>
          <w:lang w:val="pt-BR"/>
        </w:rPr>
        <w:t xml:space="preserve">Volume Licensing Service Center (Centro de Atendimento de Licenciamento por Volume), o que ocorrer primeiro, (“Licenças Qualificadas”) poderão usar o software Windows Server 2012 Standard. </w:t>
      </w:r>
      <w:r w:rsidRPr="00EB4D74">
        <w:rPr>
          <w:rFonts w:cs="Tahoma"/>
          <w:spacing w:val="-2"/>
          <w:lang w:val="pt-BR"/>
        </w:rPr>
        <w:t>Para facilitar tal uso, para cada duas Licenças de Qualificação que o cliente possui, ele terá uma licença do processador Windows Server 2012 Standard mediante a disponibilização do Windows Server 2012.</w:t>
      </w:r>
    </w:p>
    <w:p w:rsidR="008B1196" w:rsidRPr="00EB4D74" w:rsidRDefault="008B1196" w:rsidP="008B1196">
      <w:pPr>
        <w:ind w:left="720"/>
        <w:rPr>
          <w:rFonts w:cs="Tahoma"/>
          <w:spacing w:val="-2"/>
          <w:lang w:val="pt-BR"/>
        </w:rPr>
      </w:pP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color w:val="000000"/>
          <w:szCs w:val="18"/>
          <w:lang w:val="pt-BR"/>
        </w:rPr>
        <w:t>Se um cliente tiver um número ímpar de licenças do Windows Server HPC Edition, o cliente precisará arredondar para cima para o próximo número par para determinar sua concessão. Por exemplo, um cliente que tenha três licenças do Windows Server HPC Edition receberá no total duas licenças do Windows Server 2012 Standard.</w:t>
      </w:r>
    </w:p>
    <w:p w:rsidR="008B1196" w:rsidRPr="00EB4D74" w:rsidRDefault="008B1196" w:rsidP="008B1196">
      <w:pPr>
        <w:pStyle w:val="ListParagraph"/>
        <w:numPr>
          <w:ilvl w:val="0"/>
          <w:numId w:val="97"/>
        </w:numPr>
        <w:tabs>
          <w:tab w:val="clear" w:pos="360"/>
          <w:tab w:val="num" w:pos="1440"/>
        </w:tabs>
        <w:spacing w:after="60"/>
        <w:ind w:left="1440"/>
        <w:contextualSpacing w:val="0"/>
        <w:rPr>
          <w:rFonts w:ascii="Tahoma" w:hAnsi="Tahoma" w:cs="Tahoma"/>
          <w:sz w:val="18"/>
          <w:szCs w:val="18"/>
          <w:lang w:val="it-IT"/>
        </w:rPr>
      </w:pPr>
      <w:r w:rsidRPr="00EB4D74">
        <w:rPr>
          <w:rFonts w:ascii="Tahoma" w:hAnsi="Tahoma" w:cs="Tahoma"/>
          <w:sz w:val="18"/>
          <w:szCs w:val="18"/>
        </w:rPr>
        <w:t xml:space="preserve">As licenças adquiridas sob esta concessão incluirão cobertura do Software Assurance. </w:t>
      </w:r>
      <w:r w:rsidRPr="00EB4D74">
        <w:rPr>
          <w:rFonts w:ascii="Tahoma" w:hAnsi="Tahoma" w:cs="Tahoma"/>
          <w:sz w:val="18"/>
          <w:szCs w:val="18"/>
          <w:lang w:val="it-IT"/>
        </w:rPr>
        <w:t>Tal cobertura expira quando a cobertura correspondente nas Licenças de Qualificação expirar.</w:t>
      </w:r>
    </w:p>
    <w:p w:rsidR="008B1196" w:rsidRPr="00EB4D74" w:rsidRDefault="008B1196" w:rsidP="008B1196">
      <w:pPr>
        <w:pStyle w:val="ListParagraph"/>
        <w:numPr>
          <w:ilvl w:val="0"/>
          <w:numId w:val="97"/>
        </w:numPr>
        <w:tabs>
          <w:tab w:val="clear" w:pos="360"/>
          <w:tab w:val="num" w:pos="1440"/>
        </w:tabs>
        <w:spacing w:after="60"/>
        <w:ind w:left="1440"/>
        <w:contextualSpacing w:val="0"/>
        <w:rPr>
          <w:rFonts w:ascii="Tahoma" w:hAnsi="Tahoma" w:cs="Tahoma"/>
          <w:spacing w:val="-2"/>
          <w:sz w:val="18"/>
          <w:szCs w:val="18"/>
          <w:lang w:val="it-IT"/>
        </w:rPr>
      </w:pPr>
      <w:r w:rsidRPr="00EB4D74">
        <w:rPr>
          <w:rFonts w:ascii="Tahoma" w:hAnsi="Tahoma" w:cs="Tahoma"/>
          <w:spacing w:val="-2"/>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7"/>
        </w:numPr>
        <w:tabs>
          <w:tab w:val="clear" w:pos="360"/>
          <w:tab w:val="num" w:pos="1440"/>
          <w:tab w:val="left" w:pos="2160"/>
        </w:tabs>
        <w:spacing w:after="60"/>
        <w:ind w:left="1440"/>
        <w:rPr>
          <w:rFonts w:cs="Tahoma"/>
          <w:szCs w:val="18"/>
        </w:rPr>
      </w:pPr>
      <w:r w:rsidRPr="00EB4D74">
        <w:rPr>
          <w:rFonts w:cs="Tahoma"/>
          <w:szCs w:val="18"/>
          <w:lang w:val="pt-BR"/>
        </w:rPr>
        <w:t>Na atualização para o Windows Server 2012 Standard sob essa concessão, as licenças existentes do Windows Server 2008 R2 HPC Edition do cliente permanecerão válidas.</w:t>
      </w: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color w:val="000000"/>
          <w:szCs w:val="18"/>
          <w:lang w:val="pt-BR"/>
        </w:rPr>
        <w:t>As licenças do Windows Server 2008 R2 HPC Edition adquiridas posteriormente no mesmo prazo de registro, como parte de um processo de adequação (“true-up”) programado do cliente Enterprise, Enterprise Subscription, Open Value Subscription ou EES também são Licenças de Qualificação para os propósitos da concessão supracitada.</w:t>
      </w: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color w:val="000000"/>
          <w:szCs w:val="18"/>
          <w:lang w:val="pt-BR"/>
        </w:rPr>
        <w:t>Não obstante a concessão das licenças do Windows Server 2012 Standard e qualquer atualização para esta versão, as obrigações de pagar montantes devidos e pendentes pelas Licenças de Qualificação e cobertura permanecem em pleno vigor e efeito.</w:t>
      </w:r>
    </w:p>
    <w:p w:rsidR="008B1196" w:rsidRPr="00EB4D74" w:rsidRDefault="008B1196" w:rsidP="008B1196">
      <w:pPr>
        <w:contextualSpacing/>
        <w:rPr>
          <w:rFonts w:cs="Tahoma"/>
          <w:szCs w:val="18"/>
        </w:rPr>
      </w:pPr>
    </w:p>
    <w:p w:rsidR="008B1196" w:rsidRPr="00EB4D74" w:rsidRDefault="008B1196" w:rsidP="008B1196">
      <w:pPr>
        <w:spacing w:after="60"/>
        <w:ind w:left="720"/>
        <w:rPr>
          <w:rFonts w:cs="Tahoma"/>
        </w:rPr>
      </w:pPr>
      <w:r w:rsidRPr="00EB4D74">
        <w:rPr>
          <w:rFonts w:cs="Tahoma"/>
          <w:b/>
          <w:lang w:val="pt-BR"/>
        </w:rPr>
        <w:t>Informações adicionais sobre o uso do Windows Server 2012 para High Performance Computing (HPC)</w:t>
      </w:r>
    </w:p>
    <w:p w:rsidR="008B1196" w:rsidRPr="00EB4D74" w:rsidRDefault="008B1196" w:rsidP="008B1196">
      <w:pPr>
        <w:ind w:left="720"/>
        <w:contextualSpacing/>
        <w:rPr>
          <w:rFonts w:cs="Tahoma"/>
          <w:lang w:val="it-IT"/>
        </w:rPr>
      </w:pPr>
      <w:r w:rsidRPr="00EB4D74">
        <w:rPr>
          <w:rFonts w:eastAsia="Times New Roman" w:cs="Tahoma"/>
          <w:szCs w:val="18"/>
          <w:lang w:val="pt-BR"/>
        </w:rPr>
        <w:t xml:space="preserve">Quando o Windows Server 2012 Standard ou Datacenter é usado para High Performance Computing, você não precisa de CALs para acessar o software. </w:t>
      </w:r>
      <w:r w:rsidRPr="00EB4D74">
        <w:rPr>
          <w:rFonts w:cs="Tahoma"/>
          <w:lang w:val="pt-BR"/>
        </w:rPr>
        <w:t xml:space="preserve">Uma “Carga de Trabalho High Performance Computing (“HPC”)” significa uma carga de trabalho na qual o software para servidores </w:t>
      </w:r>
      <w:r w:rsidRPr="00EB4D74">
        <w:rPr>
          <w:rFonts w:cs="Tahoma"/>
          <w:u w:val="single"/>
          <w:lang w:val="pt-BR"/>
        </w:rPr>
        <w:t>é usado</w:t>
      </w:r>
      <w:r w:rsidRPr="00EB4D74">
        <w:rPr>
          <w:rFonts w:cs="Tahoma"/>
          <w:lang w:val="pt-BR"/>
        </w:rPr>
        <w:t xml:space="preserve">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w:t>
      </w:r>
      <w:bookmarkStart w:id="1540" w:name="Srv_1120WinSvr08R2Enterprise"/>
      <w:r w:rsidRPr="00EB4D74">
        <w:rPr>
          <w:rFonts w:cs="Tahoma"/>
          <w:lang w:val="pt-BR"/>
        </w:rPr>
        <w:t>Consulte os Direitos de Uso de Produto para obter detalhes adicionais.</w:t>
      </w:r>
    </w:p>
    <w:p w:rsidR="008B1196" w:rsidRPr="00EB4D74" w:rsidRDefault="008B1196" w:rsidP="008B1196">
      <w:pPr>
        <w:contextualSpacing/>
        <w:rPr>
          <w:rFonts w:cs="Tahoma"/>
          <w:lang w:val="it-IT"/>
        </w:rPr>
      </w:pPr>
    </w:p>
    <w:p w:rsidR="008B1196" w:rsidRPr="00EB4D74" w:rsidRDefault="008B1196" w:rsidP="008B1196">
      <w:pPr>
        <w:contextualSpacing/>
        <w:rPr>
          <w:rFonts w:cs="Tahoma"/>
          <w:lang w:val="it-IT"/>
        </w:rPr>
      </w:pPr>
    </w:p>
    <w:p w:rsidR="008B1196" w:rsidRPr="00EB4D74" w:rsidRDefault="008B1196" w:rsidP="008B1196">
      <w:pPr>
        <w:pStyle w:val="Heading3"/>
        <w:ind w:left="360" w:hanging="360"/>
        <w:rPr>
          <w:rFonts w:ascii="Tahoma" w:hAnsi="Tahoma" w:cs="Tahoma"/>
        </w:rPr>
      </w:pPr>
      <w:bookmarkStart w:id="1541" w:name="_97_Windows_Server"/>
      <w:bookmarkStart w:id="1542" w:name="_98_Windows_Server"/>
      <w:bookmarkStart w:id="1543" w:name="_Toc336338370"/>
      <w:bookmarkStart w:id="1544" w:name="Srv_116WinSvr08R2Enterprise"/>
      <w:bookmarkStart w:id="1545" w:name="_Toc342914998"/>
      <w:bookmarkStart w:id="1546" w:name="Srv_100WinSvr08R2Enterprise"/>
      <w:bookmarkEnd w:id="1541"/>
      <w:bookmarkEnd w:id="1542"/>
      <w:bookmarkEnd w:id="1543"/>
      <w:bookmarkEnd w:id="1544"/>
      <w:r w:rsidRPr="00EB4D74">
        <w:rPr>
          <w:rFonts w:ascii="Tahoma" w:hAnsi="Tahoma" w:cs="Tahoma"/>
          <w:caps/>
          <w:color w:val="F66400"/>
          <w:sz w:val="22"/>
          <w:vertAlign w:val="superscript"/>
          <w:lang w:val="pt-BR"/>
        </w:rPr>
        <w:t>104</w:t>
      </w:r>
      <w:r w:rsidRPr="00EB4D74">
        <w:rPr>
          <w:rFonts w:ascii="Tahoma" w:hAnsi="Tahoma" w:cs="Tahoma"/>
          <w:color w:val="F66400"/>
          <w:sz w:val="22"/>
          <w:lang w:val="pt-BR"/>
        </w:rPr>
        <w:t xml:space="preserve"> Windows Server 2008 R2 Enterprise</w:t>
      </w:r>
      <w:bookmarkEnd w:id="1545"/>
    </w:p>
    <w:bookmarkEnd w:id="1540"/>
    <w:bookmarkEnd w:id="1546"/>
    <w:p w:rsidR="008B1196" w:rsidRPr="00EB4D74" w:rsidRDefault="008B1196" w:rsidP="008B1196">
      <w:pPr>
        <w:ind w:left="900"/>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da edição do Windows Server Enterprise</w:t>
      </w:r>
    </w:p>
    <w:p w:rsidR="008B1196" w:rsidRPr="00EB4D74" w:rsidRDefault="008B1196" w:rsidP="008B1196">
      <w:pPr>
        <w:ind w:left="720"/>
        <w:rPr>
          <w:rFonts w:cs="Tahoma"/>
          <w:spacing w:val="-3"/>
          <w:lang w:val="it-IT"/>
        </w:rPr>
      </w:pPr>
      <w:r w:rsidRPr="00EB4D74">
        <w:rPr>
          <w:rFonts w:cs="Tahoma"/>
          <w:color w:val="000000"/>
          <w:spacing w:val="-3"/>
          <w:lang w:val="pt-BR"/>
        </w:rPr>
        <w:t xml:space="preserve">O Windows Server 2008 R2 será a última versão da edição do Windows Server Enterprise. </w:t>
      </w:r>
      <w:r w:rsidRPr="00EB4D74">
        <w:rPr>
          <w:rFonts w:cs="Tahoma"/>
          <w:spacing w:val="-3"/>
          <w:lang w:val="pt-BR"/>
        </w:rPr>
        <w:t xml:space="preserve">Os clientes de licenciamento por volume com Software Assurance ativo para licenças do Windows Server 2008 R2 Enterprise em 1º de setembro de 2012 ou a partir da data da primeira disponibilização do Windows Server 2012 para download no </w:t>
      </w:r>
      <w:r w:rsidRPr="00EB4D74">
        <w:rPr>
          <w:rFonts w:cs="Tahoma"/>
          <w:spacing w:val="-3"/>
          <w:sz w:val="20"/>
          <w:lang w:val="pt-BR"/>
        </w:rPr>
        <w:t xml:space="preserve">Volume Licensing Service Center </w:t>
      </w:r>
      <w:r w:rsidRPr="00EB4D74">
        <w:rPr>
          <w:rFonts w:cs="Tahoma"/>
          <w:spacing w:val="-3"/>
          <w:szCs w:val="18"/>
          <w:lang w:val="pt-BR"/>
        </w:rPr>
        <w:t xml:space="preserve">(Centro de Atendimento de Licenciamento por Volume), o que ocorrer primeiro, (“Licenças Qualificadas”) poderão atualizar para e usar o software Windows Server 2012 Standard em vez do Windows Server 2008 R2 Enterprise. </w:t>
      </w:r>
      <w:r w:rsidRPr="00EB4D74">
        <w:rPr>
          <w:rFonts w:cs="Tahoma"/>
          <w:spacing w:val="-3"/>
          <w:lang w:val="pt-BR"/>
        </w:rPr>
        <w:t>Para facilitar essa atualização, para cada Licença de Qualificação que o cliente possui, ele terá, mediante a disponibilização do Windows Server 2012:</w:t>
      </w:r>
    </w:p>
    <w:p w:rsidR="008B1196" w:rsidRPr="00EB4D74" w:rsidRDefault="008B1196" w:rsidP="008B1196">
      <w:pPr>
        <w:spacing w:after="60"/>
        <w:ind w:left="720"/>
        <w:rPr>
          <w:rFonts w:cs="Tahoma"/>
          <w:lang w:val="it-IT"/>
        </w:rPr>
      </w:pPr>
    </w:p>
    <w:p w:rsidR="008B1196" w:rsidRPr="00EB4D74" w:rsidRDefault="008B1196" w:rsidP="008B1196">
      <w:pPr>
        <w:numPr>
          <w:ilvl w:val="0"/>
          <w:numId w:val="93"/>
        </w:numPr>
        <w:spacing w:after="60"/>
        <w:ind w:left="1440"/>
        <w:rPr>
          <w:rFonts w:cs="Tahoma"/>
        </w:rPr>
      </w:pPr>
      <w:r w:rsidRPr="00EB4D74">
        <w:rPr>
          <w:rFonts w:cs="Tahoma"/>
          <w:lang w:val="pt-BR"/>
        </w:rPr>
        <w:lastRenderedPageBreak/>
        <w:t>Duas licenças do Windows Server 2012 Standard OU</w:t>
      </w:r>
    </w:p>
    <w:p w:rsidR="008B1196" w:rsidRPr="00EB4D74" w:rsidRDefault="008B1196" w:rsidP="008B1196">
      <w:pPr>
        <w:numPr>
          <w:ilvl w:val="0"/>
          <w:numId w:val="93"/>
        </w:numPr>
        <w:spacing w:after="60"/>
        <w:ind w:left="1440"/>
        <w:rPr>
          <w:rFonts w:cs="Tahoma"/>
        </w:rPr>
      </w:pPr>
      <w:r w:rsidRPr="00EB4D74">
        <w:rPr>
          <w:rFonts w:cs="Tahoma"/>
          <w:lang w:val="pt-BR"/>
        </w:rPr>
        <w:t>Três, para Licenças de Qualificação adquiridas com SA ou renovadas entre 1º de abril de 2012 a 31 de agosto de 2012 OU</w:t>
      </w:r>
    </w:p>
    <w:p w:rsidR="008B1196" w:rsidRPr="00EB4D74" w:rsidRDefault="008B1196" w:rsidP="008B1196">
      <w:pPr>
        <w:numPr>
          <w:ilvl w:val="0"/>
          <w:numId w:val="93"/>
        </w:numPr>
        <w:spacing w:after="60"/>
        <w:ind w:left="1440"/>
        <w:rPr>
          <w:rFonts w:cs="Tahoma"/>
          <w:spacing w:val="-2"/>
          <w:szCs w:val="20"/>
          <w:lang w:val="it-IT"/>
        </w:rPr>
      </w:pPr>
      <w:r w:rsidRPr="00EB4D74">
        <w:rPr>
          <w:rFonts w:eastAsia="Times New Roman" w:cs="Tahoma"/>
          <w:spacing w:val="-2"/>
          <w:szCs w:val="20"/>
          <w:lang w:val="pt-BR"/>
        </w:rPr>
        <w:t xml:space="preserve">Quatro licenças do Windows Server 2012 Standard se o número real de processadores físicos no servidor no qual a Licença de Qualificação está atribuída exceder quatro. (Em tais casos, os clientes devem criar um registro de configuração do hardware físico oferecendo suporte ao software antes da expiração da cobertura de Software Assurance para as Licenças de Qualificação sob o contrato atual, quer usando a ferramenta Microsoft MAP ou qualquer software equivalente. </w:t>
      </w:r>
      <w:r w:rsidRPr="00EB4D74">
        <w:rPr>
          <w:rFonts w:cs="Tahoma"/>
          <w:spacing w:val="-2"/>
          <w:szCs w:val="20"/>
          <w:lang w:val="pt-BR"/>
        </w:rPr>
        <w:t>Essa concessão está disponível somente para uma Licença de Qualificação por servidor.)</w:t>
      </w:r>
    </w:p>
    <w:p w:rsidR="008B1196" w:rsidRPr="00EB4D74" w:rsidRDefault="008B1196" w:rsidP="008B1196">
      <w:pPr>
        <w:numPr>
          <w:ilvl w:val="0"/>
          <w:numId w:val="93"/>
        </w:numPr>
        <w:spacing w:after="60"/>
        <w:ind w:left="1440"/>
        <w:rPr>
          <w:rFonts w:cs="Tahoma"/>
          <w:lang w:val="it-IT"/>
        </w:rPr>
      </w:pPr>
      <w:r w:rsidRPr="00EB4D74">
        <w:rPr>
          <w:rFonts w:eastAsia="Times New Roman" w:cs="Tahoma"/>
          <w:szCs w:val="18"/>
          <w:lang w:val="pt-BR"/>
        </w:rPr>
        <w:t xml:space="preserve">As licenças adquiridas sob esta concessão incluirão cobertura do Software Assurance. </w:t>
      </w:r>
      <w:r w:rsidRPr="00EB4D74">
        <w:rPr>
          <w:rFonts w:cs="Tahoma"/>
          <w:lang w:val="pt-BR"/>
        </w:rPr>
        <w:t>Tal cobertura expira quando a cobertura correspondente nas Licenças de Qualificação expirar.</w:t>
      </w:r>
    </w:p>
    <w:p w:rsidR="008B1196" w:rsidRPr="00EB4D74" w:rsidRDefault="008B1196" w:rsidP="008B1196">
      <w:pPr>
        <w:numPr>
          <w:ilvl w:val="0"/>
          <w:numId w:val="93"/>
        </w:numPr>
        <w:spacing w:after="60"/>
        <w:ind w:left="1440"/>
        <w:rPr>
          <w:rFonts w:cs="Tahoma"/>
          <w:spacing w:val="-2"/>
          <w:szCs w:val="20"/>
          <w:lang w:val="it-IT"/>
        </w:rPr>
      </w:pPr>
      <w:r w:rsidRPr="00EB4D74">
        <w:rPr>
          <w:rFonts w:eastAsia="Times New Roman" w:cs="Tahoma"/>
          <w:spacing w:val="-2"/>
          <w:szCs w:val="20"/>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3"/>
        </w:numPr>
        <w:spacing w:after="60"/>
        <w:ind w:left="1440"/>
        <w:rPr>
          <w:rFonts w:cs="Tahoma"/>
        </w:rPr>
      </w:pPr>
      <w:r w:rsidRPr="00EB4D74">
        <w:rPr>
          <w:rFonts w:cs="Tahoma"/>
          <w:lang w:val="pt-BR"/>
        </w:rPr>
        <w:t>Na atualização para o Windows Server 2012 Standard sob essa concessão, as Licenças de Qualificação do Windows Server Enterprise existentes do cliente não serão mais válidas.</w:t>
      </w:r>
    </w:p>
    <w:p w:rsidR="008B1196" w:rsidRPr="00EB4D74" w:rsidRDefault="008B1196" w:rsidP="008B1196">
      <w:pPr>
        <w:numPr>
          <w:ilvl w:val="0"/>
          <w:numId w:val="93"/>
        </w:numPr>
        <w:spacing w:after="60"/>
        <w:ind w:left="1440"/>
        <w:rPr>
          <w:rFonts w:cs="Tahoma"/>
        </w:rPr>
      </w:pPr>
      <w:r w:rsidRPr="00EB4D74">
        <w:rPr>
          <w:rFonts w:eastAsia="Times New Roman" w:cs="Tahoma"/>
          <w:szCs w:val="18"/>
          <w:lang w:val="pt-BR"/>
        </w:rPr>
        <w:t>As licenças do Windows Server 2008 R2 Enterprise adquiridas posteriormente no mesmo prazo de registro, como parte de um processo de adequação (“true-up”) programado do cliente Enterprise, Enterprise Subscription, Open Value Subscription ou EES também são Licenças de Qualificação para os propósitos da outorga de licença supracitada.</w:t>
      </w:r>
    </w:p>
    <w:p w:rsidR="008B1196" w:rsidRPr="00EB4D74" w:rsidRDefault="008B1196" w:rsidP="008B1196">
      <w:pPr>
        <w:numPr>
          <w:ilvl w:val="0"/>
          <w:numId w:val="93"/>
        </w:numPr>
        <w:spacing w:after="60"/>
        <w:ind w:left="1440"/>
        <w:rPr>
          <w:rFonts w:cs="Tahoma"/>
        </w:rPr>
      </w:pPr>
      <w:r w:rsidRPr="00EB4D74">
        <w:rPr>
          <w:rFonts w:cs="Tahoma"/>
          <w:lang w:val="pt-BR"/>
        </w:rPr>
        <w:t>Não obstante a concessão das licenças do Windows Server 2012 Standard e qualquer atualização para esta versão, as obrigações de pagar montantes devidos e pendentes pelas Licenças de Qualificação e cobertura permanecem em pleno vigor e efeito.</w:t>
      </w:r>
    </w:p>
    <w:p w:rsidR="008B1196" w:rsidRPr="00EB4D74" w:rsidRDefault="008B1196" w:rsidP="008B1196">
      <w:pPr>
        <w:pStyle w:val="EndnoteText"/>
        <w:ind w:left="0"/>
        <w:rPr>
          <w:rFonts w:ascii="Tahoma" w:hAnsi="Tahoma" w:cs="Tahoma"/>
          <w:sz w:val="18"/>
          <w:szCs w:val="18"/>
        </w:rPr>
      </w:pPr>
    </w:p>
    <w:p w:rsidR="008B1196" w:rsidRPr="00EB4D74" w:rsidRDefault="008B1196" w:rsidP="008B1196">
      <w:pPr>
        <w:pStyle w:val="EndnoteText"/>
        <w:ind w:left="0"/>
        <w:rPr>
          <w:rFonts w:ascii="Tahoma" w:hAnsi="Tahoma" w:cs="Tahoma"/>
          <w:sz w:val="18"/>
          <w:szCs w:val="18"/>
        </w:rPr>
      </w:pPr>
    </w:p>
    <w:p w:rsidR="008B1196" w:rsidRPr="00EB4D74" w:rsidRDefault="008B1196" w:rsidP="008B1196">
      <w:pPr>
        <w:rPr>
          <w:rFonts w:cs="Tahoma"/>
        </w:rPr>
      </w:pPr>
      <w:bookmarkStart w:id="1547" w:name="_Toc342914999"/>
      <w:bookmarkStart w:id="1548" w:name="Srv_1132WinSvr08R2Itanium"/>
      <w:bookmarkStart w:id="1549" w:name="Srv_117WinSvr08R2Itanium"/>
      <w:r w:rsidRPr="00EB4D74">
        <w:rPr>
          <w:rStyle w:val="Heading3Char"/>
          <w:rFonts w:ascii="Tahoma" w:hAnsi="Tahoma" w:cs="Tahoma"/>
          <w:caps/>
          <w:color w:val="F66400"/>
          <w:sz w:val="22"/>
          <w:vertAlign w:val="superscript"/>
          <w:lang w:val="pt-BR"/>
        </w:rPr>
        <w:t>105</w:t>
      </w:r>
      <w:r w:rsidRPr="00EB4D74">
        <w:rPr>
          <w:rStyle w:val="Heading3Char"/>
          <w:rFonts w:ascii="Tahoma" w:hAnsi="Tahoma" w:cs="Tahoma"/>
          <w:color w:val="F66400"/>
          <w:sz w:val="22"/>
          <w:lang w:val="pt-BR"/>
        </w:rPr>
        <w:t xml:space="preserve"> Windows Server 2008 R2 for Itanium-Based Systems</w:t>
      </w:r>
      <w:bookmarkEnd w:id="1547"/>
    </w:p>
    <w:bookmarkEnd w:id="1548"/>
    <w:bookmarkEnd w:id="1549"/>
    <w:p w:rsidR="008B1196" w:rsidRPr="00EB4D74" w:rsidRDefault="008B1196" w:rsidP="008B1196">
      <w:pPr>
        <w:ind w:left="360"/>
        <w:rPr>
          <w:rFonts w:cs="Tahoma"/>
        </w:rPr>
      </w:pPr>
    </w:p>
    <w:p w:rsidR="008B1196" w:rsidRPr="00EB4D74" w:rsidRDefault="008B1196" w:rsidP="008B1196">
      <w:pPr>
        <w:spacing w:after="60"/>
        <w:ind w:left="720"/>
        <w:rPr>
          <w:rFonts w:cs="Tahoma"/>
        </w:rPr>
      </w:pPr>
      <w:bookmarkStart w:id="1550" w:name="Srv_98WinSvr08StdandHyperV"/>
      <w:bookmarkStart w:id="1551" w:name="Srv_99WinSvr08StdandHyperV"/>
      <w:bookmarkEnd w:id="1550"/>
      <w:bookmarkEnd w:id="1551"/>
      <w:r w:rsidRPr="00EB4D74">
        <w:rPr>
          <w:rFonts w:cs="Tahoma"/>
          <w:b/>
          <w:color w:val="000000"/>
          <w:lang w:val="pt-BR"/>
        </w:rPr>
        <w:t>Outorgas de licença associadas ao término da validade da edição do Windows Server para Sistemas Baseados em Itanium</w:t>
      </w:r>
    </w:p>
    <w:p w:rsidR="008B1196" w:rsidRPr="00EB4D74" w:rsidRDefault="008B1196" w:rsidP="008B1196">
      <w:pPr>
        <w:ind w:left="720"/>
        <w:rPr>
          <w:rFonts w:cs="Tahoma"/>
          <w:szCs w:val="18"/>
          <w:lang w:val="it-IT"/>
        </w:rPr>
      </w:pPr>
      <w:r w:rsidRPr="00EB4D74">
        <w:rPr>
          <w:rFonts w:cs="Tahoma"/>
          <w:color w:val="000000"/>
          <w:szCs w:val="18"/>
          <w:lang w:val="pt-BR"/>
        </w:rPr>
        <w:t xml:space="preserve">O Windows Server 2008 R2 será a última versão do Windows Server para Sistemas Baseados em Itanium. </w:t>
      </w:r>
      <w:r w:rsidRPr="00EB4D74">
        <w:rPr>
          <w:rFonts w:cs="Tahoma"/>
          <w:szCs w:val="18"/>
          <w:lang w:val="pt-BR"/>
        </w:rPr>
        <w:t>Os clientes de licenciamento por volume com Software Assurance ativo para licenças do Windows Server 2008 R2 para Sistemas Baseados em Itanium em 1º de setembro de 2012 ou a partir da data da primeira disponibilização do Windows Server 2012 para download no Volume Licensing Service Center (Centro de Atendimento de Licenciamento por Volume), o que ocorrer primeiro, (“Licenças Qualificadas”) poderão atualizar para e usar o software Windows Server 2012 Datacenter em vez do Windows Server 2008 R2 Enterprise para Sistemas Baseados em Itanium. Para facilitar essa atualização, para cada duas Licenças de Qualificação que o cliente possui, ele terá uma licença do processador Windows Server 2012 Datacenter mediante a disponibilização do Windows Server 2012.</w:t>
      </w:r>
    </w:p>
    <w:p w:rsidR="008B1196" w:rsidRPr="00EB4D74" w:rsidRDefault="008B1196" w:rsidP="008B1196">
      <w:pPr>
        <w:ind w:left="720"/>
        <w:rPr>
          <w:rFonts w:cs="Tahoma"/>
          <w:lang w:val="it-IT"/>
        </w:rPr>
      </w:pP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color w:val="000000"/>
          <w:szCs w:val="18"/>
          <w:lang w:val="pt-BR"/>
        </w:rPr>
        <w:t>Se um cliente tiver um número ímpar de Licenças Qualificadas, o cliente precisará arredondar para baixo para o próximo número par para determinar sua concessão. Por exemplo, um cliente que tenha três Licenças de Qualificação receberá no total uma licença do Windows Server 2012 Datacenter.</w:t>
      </w:r>
    </w:p>
    <w:p w:rsidR="008B1196" w:rsidRPr="00EB4D74" w:rsidRDefault="008B1196" w:rsidP="008B1196">
      <w:pPr>
        <w:pStyle w:val="ListParagraph"/>
        <w:numPr>
          <w:ilvl w:val="0"/>
          <w:numId w:val="97"/>
        </w:numPr>
        <w:tabs>
          <w:tab w:val="clear" w:pos="360"/>
          <w:tab w:val="num" w:pos="1440"/>
        </w:tabs>
        <w:spacing w:after="60"/>
        <w:ind w:left="1440"/>
        <w:contextualSpacing w:val="0"/>
        <w:rPr>
          <w:rFonts w:ascii="Tahoma" w:hAnsi="Tahoma" w:cs="Tahoma"/>
          <w:sz w:val="18"/>
          <w:szCs w:val="18"/>
          <w:lang w:val="it-IT"/>
        </w:rPr>
      </w:pPr>
      <w:r w:rsidRPr="00EB4D74">
        <w:rPr>
          <w:rFonts w:ascii="Tahoma" w:hAnsi="Tahoma" w:cs="Tahoma"/>
          <w:sz w:val="18"/>
          <w:szCs w:val="18"/>
        </w:rPr>
        <w:t xml:space="preserve">As licenças adquiridas sob esta concessão incluirão cobertura do Software Assurance. </w:t>
      </w:r>
      <w:r w:rsidRPr="00EB4D74">
        <w:rPr>
          <w:rFonts w:ascii="Tahoma" w:hAnsi="Tahoma" w:cs="Tahoma"/>
          <w:sz w:val="18"/>
          <w:szCs w:val="18"/>
          <w:lang w:val="it-IT"/>
        </w:rPr>
        <w:t>Tal cobertura expira quando a cobertura correspondente nas Licenças de Qualificação expirar.</w:t>
      </w:r>
    </w:p>
    <w:p w:rsidR="008B1196" w:rsidRPr="00EB4D74" w:rsidRDefault="008B1196" w:rsidP="008B1196">
      <w:pPr>
        <w:pStyle w:val="ListParagraph"/>
        <w:numPr>
          <w:ilvl w:val="0"/>
          <w:numId w:val="97"/>
        </w:numPr>
        <w:tabs>
          <w:tab w:val="clear" w:pos="360"/>
          <w:tab w:val="num" w:pos="1440"/>
        </w:tabs>
        <w:spacing w:after="60"/>
        <w:ind w:left="1440"/>
        <w:contextualSpacing w:val="0"/>
        <w:rPr>
          <w:rFonts w:ascii="Tahoma" w:hAnsi="Tahoma" w:cs="Tahoma"/>
          <w:spacing w:val="-2"/>
          <w:sz w:val="18"/>
          <w:szCs w:val="18"/>
          <w:lang w:val="it-IT"/>
        </w:rPr>
      </w:pPr>
      <w:r w:rsidRPr="00EB4D74">
        <w:rPr>
          <w:rFonts w:ascii="Tahoma" w:hAnsi="Tahoma" w:cs="Tahoma"/>
          <w:spacing w:val="-2"/>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szCs w:val="18"/>
          <w:lang w:val="pt-BR"/>
        </w:rPr>
        <w:t>Na atualização para o Windows Server 2012 Datacenter sob essa concessão, as Licenças de Qualificação do Windows Server 2008 R2 para Sistemas Baseados em Itanium existentes do cliente não serão mais válidas.</w:t>
      </w: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color w:val="000000"/>
          <w:szCs w:val="18"/>
          <w:lang w:val="pt-BR"/>
        </w:rPr>
        <w:t>As licenças do Windows Server 2008 R2 para Sistemas Baseados em Itanium adquiridas posteriormente no mesmo prazo de registro, como parte de um processo de adequação (“true-up”) programado do cliente Enterprise, Enterprise Subscription, Open Value Subscription ou EES também são Licenças de Qualificação para os propósitos da outorga de licença supracitada.</w:t>
      </w: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color w:val="000000"/>
          <w:szCs w:val="18"/>
          <w:lang w:val="pt-BR"/>
        </w:rPr>
        <w:lastRenderedPageBreak/>
        <w:t>Não obstante a concessão das licenças do Windows Server 2012 Datacenter e qualquer atualização para esta versão, as obrigações de pagar montantes devidos e pendentes pelas Licenças de Qualificação e cobertura permanecem em pleno vigor e efeito.</w:t>
      </w:r>
    </w:p>
    <w:p w:rsidR="008B1196" w:rsidRPr="00EB4D74" w:rsidRDefault="008B1196" w:rsidP="008B1196">
      <w:pPr>
        <w:pStyle w:val="Heading3"/>
        <w:rPr>
          <w:rFonts w:ascii="Tahoma" w:hAnsi="Tahoma" w:cs="Tahoma"/>
        </w:rPr>
      </w:pPr>
      <w:bookmarkStart w:id="1552" w:name="_117_Windows_Server"/>
      <w:bookmarkStart w:id="1553" w:name="_116_Windows_Server"/>
      <w:bookmarkStart w:id="1554" w:name="_Toc336338372"/>
      <w:bookmarkStart w:id="1555" w:name="Srv_101Win2008RemoteCALandExtConn"/>
      <w:bookmarkStart w:id="1556" w:name="Srv_115Win2008RemoteCALandExtConn"/>
      <w:bookmarkStart w:id="1557" w:name="Srv_119Win2008RemoteCALandExtConn"/>
      <w:bookmarkStart w:id="1558" w:name="Srv_101WindowsSvr2008RemoteDesktop"/>
      <w:bookmarkStart w:id="1559" w:name="_Toc342915000"/>
      <w:bookmarkEnd w:id="1552"/>
      <w:bookmarkEnd w:id="1553"/>
      <w:bookmarkEnd w:id="1554"/>
      <w:bookmarkEnd w:id="1555"/>
      <w:bookmarkEnd w:id="1556"/>
      <w:bookmarkEnd w:id="1557"/>
      <w:bookmarkEnd w:id="1558"/>
      <w:r w:rsidRPr="00EB4D74">
        <w:rPr>
          <w:rFonts w:ascii="Tahoma" w:hAnsi="Tahoma" w:cs="Tahoma"/>
          <w:caps/>
          <w:color w:val="F66400"/>
          <w:sz w:val="22"/>
          <w:vertAlign w:val="superscript"/>
          <w:lang w:val="pt-BR"/>
        </w:rPr>
        <w:t>106</w:t>
      </w:r>
      <w:r w:rsidRPr="00EB4D74">
        <w:rPr>
          <w:rFonts w:ascii="Tahoma" w:hAnsi="Tahoma" w:cs="Tahoma"/>
          <w:color w:val="F66400"/>
          <w:sz w:val="22"/>
          <w:lang w:val="pt-BR"/>
        </w:rPr>
        <w:t xml:space="preserve"> CAL do Windows Server 2012</w:t>
      </w:r>
      <w:bookmarkEnd w:id="1559"/>
    </w:p>
    <w:p w:rsidR="008B1196" w:rsidRPr="00EB4D74" w:rsidRDefault="008B1196" w:rsidP="008B1196">
      <w:pPr>
        <w:rPr>
          <w:rFonts w:cs="Tahoma"/>
        </w:rPr>
      </w:pPr>
    </w:p>
    <w:p w:rsidR="008B1196" w:rsidRPr="00EB4D74" w:rsidRDefault="008B1196" w:rsidP="008B1196">
      <w:pPr>
        <w:ind w:left="720"/>
        <w:rPr>
          <w:rFonts w:cs="Tahoma"/>
        </w:rPr>
      </w:pPr>
      <w:r w:rsidRPr="00EB4D74">
        <w:rPr>
          <w:rFonts w:cs="Tahoma"/>
          <w:lang w:val="pt-BR"/>
        </w:rPr>
        <w:t>A CAL do Windows Server 2012 é a próxima versão da CAL do Windows Server 2008.</w:t>
      </w:r>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lang w:val="pt-BR"/>
        </w:rPr>
        <w:t>Usando o Windows Server 2012 como um Servidor Web</w:t>
      </w:r>
    </w:p>
    <w:p w:rsidR="008B1196" w:rsidRPr="00EB4D74" w:rsidRDefault="008B1196" w:rsidP="008B1196">
      <w:pPr>
        <w:ind w:left="720"/>
        <w:rPr>
          <w:rFonts w:cs="Tahoma"/>
          <w:lang w:val="it-IT"/>
        </w:rPr>
      </w:pPr>
      <w:r w:rsidRPr="00EB4D74">
        <w:rPr>
          <w:rFonts w:cs="Tahoma"/>
          <w:color w:val="000000"/>
          <w:szCs w:val="18"/>
          <w:lang w:val="pt-BR"/>
        </w:rPr>
        <w:t xml:space="preserve">Quando o Windows Server 2012 Standard ou Datacenter é usado como um Servidor Web, você não precisa de CALs para acessar o software. </w:t>
      </w:r>
      <w:r w:rsidRPr="00EB4D74">
        <w:rPr>
          <w:rFonts w:cs="Tahoma"/>
          <w:color w:val="000000"/>
          <w:lang w:val="pt-BR"/>
        </w:rPr>
        <w:t>Uma “Carga de Trabalho da Web” significa:</w:t>
      </w:r>
    </w:p>
    <w:p w:rsidR="008B1196" w:rsidRPr="00EB4D74" w:rsidRDefault="008B1196" w:rsidP="008B1196">
      <w:pPr>
        <w:pStyle w:val="PURBody-Indented"/>
        <w:spacing w:after="0"/>
        <w:ind w:left="720"/>
        <w:rPr>
          <w:rFonts w:ascii="Tahoma" w:hAnsi="Tahoma" w:cs="Tahoma"/>
          <w:lang w:val="it-IT"/>
        </w:rPr>
      </w:pPr>
    </w:p>
    <w:p w:rsidR="008B1196" w:rsidRPr="00EB4D74" w:rsidRDefault="008B1196" w:rsidP="008B1196">
      <w:pPr>
        <w:pStyle w:val="PURBody-Indented"/>
        <w:spacing w:after="60"/>
        <w:ind w:left="720"/>
        <w:rPr>
          <w:rFonts w:ascii="Tahoma" w:hAnsi="Tahoma" w:cs="Tahoma"/>
          <w:lang w:val="it-IT"/>
        </w:rPr>
      </w:pPr>
      <w:r w:rsidRPr="00EB4D74">
        <w:rPr>
          <w:rFonts w:ascii="Tahoma" w:hAnsi="Tahoma" w:cs="Tahoma"/>
          <w:b/>
          <w:sz w:val="18"/>
          <w:lang w:val="pt-BR"/>
        </w:rPr>
        <w:t>Carga de Trabalho da Web (Soluções de Web na Internet)</w:t>
      </w:r>
    </w:p>
    <w:p w:rsidR="008B1196" w:rsidRPr="00EB4D74" w:rsidRDefault="008B1196" w:rsidP="008B1196">
      <w:pPr>
        <w:pStyle w:val="PURBody-Indented"/>
        <w:spacing w:after="0"/>
        <w:ind w:left="720"/>
        <w:rPr>
          <w:rFonts w:ascii="Tahoma" w:hAnsi="Tahoma" w:cs="Tahoma"/>
          <w:lang w:val="pt-BR"/>
        </w:rPr>
      </w:pPr>
      <w:r w:rsidRPr="00EB4D74">
        <w:rPr>
          <w:rFonts w:ascii="Tahoma" w:hAnsi="Tahoma" w:cs="Tahoma"/>
          <w:sz w:val="18"/>
          <w:szCs w:val="18"/>
          <w:lang w:val="pt-BR"/>
        </w:rPr>
        <w:t>As “Soluções de Web na Internet” são de conhecimento público e são compostas exclusivamente de páginas da Web, sites, aplicativos da Web, serviços da Web e/ou serviços de email do POP3. Esclarecendo melhor, o acesso ao conteúdo, às informações e aos aplicativos oferecidos pelo software em uma solução de Web na Internet não está limitado aos funcionários de suas afiliadas.</w:t>
      </w:r>
    </w:p>
    <w:p w:rsidR="008B1196" w:rsidRPr="00EB4D74" w:rsidRDefault="008B1196" w:rsidP="008B1196">
      <w:pPr>
        <w:pStyle w:val="PURBody-Indented"/>
        <w:spacing w:after="0"/>
        <w:ind w:firstLine="450"/>
        <w:rPr>
          <w:rFonts w:ascii="Tahoma" w:hAnsi="Tahoma" w:cs="Tahoma"/>
          <w:lang w:val="pt-BR"/>
        </w:rPr>
      </w:pPr>
    </w:p>
    <w:p w:rsidR="008B1196" w:rsidRPr="00EB4D74" w:rsidRDefault="008B1196" w:rsidP="008B1196">
      <w:pPr>
        <w:pStyle w:val="PURBody-Indented"/>
        <w:spacing w:after="0"/>
        <w:ind w:firstLine="450"/>
        <w:rPr>
          <w:rFonts w:ascii="Tahoma" w:hAnsi="Tahoma" w:cs="Tahoma"/>
          <w:lang w:val="pt-BR"/>
        </w:rPr>
      </w:pPr>
      <w:r w:rsidRPr="00EB4D74">
        <w:rPr>
          <w:rFonts w:ascii="Tahoma" w:hAnsi="Tahoma" w:cs="Tahoma"/>
          <w:sz w:val="18"/>
          <w:lang w:val="pt-BR"/>
        </w:rPr>
        <w:t>Você poderá usar o software nas “Soluções da Web na Internet” para executar:</w:t>
      </w:r>
    </w:p>
    <w:p w:rsidR="008B1196" w:rsidRPr="00EB4D74" w:rsidRDefault="008B1196" w:rsidP="008B1196">
      <w:pPr>
        <w:pStyle w:val="PURBody-Indented"/>
        <w:spacing w:after="0"/>
        <w:ind w:firstLine="450"/>
        <w:rPr>
          <w:rFonts w:ascii="Tahoma" w:hAnsi="Tahoma" w:cs="Tahoma"/>
          <w:lang w:val="pt-BR"/>
        </w:rPr>
      </w:pPr>
    </w:p>
    <w:p w:rsidR="008B1196" w:rsidRPr="00EB4D74" w:rsidRDefault="008B1196" w:rsidP="008B1196">
      <w:pPr>
        <w:pStyle w:val="PURBullet-Indented"/>
        <w:numPr>
          <w:ilvl w:val="0"/>
          <w:numId w:val="127"/>
        </w:numPr>
        <w:spacing w:after="60" w:line="240" w:lineRule="auto"/>
        <w:ind w:left="1440" w:hanging="360"/>
        <w:contextualSpacing w:val="0"/>
        <w:rPr>
          <w:rFonts w:ascii="Tahoma" w:hAnsi="Tahoma" w:cs="Tahoma"/>
          <w:lang w:val="pt-BR"/>
        </w:rPr>
      </w:pPr>
      <w:r w:rsidRPr="00EB4D74">
        <w:rPr>
          <w:rFonts w:ascii="Tahoma" w:hAnsi="Tahoma" w:cs="Tahoma"/>
          <w:sz w:val="18"/>
          <w:lang w:val="pt-BR"/>
        </w:rPr>
        <w:t>software de servidor Web (por exemplo, o Microsoft Internet Information Services) e gerenciamento de agentes de segurança (por exemplo, o agente System Center Operations Manager).</w:t>
      </w:r>
    </w:p>
    <w:p w:rsidR="008B1196" w:rsidRPr="00EB4D74" w:rsidRDefault="008B1196" w:rsidP="008B1196">
      <w:pPr>
        <w:pStyle w:val="PURBullet-Indented"/>
        <w:numPr>
          <w:ilvl w:val="0"/>
          <w:numId w:val="127"/>
        </w:numPr>
        <w:spacing w:after="60" w:line="240" w:lineRule="auto"/>
        <w:ind w:left="1440" w:hanging="360"/>
        <w:contextualSpacing w:val="0"/>
        <w:rPr>
          <w:rFonts w:ascii="Tahoma" w:hAnsi="Tahoma" w:cs="Tahoma"/>
          <w:lang w:val="it-IT"/>
        </w:rPr>
      </w:pPr>
      <w:r w:rsidRPr="00EB4D74">
        <w:rPr>
          <w:rFonts w:ascii="Tahoma" w:hAnsi="Tahoma" w:cs="Tahoma"/>
          <w:sz w:val="18"/>
          <w:szCs w:val="18"/>
          <w:lang w:val="pt-BR"/>
        </w:rPr>
        <w:t>software de mecanismo de banco de dados (por exemplo, Microsoft SQL Server) unicamente para oferecer o suporte a soluções da Internet.</w:t>
      </w:r>
    </w:p>
    <w:p w:rsidR="008B1196" w:rsidRPr="00EB4D74" w:rsidRDefault="008B1196" w:rsidP="008B1196">
      <w:pPr>
        <w:pStyle w:val="PURBullet-Indented"/>
        <w:numPr>
          <w:ilvl w:val="0"/>
          <w:numId w:val="127"/>
        </w:numPr>
        <w:spacing w:after="60" w:line="240" w:lineRule="auto"/>
        <w:ind w:left="1440" w:hanging="360"/>
        <w:contextualSpacing w:val="0"/>
        <w:rPr>
          <w:rFonts w:ascii="Tahoma" w:hAnsi="Tahoma" w:cs="Tahoma"/>
          <w:lang w:val="it-IT"/>
        </w:rPr>
      </w:pPr>
      <w:r w:rsidRPr="00EB4D74">
        <w:rPr>
          <w:rFonts w:ascii="Tahoma" w:hAnsi="Tahoma" w:cs="Tahoma"/>
          <w:sz w:val="18"/>
          <w:lang w:val="pt-BR"/>
        </w:rPr>
        <w:t>serviço DNS (Domain Name System) para fornecer resolução de nomes da Internet aos endereços IP, desde que não seja a função exclusiva dessa instância do servidor.</w:t>
      </w:r>
    </w:p>
    <w:p w:rsidR="008B1196" w:rsidRPr="00EB4D74" w:rsidRDefault="008B1196" w:rsidP="008B1196">
      <w:pPr>
        <w:rPr>
          <w:rFonts w:cs="Tahoma"/>
          <w:lang w:val="it-IT"/>
        </w:rPr>
      </w:pPr>
    </w:p>
    <w:p w:rsidR="008B1196" w:rsidRPr="00EB4D74" w:rsidRDefault="008B1196" w:rsidP="008B1196">
      <w:pPr>
        <w:spacing w:after="60"/>
        <w:ind w:left="720"/>
        <w:rPr>
          <w:rFonts w:cs="Tahoma"/>
        </w:rPr>
      </w:pPr>
      <w:r w:rsidRPr="00EB4D74">
        <w:rPr>
          <w:rFonts w:cs="Tahoma"/>
          <w:b/>
          <w:lang w:val="pt-BR"/>
        </w:rPr>
        <w:t>Usando o Windows Server 2012 para High Performance Computing (HPC)</w:t>
      </w:r>
    </w:p>
    <w:p w:rsidR="008B1196" w:rsidRPr="00EB4D74" w:rsidRDefault="008B1196" w:rsidP="008B1196">
      <w:pPr>
        <w:ind w:left="720"/>
        <w:rPr>
          <w:rFonts w:cs="Tahoma"/>
          <w:lang w:val="it-IT"/>
        </w:rPr>
      </w:pPr>
      <w:r w:rsidRPr="00EB4D74">
        <w:rPr>
          <w:rFonts w:cs="Tahoma"/>
          <w:color w:val="000000"/>
          <w:lang w:val="pt-BR"/>
        </w:rPr>
        <w:t>Quando o Windows Server 2012 Standard ou Datacenter é usado para High Performance Computing, você não precisa de CALs para acessar o software. Uma “Carga de Trabalho High Performance Computing (“HPC”)” significa uma carga de trabalho na qual o software para servidores é usado para executar um Nó de Cluster e é usado em conjunto com outro software somente conforme necessário para permitir o gerenciamento de sistemas, a segurança, o armazenamento e a melhoria do desempenho de qualquer dispositivo do nó de cluster com o propósito de oferecer suporte aos Aplicativos HPC agrupados. Consulte os Direitos de Uso de Produto para obter detalhes adicionais.</w:t>
      </w:r>
    </w:p>
    <w:p w:rsidR="008B1196" w:rsidRPr="00EB4D74" w:rsidRDefault="008B1196" w:rsidP="008B1196">
      <w:pPr>
        <w:pStyle w:val="ListParagraph"/>
        <w:ind w:left="0"/>
        <w:contextualSpacing w:val="0"/>
        <w:rPr>
          <w:rFonts w:ascii="Tahoma" w:hAnsi="Tahoma" w:cs="Tahoma"/>
          <w:sz w:val="18"/>
          <w:szCs w:val="18"/>
          <w:lang w:val="it-IT"/>
        </w:rPr>
      </w:pPr>
    </w:p>
    <w:p w:rsidR="008B1196" w:rsidRPr="00EB4D74" w:rsidRDefault="008B1196" w:rsidP="008B1196">
      <w:pPr>
        <w:rPr>
          <w:rFonts w:cs="Tahoma"/>
          <w:lang w:val="it-IT"/>
        </w:rPr>
      </w:pPr>
    </w:p>
    <w:p w:rsidR="008B1196" w:rsidRPr="00EB4D74" w:rsidRDefault="008B1196" w:rsidP="008B1196">
      <w:pPr>
        <w:pStyle w:val="Heading3"/>
        <w:ind w:left="360" w:hanging="360"/>
        <w:rPr>
          <w:rFonts w:ascii="Tahoma" w:hAnsi="Tahoma" w:cs="Tahoma"/>
          <w:lang w:val="it-IT"/>
        </w:rPr>
      </w:pPr>
      <w:bookmarkStart w:id="1560" w:name="_114_Windows_Server"/>
      <w:bookmarkStart w:id="1561" w:name="_Toc336338373"/>
      <w:bookmarkStart w:id="1562" w:name="_Toc342915001"/>
      <w:bookmarkStart w:id="1563" w:name="Srv_111WinSvr08R2Datacenter"/>
      <w:bookmarkStart w:id="1564" w:name="Srv_115WinSvr08R2Datacenter"/>
      <w:bookmarkEnd w:id="1560"/>
      <w:bookmarkEnd w:id="1561"/>
      <w:r w:rsidRPr="00EB4D74">
        <w:rPr>
          <w:rFonts w:ascii="Tahoma" w:hAnsi="Tahoma" w:cs="Tahoma"/>
          <w:caps/>
          <w:color w:val="F66400"/>
          <w:sz w:val="22"/>
          <w:vertAlign w:val="superscript"/>
          <w:lang w:val="pt-BR"/>
        </w:rPr>
        <w:t>107</w:t>
      </w:r>
      <w:r w:rsidRPr="00EB4D74">
        <w:rPr>
          <w:rFonts w:ascii="Tahoma" w:hAnsi="Tahoma" w:cs="Tahoma"/>
          <w:color w:val="F66400"/>
          <w:sz w:val="22"/>
          <w:lang w:val="pt-BR"/>
        </w:rPr>
        <w:t xml:space="preserve"> Windows Server 2008 R2 Datacenter</w:t>
      </w:r>
      <w:bookmarkEnd w:id="1562"/>
    </w:p>
    <w:bookmarkEnd w:id="1563"/>
    <w:bookmarkEnd w:id="1564"/>
    <w:p w:rsidR="008B1196" w:rsidRPr="00EB4D74" w:rsidRDefault="008B1196" w:rsidP="008B1196">
      <w:pPr>
        <w:ind w:left="900"/>
        <w:rPr>
          <w:rFonts w:cs="Tahoma"/>
          <w:lang w:val="it-IT"/>
        </w:rPr>
      </w:pPr>
    </w:p>
    <w:p w:rsidR="008B1196" w:rsidRPr="00EB4D74" w:rsidRDefault="008B1196" w:rsidP="008B1196">
      <w:pPr>
        <w:spacing w:after="60"/>
        <w:ind w:left="720"/>
        <w:rPr>
          <w:rFonts w:cs="Tahoma"/>
          <w:lang w:val="it-IT"/>
        </w:rPr>
      </w:pPr>
      <w:r w:rsidRPr="00EB4D74">
        <w:rPr>
          <w:rFonts w:cs="Tahoma"/>
          <w:b/>
          <w:color w:val="000000"/>
          <w:lang w:val="pt-BR"/>
        </w:rPr>
        <w:t>Outorgas de licença associadas à alteração no modelo de licenciamento para Windows Server Datacenter</w:t>
      </w:r>
    </w:p>
    <w:p w:rsidR="008B1196" w:rsidRPr="00EB4D74" w:rsidRDefault="008B1196" w:rsidP="008B1196">
      <w:pPr>
        <w:spacing w:after="200"/>
        <w:ind w:left="720"/>
        <w:rPr>
          <w:rFonts w:cs="Tahoma"/>
          <w:lang w:val="it-IT"/>
        </w:rPr>
      </w:pPr>
      <w:r w:rsidRPr="00EB4D74">
        <w:rPr>
          <w:rFonts w:cs="Tahoma"/>
          <w:color w:val="000000"/>
          <w:lang w:val="pt-BR"/>
        </w:rPr>
        <w:t xml:space="preserve">O Windows Server 2012 Datacenter será licenciado sob um novo modelo de licenciamento no qual cada licença poderá abranger até dois processadores físicos. </w:t>
      </w:r>
      <w:r w:rsidRPr="00EB4D74">
        <w:rPr>
          <w:rFonts w:cs="Tahoma"/>
          <w:lang w:val="pt-BR"/>
        </w:rPr>
        <w:t xml:space="preserve">Os clientes de licenciamento por volume com Software Assurance ativo para licenças do Windows Server 2008 R2 Datacenter em 1º de setembro de 2012 ou a partir da data da primeira disponibilização do Windows Server 2012 para download no </w:t>
      </w:r>
      <w:r w:rsidRPr="00EB4D74">
        <w:rPr>
          <w:rFonts w:cs="Tahoma"/>
          <w:szCs w:val="18"/>
          <w:lang w:val="pt-BR"/>
        </w:rPr>
        <w:t xml:space="preserve">Volume Licensing Service Center (Centro de Atendimento de Licenciamento por Volume), o que ocorrer primeiro, (“Licenças Qualificadas”) poderão atualizar para e usar o software Windows Server 2012 Datacenter em vez do Windows Server 2008 R2 Datacenter. </w:t>
      </w:r>
      <w:r w:rsidRPr="00EB4D74">
        <w:rPr>
          <w:rFonts w:cs="Tahoma"/>
          <w:lang w:val="pt-BR"/>
        </w:rPr>
        <w:t>Para facilitar essa atualização, para cada duas Licenças de Qualificação que o cliente possui, ele terá uma licença do processador Windows Server 2012 Datacenter mediante a disponibilização do Windows Server 2012.</w:t>
      </w:r>
    </w:p>
    <w:p w:rsidR="008B1196" w:rsidRPr="00EB4D74" w:rsidRDefault="008B1196" w:rsidP="008B1196">
      <w:pPr>
        <w:numPr>
          <w:ilvl w:val="0"/>
          <w:numId w:val="93"/>
        </w:numPr>
        <w:spacing w:afterLines="60" w:after="144"/>
        <w:ind w:left="1440" w:hanging="274"/>
        <w:rPr>
          <w:rFonts w:cs="Tahoma"/>
        </w:rPr>
      </w:pPr>
      <w:r w:rsidRPr="00EB4D74">
        <w:rPr>
          <w:rFonts w:cs="Tahoma"/>
          <w:color w:val="000000"/>
          <w:lang w:val="pt-BR"/>
        </w:rPr>
        <w:t>Se um cliente tiver um número ímpar de Licenças Qualificadas, o cliente precisará arredondar para baixo para o próximo número par para determinar sua concessão. Por exemplo, um cliente que tenha três Licenças de Qualificação receberá no total uma licença do Windows Server 2012 Datacenter.</w:t>
      </w:r>
    </w:p>
    <w:p w:rsidR="008B1196" w:rsidRPr="00EB4D74" w:rsidRDefault="008B1196" w:rsidP="008B1196">
      <w:pPr>
        <w:numPr>
          <w:ilvl w:val="0"/>
          <w:numId w:val="93"/>
        </w:numPr>
        <w:tabs>
          <w:tab w:val="left" w:pos="990"/>
        </w:tabs>
        <w:spacing w:afterLines="60" w:after="144"/>
        <w:ind w:left="1440" w:hanging="274"/>
        <w:rPr>
          <w:rFonts w:cs="Tahoma"/>
          <w:lang w:val="it-IT"/>
        </w:rPr>
      </w:pPr>
      <w:r w:rsidRPr="00EB4D74">
        <w:rPr>
          <w:rFonts w:eastAsia="Times New Roman" w:cs="Tahoma"/>
          <w:szCs w:val="18"/>
          <w:lang w:val="pt-BR"/>
        </w:rPr>
        <w:lastRenderedPageBreak/>
        <w:t xml:space="preserve">As licenças adquiridas sob esta concessão incluirão cobertura do Software Assurance. </w:t>
      </w:r>
      <w:r w:rsidRPr="00EB4D74">
        <w:rPr>
          <w:rFonts w:cs="Tahoma"/>
          <w:lang w:val="pt-BR"/>
        </w:rPr>
        <w:t>Tal cobertura expira quando a cobertura correspondente nas Licenças de Qualificação expirar.</w:t>
      </w:r>
    </w:p>
    <w:p w:rsidR="008B1196" w:rsidRPr="00EB4D74" w:rsidRDefault="008B1196" w:rsidP="008B1196">
      <w:pPr>
        <w:tabs>
          <w:tab w:val="left" w:pos="990"/>
        </w:tabs>
        <w:spacing w:afterLines="60" w:after="144"/>
        <w:rPr>
          <w:rFonts w:cs="Tahoma"/>
          <w:lang w:val="it-IT"/>
        </w:rPr>
      </w:pPr>
    </w:p>
    <w:p w:rsidR="008B1196" w:rsidRPr="00EB4D74" w:rsidRDefault="008B1196" w:rsidP="008B1196">
      <w:pPr>
        <w:numPr>
          <w:ilvl w:val="0"/>
          <w:numId w:val="93"/>
        </w:numPr>
        <w:tabs>
          <w:tab w:val="left" w:pos="990"/>
        </w:tabs>
        <w:spacing w:afterLines="60" w:after="144"/>
        <w:ind w:left="1440" w:hanging="274"/>
        <w:rPr>
          <w:rFonts w:cs="Tahoma"/>
          <w:lang w:val="it-IT"/>
        </w:rPr>
      </w:pPr>
      <w:r w:rsidRPr="00EB4D74">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7"/>
        </w:numPr>
        <w:spacing w:afterLines="60" w:after="144"/>
        <w:ind w:left="1440" w:hanging="274"/>
        <w:rPr>
          <w:rFonts w:cs="Tahoma"/>
        </w:rPr>
      </w:pPr>
      <w:r w:rsidRPr="00EB4D74">
        <w:rPr>
          <w:rFonts w:cs="Tahoma"/>
          <w:lang w:val="pt-BR"/>
        </w:rPr>
        <w:t>Na atualização para o Windows Server 2012 Datacenter sob essa concessão, as Licenças de Qualificação do Windows Server 2008 R2 Datacenter existentes do cliente não serão mais válidas.</w:t>
      </w:r>
    </w:p>
    <w:p w:rsidR="008B1196" w:rsidRPr="00EB4D74" w:rsidRDefault="008B1196" w:rsidP="008B1196">
      <w:pPr>
        <w:numPr>
          <w:ilvl w:val="0"/>
          <w:numId w:val="97"/>
        </w:numPr>
        <w:spacing w:afterLines="60" w:after="144"/>
        <w:ind w:left="1440" w:hanging="274"/>
        <w:rPr>
          <w:rFonts w:cs="Tahoma"/>
        </w:rPr>
      </w:pPr>
      <w:r w:rsidRPr="00EB4D74">
        <w:rPr>
          <w:rFonts w:cs="Tahoma"/>
          <w:color w:val="000000"/>
          <w:lang w:val="pt-BR"/>
        </w:rPr>
        <w:t>As licenças do Windows Server 2008 R2 Datacenter adquiridas posteriormente no mesmo prazo de registro, como parte de um processo de adequação (“true-up”) programado do cliente Enterprise, Enterprise Subscription, Open Value Subscription ou EES também são Licenças de Qualificação para os propósitos da concessão supracitada.</w:t>
      </w:r>
    </w:p>
    <w:p w:rsidR="008B1196" w:rsidRPr="00EB4D74" w:rsidRDefault="008B1196" w:rsidP="008B1196">
      <w:pPr>
        <w:numPr>
          <w:ilvl w:val="0"/>
          <w:numId w:val="97"/>
        </w:numPr>
        <w:spacing w:afterLines="60" w:after="144"/>
        <w:ind w:left="1440" w:hanging="274"/>
        <w:rPr>
          <w:rFonts w:cs="Tahoma"/>
        </w:rPr>
      </w:pPr>
      <w:r w:rsidRPr="00EB4D74">
        <w:rPr>
          <w:rFonts w:cs="Tahoma"/>
          <w:lang w:val="pt-BR"/>
        </w:rPr>
        <w:t>Licenças de um único processador do Windows Server Datacenter adquiridas depois de 1º de setembro de 2012 com cobertura de Software Assurance também são Licenças de Qualificação para os propósitos da concessão supracitada.</w:t>
      </w:r>
    </w:p>
    <w:p w:rsidR="008B1196" w:rsidRPr="00EB4D74" w:rsidRDefault="008B1196" w:rsidP="008B1196">
      <w:pPr>
        <w:numPr>
          <w:ilvl w:val="0"/>
          <w:numId w:val="97"/>
        </w:numPr>
        <w:spacing w:afterLines="60" w:after="144"/>
        <w:ind w:left="1440" w:hanging="274"/>
        <w:rPr>
          <w:rFonts w:cs="Tahoma"/>
        </w:rPr>
      </w:pPr>
      <w:r w:rsidRPr="00EB4D74">
        <w:rPr>
          <w:rFonts w:cs="Tahoma"/>
          <w:color w:val="000000"/>
          <w:lang w:val="pt-BR"/>
        </w:rPr>
        <w:t>Não obstante a concessão das licenças do Windows Server 2012 Datacenter e qualquer atualização para esta versão, as obrigações de pagar montantes devidos e pendentes pelas Licenças de Qualificação e cobertura permanecem em pleno vigor e efeito.</w:t>
      </w:r>
    </w:p>
    <w:p w:rsidR="008B1196" w:rsidRPr="00EB4D74" w:rsidRDefault="008B1196" w:rsidP="008B1196">
      <w:pPr>
        <w:ind w:left="720"/>
        <w:rPr>
          <w:rFonts w:cs="Tahoma"/>
        </w:rPr>
      </w:pPr>
    </w:p>
    <w:p w:rsidR="008B1196" w:rsidRPr="00EB4D74" w:rsidRDefault="008B1196" w:rsidP="008B1196">
      <w:pPr>
        <w:ind w:left="720"/>
        <w:rPr>
          <w:rFonts w:cs="Tahoma"/>
          <w:lang w:val="it-IT"/>
        </w:rPr>
      </w:pPr>
      <w:r w:rsidRPr="00EB4D74">
        <w:rPr>
          <w:rFonts w:cs="Tahoma"/>
          <w:color w:val="000000"/>
          <w:lang w:val="pt-BR"/>
        </w:rPr>
        <w:t xml:space="preserve">Windows Server 2012 Datacenter – 1 SKU de Licença de Processador; o Windows Server 2012 está mudando para um Processador mais o modelo de licenciamento de CAL, com cada licença abrangendo dois processadores. A oferta no. P71-01031 foi intencionalmente incluída na lista de preços de setembro e não deve ser usada para nenhum programa que não seja o SPLA. Essa oferta abrange um único processador; os clientes que a adquirirem não serão cobertos pelos direitos de uso atuais. Essa SKU só deve ser usada pelos clientes SPLA. </w:t>
      </w:r>
      <w:r w:rsidRPr="00EB4D74">
        <w:rPr>
          <w:rFonts w:cs="Tahoma"/>
          <w:lang w:val="pt-BR"/>
        </w:rPr>
        <w:t>A oferta correta para todos os programas que não sejam o SPLA é a oferta no. P71-07280. Os clientes que já adquiriram a oferta no. P71-01031, consulte a concessão de migração acima.</w:t>
      </w:r>
    </w:p>
    <w:p w:rsidR="008B1196" w:rsidRPr="00EB4D74" w:rsidRDefault="008B1196" w:rsidP="008B1196">
      <w:pPr>
        <w:ind w:left="720"/>
        <w:rPr>
          <w:rFonts w:cs="Tahoma"/>
          <w:lang w:val="it-IT"/>
        </w:rPr>
      </w:pPr>
    </w:p>
    <w:p w:rsidR="008B1196" w:rsidRPr="00EB4D74" w:rsidRDefault="008B1196" w:rsidP="008B1196">
      <w:pPr>
        <w:pStyle w:val="PURBody-Indented"/>
        <w:ind w:left="720"/>
        <w:rPr>
          <w:rFonts w:ascii="Tahoma" w:hAnsi="Tahoma" w:cs="Tahoma"/>
        </w:rPr>
      </w:pPr>
      <w:r w:rsidRPr="00EB4D74">
        <w:rPr>
          <w:rFonts w:ascii="Tahoma" w:hAnsi="Tahoma" w:cs="Tahoma"/>
          <w:color w:val="000000"/>
          <w:sz w:val="18"/>
          <w:szCs w:val="18"/>
          <w:lang w:val="pt-BR"/>
        </w:rPr>
        <w:t xml:space="preserve">Windows Server 2012 Datacenter: </w:t>
      </w:r>
      <w:r w:rsidRPr="00EB4D74">
        <w:rPr>
          <w:rFonts w:ascii="Tahoma" w:hAnsi="Tahoma" w:cs="Tahoma"/>
          <w:sz w:val="18"/>
          <w:lang w:val="pt-BR"/>
        </w:rPr>
        <w:t>Você poderá executar uma instância do Windows Server Datacenter, Enterprise, Standard ou Essentials (a mesma ou qualquer versão anterior) em vez do Windows Server 2012 Datacenter em qualquer OSE em seu servidor licenciado.</w:t>
      </w:r>
    </w:p>
    <w:p w:rsidR="008B1196" w:rsidRPr="00EB4D74" w:rsidRDefault="008B1196" w:rsidP="008B1196">
      <w:pPr>
        <w:pStyle w:val="ListParagraph"/>
        <w:ind w:left="0"/>
        <w:contextualSpacing w:val="0"/>
        <w:rPr>
          <w:rFonts w:ascii="Tahoma" w:hAnsi="Tahoma" w:cs="Tahoma"/>
          <w:sz w:val="18"/>
          <w:szCs w:val="18"/>
        </w:rPr>
      </w:pPr>
    </w:p>
    <w:p w:rsidR="008B1196" w:rsidRPr="00EB4D74" w:rsidRDefault="008B1196" w:rsidP="008B1196">
      <w:pPr>
        <w:pStyle w:val="ListParagraph"/>
        <w:ind w:left="0"/>
        <w:contextualSpacing w:val="0"/>
        <w:rPr>
          <w:rFonts w:ascii="Tahoma" w:hAnsi="Tahoma" w:cs="Tahoma"/>
          <w:sz w:val="18"/>
          <w:szCs w:val="18"/>
        </w:rPr>
      </w:pPr>
    </w:p>
    <w:p w:rsidR="008B1196" w:rsidRPr="00EB4D74" w:rsidRDefault="008B1196" w:rsidP="008B1196">
      <w:pPr>
        <w:pStyle w:val="Heading3"/>
        <w:rPr>
          <w:rFonts w:ascii="Tahoma" w:hAnsi="Tahoma" w:cs="Tahoma"/>
        </w:rPr>
      </w:pPr>
      <w:bookmarkStart w:id="1565" w:name="_118_Windows_Server"/>
      <w:bookmarkStart w:id="1566" w:name="_Toc336338374"/>
      <w:bookmarkStart w:id="1567" w:name="_Toc342915002"/>
      <w:bookmarkStart w:id="1568" w:name="Srv_102WindowsSvr08R2Std"/>
      <w:bookmarkStart w:id="1569" w:name="Srv_114WindowsSvr08R2Std"/>
      <w:bookmarkStart w:id="1570" w:name="Srv_118WindowsSvr08R2Std"/>
      <w:bookmarkEnd w:id="1565"/>
      <w:bookmarkEnd w:id="1566"/>
      <w:r w:rsidRPr="00EB4D74">
        <w:rPr>
          <w:rStyle w:val="Heading3Char"/>
          <w:rFonts w:ascii="Tahoma" w:hAnsi="Tahoma" w:cs="Tahoma"/>
          <w:b/>
          <w:caps/>
          <w:color w:val="F66400"/>
          <w:sz w:val="22"/>
          <w:vertAlign w:val="superscript"/>
          <w:lang w:val="pt-BR"/>
        </w:rPr>
        <w:t>108</w:t>
      </w:r>
      <w:r w:rsidRPr="00EB4D74">
        <w:rPr>
          <w:rStyle w:val="Heading3Char"/>
          <w:rFonts w:ascii="Tahoma" w:hAnsi="Tahoma" w:cs="Tahoma"/>
          <w:b/>
          <w:color w:val="F66400"/>
          <w:sz w:val="22"/>
          <w:lang w:val="pt-BR"/>
        </w:rPr>
        <w:t xml:space="preserve"> Windows Server 2008 R2 Standard</w:t>
      </w:r>
      <w:bookmarkEnd w:id="1567"/>
    </w:p>
    <w:bookmarkEnd w:id="1568"/>
    <w:bookmarkEnd w:id="1569"/>
    <w:bookmarkEnd w:id="1570"/>
    <w:p w:rsidR="008B1196" w:rsidRPr="00EB4D74" w:rsidRDefault="008B1196" w:rsidP="008B1196">
      <w:pPr>
        <w:tabs>
          <w:tab w:val="left" w:pos="360"/>
        </w:tabs>
        <w:ind w:left="360"/>
        <w:rPr>
          <w:rFonts w:cs="Tahoma"/>
        </w:rPr>
      </w:pPr>
    </w:p>
    <w:p w:rsidR="008B1196" w:rsidRPr="00EB4D74" w:rsidRDefault="008B1196" w:rsidP="008B1196">
      <w:pPr>
        <w:spacing w:after="60"/>
        <w:ind w:left="720"/>
        <w:rPr>
          <w:rFonts w:cs="Tahoma"/>
        </w:rPr>
      </w:pPr>
      <w:bookmarkStart w:id="1571" w:name="Srv_99WindowsSvr08R2ItaniumSys"/>
      <w:bookmarkStart w:id="1572" w:name="Srv_100WindowsSvr08R2ItaniumSys"/>
      <w:bookmarkEnd w:id="1571"/>
      <w:bookmarkEnd w:id="1572"/>
      <w:r w:rsidRPr="00EB4D74">
        <w:rPr>
          <w:rFonts w:cs="Tahoma"/>
          <w:b/>
          <w:color w:val="000000"/>
          <w:lang w:val="pt-BR"/>
        </w:rPr>
        <w:t>Outorgas de licença associadas à alteração no modelo de licenciamento para Windows Server Standard</w:t>
      </w:r>
    </w:p>
    <w:p w:rsidR="008B1196" w:rsidRPr="00EB4D74" w:rsidRDefault="008B1196" w:rsidP="008B1196">
      <w:pPr>
        <w:numPr>
          <w:ilvl w:val="0"/>
          <w:numId w:val="93"/>
        </w:numPr>
        <w:tabs>
          <w:tab w:val="left" w:pos="1260"/>
          <w:tab w:val="left" w:pos="1440"/>
        </w:tabs>
        <w:ind w:left="1440"/>
        <w:rPr>
          <w:rFonts w:cs="Tahoma"/>
          <w:lang w:val="it-IT"/>
        </w:rPr>
      </w:pPr>
      <w:r w:rsidRPr="00EB4D74">
        <w:rPr>
          <w:rFonts w:cs="Tahoma"/>
          <w:color w:val="000000"/>
          <w:lang w:val="pt-BR"/>
        </w:rPr>
        <w:t xml:space="preserve">O Windows Server 2008 R2 Standard será a última versão do Windows Server licenciada sob o modelo de licenciamento de Servidor/CAL. O Windows Server 2012 Standard será licenciado sob um novo modelo de licenciamento no qual cada licença poderá licenciar até dois processadores físicos. </w:t>
      </w:r>
      <w:r w:rsidRPr="00EB4D74">
        <w:rPr>
          <w:rFonts w:cs="Tahoma"/>
          <w:lang w:val="pt-BR"/>
        </w:rPr>
        <w:t xml:space="preserve">Os clientes de licenciamento por volume com Software Assurance ativo para licenças do Windows Server 2008 R2 Standard em 1º de setembro de 2012 ou a partir da data da primeira disponibilização do Windows Server 2012 para download no </w:t>
      </w:r>
      <w:r w:rsidRPr="00EB4D74">
        <w:rPr>
          <w:rFonts w:cs="Tahoma"/>
          <w:szCs w:val="18"/>
          <w:lang w:val="pt-BR"/>
        </w:rPr>
        <w:t xml:space="preserve">Volume Licensing Service Center (Centro de Atendimento de Licenciamento por Volume), o que ocorrer primeiro, (“Licenças Qualificadas”) poderão atualizar para e usar o software Windows Server 2012 Standard em vez do Windows Server 2008 R2 Standard. </w:t>
      </w:r>
      <w:r w:rsidRPr="00EB4D74">
        <w:rPr>
          <w:rFonts w:cs="Tahoma"/>
          <w:lang w:val="pt-BR"/>
        </w:rPr>
        <w:t>Para facilitar essa atualização, para cada Licença de Qualificação que o cliente possui, ele terá, mediante a disponibilização do Windows Server 2012:</w:t>
      </w:r>
    </w:p>
    <w:p w:rsidR="008B1196" w:rsidRPr="00EB4D74" w:rsidRDefault="008B1196" w:rsidP="008B1196">
      <w:pPr>
        <w:numPr>
          <w:ilvl w:val="0"/>
          <w:numId w:val="93"/>
        </w:numPr>
        <w:tabs>
          <w:tab w:val="left" w:pos="1260"/>
          <w:tab w:val="left" w:pos="1440"/>
        </w:tabs>
        <w:ind w:left="1440"/>
        <w:rPr>
          <w:rFonts w:cs="Tahoma"/>
        </w:rPr>
      </w:pPr>
      <w:r w:rsidRPr="00EB4D74">
        <w:rPr>
          <w:rFonts w:cs="Tahoma"/>
          <w:lang w:val="pt-BR"/>
        </w:rPr>
        <w:t>Uma licença do Windows Server 2012 Standard OU</w:t>
      </w:r>
    </w:p>
    <w:p w:rsidR="008B1196" w:rsidRPr="00EB4D74" w:rsidRDefault="008B1196" w:rsidP="008B1196">
      <w:pPr>
        <w:numPr>
          <w:ilvl w:val="0"/>
          <w:numId w:val="93"/>
        </w:numPr>
        <w:tabs>
          <w:tab w:val="left" w:pos="1260"/>
          <w:tab w:val="left" w:pos="1440"/>
        </w:tabs>
        <w:ind w:left="1440"/>
        <w:rPr>
          <w:rFonts w:cs="Tahoma"/>
          <w:lang w:val="it-IT"/>
        </w:rPr>
      </w:pPr>
      <w:r w:rsidRPr="00EB4D74">
        <w:rPr>
          <w:rFonts w:eastAsia="Times New Roman" w:cs="Tahoma"/>
          <w:szCs w:val="18"/>
          <w:lang w:val="pt-BR"/>
        </w:rPr>
        <w:t xml:space="preserve">Duas licenças do Windows Server 2012 Standard se o número real de processadores físicos no servidor no qual a Licença de Qualificação está atribuída exceder duas. </w:t>
      </w:r>
      <w:r w:rsidRPr="00EB4D74">
        <w:rPr>
          <w:rFonts w:cs="Tahoma"/>
          <w:lang w:val="pt-BR"/>
        </w:rPr>
        <w:t xml:space="preserve">(Em tais casos, os clientes devem criar um registro de configuração do hardware físico oferecendo suporte ao software antes da expiração da cobertura de Software Assurance sob o contrato atual, quer usando a ferramenta </w:t>
      </w:r>
      <w:r w:rsidRPr="00EB4D74">
        <w:rPr>
          <w:rFonts w:cs="Tahoma"/>
          <w:lang w:val="pt-BR"/>
        </w:rPr>
        <w:lastRenderedPageBreak/>
        <w:t>Microsoft MAP ou qualquer software equivalente. Essa concessão está disponível somente para uma Licença de Qualificação por servidor.)</w:t>
      </w:r>
    </w:p>
    <w:p w:rsidR="008B1196" w:rsidRPr="00EB4D74" w:rsidRDefault="008B1196" w:rsidP="008B1196">
      <w:pPr>
        <w:numPr>
          <w:ilvl w:val="0"/>
          <w:numId w:val="93"/>
        </w:numPr>
        <w:tabs>
          <w:tab w:val="left" w:pos="1260"/>
          <w:tab w:val="left" w:pos="1440"/>
        </w:tabs>
        <w:ind w:left="1440"/>
        <w:rPr>
          <w:rFonts w:cs="Tahoma"/>
          <w:lang w:val="it-IT"/>
        </w:rPr>
      </w:pPr>
      <w:r w:rsidRPr="00EB4D74">
        <w:rPr>
          <w:rFonts w:eastAsia="Times New Roman" w:cs="Tahoma"/>
          <w:szCs w:val="18"/>
          <w:lang w:val="pt-BR"/>
        </w:rPr>
        <w:t xml:space="preserve">As licenças adquiridas sob esta concessão incluirão cobertura do Software Assurance. </w:t>
      </w:r>
      <w:r w:rsidRPr="00EB4D74">
        <w:rPr>
          <w:rFonts w:cs="Tahoma"/>
          <w:lang w:val="pt-BR"/>
        </w:rPr>
        <w:t>Tal cobertura expira quando a cobertura correspondente nas Licenças de Qualificação expirar.</w:t>
      </w:r>
    </w:p>
    <w:p w:rsidR="008B1196" w:rsidRPr="00EB4D74" w:rsidRDefault="008B1196" w:rsidP="008B1196">
      <w:pPr>
        <w:tabs>
          <w:tab w:val="left" w:pos="1260"/>
          <w:tab w:val="left" w:pos="1440"/>
        </w:tabs>
        <w:rPr>
          <w:rFonts w:cs="Tahoma"/>
          <w:lang w:val="it-IT"/>
        </w:rPr>
      </w:pPr>
    </w:p>
    <w:p w:rsidR="008B1196" w:rsidRPr="00EB4D74" w:rsidRDefault="008B1196" w:rsidP="008B1196">
      <w:pPr>
        <w:numPr>
          <w:ilvl w:val="0"/>
          <w:numId w:val="93"/>
        </w:numPr>
        <w:tabs>
          <w:tab w:val="left" w:pos="1260"/>
          <w:tab w:val="left" w:pos="1440"/>
        </w:tabs>
        <w:ind w:left="1440"/>
        <w:rPr>
          <w:rFonts w:cs="Tahoma"/>
          <w:lang w:val="it-IT"/>
        </w:rPr>
      </w:pPr>
      <w:r w:rsidRPr="00EB4D74">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3"/>
        </w:numPr>
        <w:tabs>
          <w:tab w:val="left" w:pos="1260"/>
          <w:tab w:val="left" w:pos="1440"/>
        </w:tabs>
        <w:ind w:left="1440"/>
        <w:rPr>
          <w:rFonts w:cs="Tahoma"/>
        </w:rPr>
      </w:pPr>
      <w:r w:rsidRPr="00EB4D74">
        <w:rPr>
          <w:rFonts w:cs="Tahoma"/>
          <w:lang w:val="pt-BR"/>
        </w:rPr>
        <w:t>Na atualização para o Windows Server 2012 Standard sob essa concessão, as licenças do Windows Server 2008 R2 Standard existentes do cliente não serão mais válidas.</w:t>
      </w:r>
    </w:p>
    <w:p w:rsidR="008B1196" w:rsidRPr="00EB4D74" w:rsidRDefault="008B1196" w:rsidP="008B1196">
      <w:pPr>
        <w:numPr>
          <w:ilvl w:val="0"/>
          <w:numId w:val="97"/>
        </w:numPr>
        <w:tabs>
          <w:tab w:val="left" w:pos="1440"/>
        </w:tabs>
        <w:ind w:left="1440"/>
        <w:rPr>
          <w:rFonts w:cs="Tahoma"/>
        </w:rPr>
      </w:pPr>
      <w:r w:rsidRPr="00EB4D74">
        <w:rPr>
          <w:rFonts w:cs="Tahoma"/>
          <w:color w:val="000000"/>
          <w:lang w:val="pt-BR"/>
        </w:rPr>
        <w:t>As licenças do Windows Server 2008 R2 Standard adquiridas posteriormente no mesmo prazo de registro, como parte de um processo de adequação (“true-up”) programado do cliente Enterprise, Enterprise Subscription, Open Value Subscription ou EES também são Licenças de Qualificação para os propósitos da outorga de licença supracitada.</w:t>
      </w:r>
    </w:p>
    <w:p w:rsidR="008B1196" w:rsidRPr="00EB4D74" w:rsidRDefault="008B1196" w:rsidP="008B1196">
      <w:pPr>
        <w:numPr>
          <w:ilvl w:val="0"/>
          <w:numId w:val="97"/>
        </w:numPr>
        <w:tabs>
          <w:tab w:val="left" w:pos="1440"/>
        </w:tabs>
        <w:ind w:left="1440"/>
        <w:rPr>
          <w:rFonts w:cs="Tahoma"/>
        </w:rPr>
      </w:pPr>
      <w:r w:rsidRPr="00EB4D74">
        <w:rPr>
          <w:rFonts w:cs="Tahoma"/>
          <w:color w:val="000000"/>
          <w:lang w:val="pt-BR"/>
        </w:rPr>
        <w:t>Não obstante a concessão das licenças do Windows Server 2012 Standard e qualquer atualização para esta versão, as obrigações de pagar montantes devidos e pendentes pelas Licenças de Qualificação e cobertura permanecem em pleno vigor e efeito.</w:t>
      </w:r>
    </w:p>
    <w:p w:rsidR="008B1196" w:rsidRPr="00EB4D74" w:rsidRDefault="008B1196" w:rsidP="008B1196">
      <w:pPr>
        <w:tabs>
          <w:tab w:val="left" w:pos="1440"/>
        </w:tabs>
        <w:ind w:left="1440"/>
        <w:rPr>
          <w:rFonts w:cs="Tahoma"/>
        </w:rPr>
      </w:pPr>
    </w:p>
    <w:p w:rsidR="008B1196" w:rsidRPr="00EB4D74" w:rsidRDefault="008B1196" w:rsidP="008B1196">
      <w:pPr>
        <w:pStyle w:val="PURBody-Indented"/>
        <w:spacing w:after="60"/>
        <w:ind w:left="720"/>
        <w:rPr>
          <w:rFonts w:ascii="Tahoma" w:hAnsi="Tahoma" w:cs="Tahoma"/>
        </w:rPr>
      </w:pPr>
      <w:r w:rsidRPr="00EB4D74">
        <w:rPr>
          <w:rFonts w:ascii="Tahoma" w:hAnsi="Tahoma" w:cs="Tahoma"/>
          <w:b/>
          <w:color w:val="000000"/>
          <w:sz w:val="18"/>
          <w:lang w:val="pt-BR"/>
        </w:rPr>
        <w:t>Windows Server 2012 Standard</w:t>
      </w:r>
    </w:p>
    <w:p w:rsidR="008B1196" w:rsidRPr="00EB4D74" w:rsidRDefault="008B1196" w:rsidP="008B1196">
      <w:pPr>
        <w:pStyle w:val="PURBody-Indented"/>
        <w:spacing w:after="0"/>
        <w:ind w:left="720"/>
        <w:rPr>
          <w:rFonts w:ascii="Tahoma" w:hAnsi="Tahoma" w:cs="Tahoma"/>
        </w:rPr>
      </w:pPr>
      <w:r w:rsidRPr="00EB4D74">
        <w:rPr>
          <w:rFonts w:ascii="Tahoma" w:hAnsi="Tahoma" w:cs="Tahoma"/>
          <w:sz w:val="18"/>
          <w:lang w:val="pt-BR"/>
        </w:rPr>
        <w:t>Você poderá executar uma instância do Windows Server Enterprise, Standard ou Essentials (a mesma ou qualquer versão anterior) em vez do Windows Server 2012 Standard em qualquer OSE em seu servidor licenciado.</w:t>
      </w:r>
    </w:p>
    <w:p w:rsidR="008B1196" w:rsidRPr="00EB4D74" w:rsidRDefault="008B1196" w:rsidP="008B1196">
      <w:pPr>
        <w:pStyle w:val="ListParagraph"/>
        <w:ind w:left="0"/>
        <w:contextualSpacing w:val="0"/>
        <w:rPr>
          <w:rFonts w:ascii="Tahoma" w:hAnsi="Tahoma" w:cs="Tahoma"/>
          <w:sz w:val="18"/>
          <w:szCs w:val="18"/>
        </w:rPr>
      </w:pPr>
    </w:p>
    <w:p w:rsidR="008B1196" w:rsidRPr="00EB4D74" w:rsidRDefault="008B1196" w:rsidP="008B1196">
      <w:pPr>
        <w:pStyle w:val="ListParagraph"/>
        <w:ind w:left="0"/>
        <w:contextualSpacing w:val="0"/>
        <w:rPr>
          <w:rFonts w:ascii="Tahoma" w:hAnsi="Tahoma" w:cs="Tahoma"/>
          <w:sz w:val="18"/>
          <w:szCs w:val="18"/>
        </w:rPr>
      </w:pPr>
    </w:p>
    <w:p w:rsidR="008B1196" w:rsidRPr="00EB4D74" w:rsidRDefault="008B1196" w:rsidP="008B1196">
      <w:pPr>
        <w:pStyle w:val="Heading3"/>
        <w:rPr>
          <w:rFonts w:ascii="Tahoma" w:hAnsi="Tahoma" w:cs="Tahoma"/>
        </w:rPr>
      </w:pPr>
      <w:bookmarkStart w:id="1573" w:name="_119_Windows_Web"/>
      <w:bookmarkStart w:id="1574" w:name="_Toc336338375"/>
      <w:bookmarkStart w:id="1575" w:name="Srv_111WinSmallBizSVR2011Addon"/>
      <w:bookmarkStart w:id="1576" w:name="Srv_116WinSmallBizSVR2011Addon"/>
      <w:bookmarkStart w:id="1577" w:name="Srv_120WinSmallBizSVR2011Addon"/>
      <w:bookmarkStart w:id="1578" w:name="_Toc342915003"/>
      <w:bookmarkEnd w:id="1573"/>
      <w:bookmarkEnd w:id="1574"/>
      <w:bookmarkEnd w:id="1575"/>
      <w:bookmarkEnd w:id="1576"/>
      <w:bookmarkEnd w:id="1577"/>
      <w:r w:rsidRPr="00EB4D74">
        <w:rPr>
          <w:rFonts w:ascii="Tahoma" w:hAnsi="Tahoma" w:cs="Tahoma"/>
          <w:caps/>
          <w:color w:val="EE6000"/>
          <w:sz w:val="22"/>
          <w:szCs w:val="18"/>
          <w:vertAlign w:val="superscript"/>
        </w:rPr>
        <w:t>109</w:t>
      </w:r>
      <w:r w:rsidRPr="00EB4D74">
        <w:rPr>
          <w:rFonts w:ascii="Tahoma" w:hAnsi="Tahoma" w:cs="Tahoma"/>
          <w:color w:val="EE6000"/>
          <w:sz w:val="22"/>
          <w:szCs w:val="18"/>
        </w:rPr>
        <w:t xml:space="preserve"> Windows Web Server</w:t>
      </w:r>
      <w:r w:rsidRPr="00EB4D74">
        <w:rPr>
          <w:rFonts w:ascii="Tahoma" w:hAnsi="Tahoma" w:cs="Tahoma"/>
          <w:color w:val="EE6000"/>
          <w:sz w:val="22"/>
          <w:szCs w:val="18"/>
          <w:vertAlign w:val="superscript"/>
        </w:rPr>
        <w:t>®</w:t>
      </w:r>
      <w:r w:rsidRPr="00EB4D74">
        <w:rPr>
          <w:rFonts w:ascii="Tahoma" w:hAnsi="Tahoma" w:cs="Tahoma"/>
          <w:color w:val="EE6000"/>
          <w:sz w:val="22"/>
          <w:szCs w:val="18"/>
        </w:rPr>
        <w:t xml:space="preserve"> 2008 R2</w:t>
      </w:r>
      <w:bookmarkEnd w:id="1578"/>
    </w:p>
    <w:p w:rsidR="008B1196" w:rsidRPr="00EB4D74" w:rsidRDefault="008B1196" w:rsidP="008B1196">
      <w:pPr>
        <w:rPr>
          <w:rFonts w:cs="Tahoma"/>
        </w:rPr>
      </w:pPr>
    </w:p>
    <w:p w:rsidR="008B1196" w:rsidRPr="00EB4D74" w:rsidRDefault="008B1196" w:rsidP="008B1196">
      <w:pPr>
        <w:tabs>
          <w:tab w:val="left" w:pos="720"/>
        </w:tabs>
        <w:spacing w:after="60"/>
        <w:ind w:left="720"/>
        <w:rPr>
          <w:rFonts w:cs="Tahoma"/>
        </w:rPr>
      </w:pPr>
      <w:r w:rsidRPr="00EB4D74">
        <w:rPr>
          <w:rFonts w:cs="Tahoma"/>
          <w:b/>
          <w:color w:val="000000"/>
          <w:lang w:val="pt-BR"/>
        </w:rPr>
        <w:t>Outorgas de licença associadas ao término da validade do Windows Web Server</w:t>
      </w:r>
    </w:p>
    <w:p w:rsidR="008B1196" w:rsidRPr="00EB4D74" w:rsidRDefault="008B1196" w:rsidP="008B1196">
      <w:pPr>
        <w:ind w:left="720"/>
        <w:rPr>
          <w:rFonts w:cs="Tahoma"/>
          <w:spacing w:val="-2"/>
          <w:lang w:val="pt-BR"/>
        </w:rPr>
      </w:pPr>
      <w:r w:rsidRPr="00EB4D74">
        <w:rPr>
          <w:rFonts w:cs="Tahoma"/>
          <w:color w:val="000000"/>
          <w:spacing w:val="-2"/>
          <w:lang w:val="pt-BR"/>
        </w:rPr>
        <w:t xml:space="preserve">O Windows Server 2008 R2 será a última versão da edição do Windows Web Server. </w:t>
      </w:r>
      <w:r w:rsidRPr="00EB4D74">
        <w:rPr>
          <w:rFonts w:cs="Tahoma"/>
          <w:spacing w:val="-2"/>
          <w:lang w:val="pt-BR"/>
        </w:rPr>
        <w:t xml:space="preserve">Os clientes de licenciamento por volume com Software Assurance ativo para licenças do Windows Web Server 2008 R2 em 1º de setembro de 2012 ou a partir da data da primeira disponibilização do Windows Server 2012 para download no </w:t>
      </w:r>
      <w:r w:rsidRPr="00EB4D74">
        <w:rPr>
          <w:rFonts w:cs="Tahoma"/>
          <w:spacing w:val="-2"/>
          <w:sz w:val="20"/>
          <w:lang w:val="pt-BR"/>
        </w:rPr>
        <w:t xml:space="preserve">Volume Licensing Service </w:t>
      </w:r>
      <w:r w:rsidRPr="00EB4D74">
        <w:rPr>
          <w:rFonts w:cs="Tahoma"/>
          <w:spacing w:val="-2"/>
          <w:szCs w:val="18"/>
          <w:lang w:val="pt-BR"/>
        </w:rPr>
        <w:t xml:space="preserve">Center (Centro de Atendimento de Licenciamento por Volume), o que ocorrer primeiro, (“Licenças Qualificadas”) poderão usar o software Windows Server 2012 Standard. </w:t>
      </w:r>
      <w:r w:rsidRPr="00EB4D74">
        <w:rPr>
          <w:rFonts w:cs="Tahoma"/>
          <w:spacing w:val="-2"/>
          <w:lang w:val="pt-BR"/>
        </w:rPr>
        <w:t>Para facilitar tal uso, para cada duas Licenças de Qualificação que o cliente possui, ele terá uma licença do processador Windows Server 2012 Standard mediante a disponibilização do Windows Server 2012.</w:t>
      </w:r>
    </w:p>
    <w:p w:rsidR="008B1196" w:rsidRPr="00EB4D74" w:rsidRDefault="008B1196" w:rsidP="008B1196">
      <w:pPr>
        <w:tabs>
          <w:tab w:val="left" w:pos="720"/>
        </w:tabs>
        <w:ind w:left="720"/>
        <w:rPr>
          <w:rFonts w:cs="Tahoma"/>
          <w:lang w:val="pt-BR"/>
        </w:rPr>
      </w:pPr>
    </w:p>
    <w:p w:rsidR="008B1196" w:rsidRPr="00EB4D74" w:rsidRDefault="008B1196" w:rsidP="008B1196">
      <w:pPr>
        <w:numPr>
          <w:ilvl w:val="0"/>
          <w:numId w:val="97"/>
        </w:numPr>
        <w:tabs>
          <w:tab w:val="clear" w:pos="360"/>
          <w:tab w:val="num" w:pos="1440"/>
        </w:tabs>
        <w:spacing w:after="60"/>
        <w:ind w:left="1440"/>
        <w:rPr>
          <w:rFonts w:cs="Tahoma"/>
          <w:spacing w:val="-2"/>
          <w:szCs w:val="18"/>
        </w:rPr>
      </w:pPr>
      <w:r w:rsidRPr="00EB4D74">
        <w:rPr>
          <w:rFonts w:cs="Tahoma"/>
          <w:color w:val="000000"/>
          <w:spacing w:val="-2"/>
          <w:szCs w:val="18"/>
          <w:lang w:val="pt-BR"/>
        </w:rPr>
        <w:t>Se um cliente tiver um número ímpar de licenças do Web Server, o cliente precisará arredondar para cima para o próximo número par para determinar sua concessão. Por exemplo, um cliente que tenha três licenças do Web Server receberá no total duas licenças do Windows Server 2012 Standard.</w:t>
      </w:r>
    </w:p>
    <w:p w:rsidR="008B1196" w:rsidRPr="00EB4D74" w:rsidRDefault="008B1196" w:rsidP="008B1196">
      <w:pPr>
        <w:numPr>
          <w:ilvl w:val="0"/>
          <w:numId w:val="97"/>
        </w:numPr>
        <w:tabs>
          <w:tab w:val="clear" w:pos="360"/>
          <w:tab w:val="num" w:pos="1440"/>
        </w:tabs>
        <w:spacing w:after="60"/>
        <w:ind w:left="1440"/>
        <w:rPr>
          <w:rFonts w:cs="Tahoma"/>
          <w:szCs w:val="18"/>
        </w:rPr>
      </w:pPr>
      <w:r w:rsidRPr="00EB4D74">
        <w:rPr>
          <w:rFonts w:cs="Tahoma"/>
          <w:szCs w:val="18"/>
          <w:lang w:val="pt-BR"/>
        </w:rPr>
        <w:t>Na atualização para o Windows Server 2012 Standard sob essa concessão, as licenças existentes do Windows Web Server 2008 R2 do cliente permanecerão válidas.</w:t>
      </w:r>
    </w:p>
    <w:p w:rsidR="008B1196" w:rsidRPr="00EB4D74" w:rsidRDefault="008B1196" w:rsidP="008B1196">
      <w:pPr>
        <w:pStyle w:val="ListParagraph"/>
        <w:numPr>
          <w:ilvl w:val="0"/>
          <w:numId w:val="97"/>
        </w:numPr>
        <w:tabs>
          <w:tab w:val="clear" w:pos="360"/>
          <w:tab w:val="num" w:pos="1440"/>
        </w:tabs>
        <w:spacing w:after="60"/>
        <w:ind w:left="1440"/>
        <w:contextualSpacing w:val="0"/>
        <w:rPr>
          <w:rFonts w:ascii="Tahoma" w:hAnsi="Tahoma" w:cs="Tahoma"/>
          <w:sz w:val="18"/>
          <w:szCs w:val="18"/>
          <w:lang w:val="it-IT"/>
        </w:rPr>
      </w:pPr>
      <w:r w:rsidRPr="00EB4D74">
        <w:rPr>
          <w:rFonts w:ascii="Tahoma" w:hAnsi="Tahoma" w:cs="Tahoma"/>
          <w:sz w:val="18"/>
          <w:szCs w:val="18"/>
        </w:rPr>
        <w:t xml:space="preserve">As licenças adquiridas sob esta concessão incluirão cobertura do Software Assurance. </w:t>
      </w:r>
      <w:r w:rsidRPr="00EB4D74">
        <w:rPr>
          <w:rFonts w:ascii="Tahoma" w:hAnsi="Tahoma" w:cs="Tahoma"/>
          <w:sz w:val="18"/>
          <w:szCs w:val="18"/>
          <w:lang w:val="it-IT"/>
        </w:rPr>
        <w:t>Tal cobertura expira quando a cobertura correspondente nas Licenças de Qualificação expirar.</w:t>
      </w:r>
    </w:p>
    <w:p w:rsidR="008B1196" w:rsidRPr="00EB4D74" w:rsidRDefault="008B1196" w:rsidP="008B1196">
      <w:pPr>
        <w:pStyle w:val="ListParagraph"/>
        <w:numPr>
          <w:ilvl w:val="0"/>
          <w:numId w:val="97"/>
        </w:numPr>
        <w:tabs>
          <w:tab w:val="clear" w:pos="360"/>
          <w:tab w:val="num" w:pos="1440"/>
        </w:tabs>
        <w:spacing w:after="60"/>
        <w:ind w:left="1440"/>
        <w:contextualSpacing w:val="0"/>
        <w:rPr>
          <w:rFonts w:ascii="Tahoma" w:hAnsi="Tahoma" w:cs="Tahoma"/>
          <w:color w:val="000000"/>
          <w:spacing w:val="-2"/>
          <w:sz w:val="18"/>
          <w:szCs w:val="18"/>
          <w:lang w:val="it-IT"/>
        </w:rPr>
      </w:pPr>
      <w:r w:rsidRPr="00EB4D74">
        <w:rPr>
          <w:rFonts w:ascii="Tahoma" w:hAnsi="Tahoma" w:cs="Tahoma"/>
          <w:color w:val="000000"/>
          <w:spacing w:val="-2"/>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numPr>
          <w:ilvl w:val="0"/>
          <w:numId w:val="97"/>
        </w:numPr>
        <w:tabs>
          <w:tab w:val="clear" w:pos="360"/>
          <w:tab w:val="num" w:pos="1440"/>
        </w:tabs>
        <w:spacing w:after="60"/>
        <w:ind w:left="1440"/>
        <w:rPr>
          <w:rFonts w:cs="Tahoma"/>
          <w:szCs w:val="18"/>
          <w:lang w:val="it-IT"/>
        </w:rPr>
      </w:pPr>
      <w:r w:rsidRPr="00EB4D74">
        <w:rPr>
          <w:rFonts w:cs="Tahoma"/>
          <w:color w:val="000000"/>
          <w:szCs w:val="18"/>
          <w:lang w:val="pt-BR"/>
        </w:rPr>
        <w:t>As licenças do Windows Web Server 2008 R2 adquiridas posteriormente no mesmo prazo de registro, como parte de um processo de adequação (“true-up”) programado do cliente Enterprise, Enterprise Subscription, Open Value Subscription ou EES também são Licenças de Qualificação para os propósitos da concessão supracitada.</w:t>
      </w:r>
    </w:p>
    <w:p w:rsidR="008B1196" w:rsidRPr="00EB4D74" w:rsidRDefault="008B1196" w:rsidP="008B1196">
      <w:pPr>
        <w:numPr>
          <w:ilvl w:val="0"/>
          <w:numId w:val="97"/>
        </w:numPr>
        <w:tabs>
          <w:tab w:val="clear" w:pos="360"/>
          <w:tab w:val="num" w:pos="1440"/>
        </w:tabs>
        <w:spacing w:after="60"/>
        <w:ind w:left="1440"/>
        <w:rPr>
          <w:rFonts w:cs="Tahoma"/>
          <w:szCs w:val="18"/>
          <w:lang w:val="it-IT"/>
        </w:rPr>
      </w:pPr>
      <w:r w:rsidRPr="00EB4D74">
        <w:rPr>
          <w:rFonts w:cs="Tahoma"/>
          <w:color w:val="000000"/>
          <w:szCs w:val="18"/>
          <w:lang w:val="pt-BR"/>
        </w:rPr>
        <w:t>Não obstante a concessão das licenças do Windows Server 2012 Standard e qualquer atualização para esta versão, as obrigações de pagar montantes devidos e pendentes pelas Licenças de Qualificação e cobertura permanecem em pleno vigor e efeito.</w:t>
      </w:r>
    </w:p>
    <w:p w:rsidR="008B1196" w:rsidRPr="00EB4D74" w:rsidRDefault="008B1196" w:rsidP="008B1196">
      <w:pPr>
        <w:ind w:left="1440"/>
        <w:rPr>
          <w:rFonts w:cs="Tahoma"/>
          <w:lang w:val="it-IT"/>
        </w:rPr>
      </w:pPr>
    </w:p>
    <w:p w:rsidR="008B1196" w:rsidRPr="00EB4D74" w:rsidRDefault="008B1196" w:rsidP="008B1196">
      <w:pPr>
        <w:spacing w:after="60"/>
        <w:ind w:left="720"/>
        <w:rPr>
          <w:rFonts w:cs="Tahoma"/>
        </w:rPr>
      </w:pPr>
      <w:r w:rsidRPr="00EB4D74">
        <w:rPr>
          <w:rFonts w:cs="Tahoma"/>
          <w:b/>
          <w:lang w:val="pt-BR"/>
        </w:rPr>
        <w:t>Informações adicionais sobre o uso do Windows Server 2012 como um Servidor Web</w:t>
      </w:r>
    </w:p>
    <w:p w:rsidR="008B1196" w:rsidRPr="00EB4D74" w:rsidRDefault="008B1196" w:rsidP="008B1196">
      <w:pPr>
        <w:ind w:left="720"/>
        <w:rPr>
          <w:rFonts w:cs="Tahoma"/>
          <w:lang w:val="it-IT"/>
        </w:rPr>
      </w:pPr>
      <w:r w:rsidRPr="00EB4D74">
        <w:rPr>
          <w:rFonts w:eastAsia="Times New Roman" w:cs="Tahoma"/>
          <w:szCs w:val="18"/>
          <w:lang w:val="pt-BR"/>
        </w:rPr>
        <w:lastRenderedPageBreak/>
        <w:t xml:space="preserve">Quando o Windows Server 2012 Standard ou Datacenter é usado como um Servidor Web, você não precisa de CALs para acessar o software. </w:t>
      </w:r>
      <w:r w:rsidRPr="00EB4D74">
        <w:rPr>
          <w:rFonts w:cs="Tahoma"/>
          <w:lang w:val="pt-BR"/>
        </w:rPr>
        <w:t>Uma “Carga de Trabalho da Web” significa uma carga de trabalho na qual o software é usado como um servidor Web front-end para desenvolvimento e implantação de páginas da Web acessíveis pela Internet, sites, aplicativos da Web, serviços da Web e serviços de e-mail POP3, e o acesso a conteúdo, informações e aplicativos atendidos pelo software não é limitado para seus funcionários. Consulte os Direitos de Uso de Produto para obter detalhes adicionais.</w:t>
      </w:r>
    </w:p>
    <w:p w:rsidR="008B1196" w:rsidRPr="00EB4D74" w:rsidRDefault="008B1196" w:rsidP="008B1196">
      <w:pPr>
        <w:pStyle w:val="Heading2"/>
        <w:ind w:hanging="720"/>
        <w:rPr>
          <w:rFonts w:ascii="Tahoma" w:hAnsi="Tahoma" w:cs="Tahoma"/>
        </w:rPr>
      </w:pPr>
      <w:bookmarkStart w:id="1579" w:name="_Toc336338376"/>
      <w:bookmarkStart w:id="1580" w:name="_Toc342915004"/>
      <w:bookmarkEnd w:id="1579"/>
      <w:r w:rsidRPr="00EB4D74">
        <w:rPr>
          <w:rFonts w:ascii="Tahoma" w:hAnsi="Tahoma" w:cs="Tahoma"/>
          <w:caps/>
          <w:color w:val="F8701C"/>
          <w:sz w:val="22"/>
          <w:vertAlign w:val="superscript"/>
          <w:lang w:val="pt-BR"/>
        </w:rPr>
        <w:t>110</w:t>
      </w:r>
      <w:r w:rsidRPr="00EB4D74">
        <w:rPr>
          <w:rFonts w:ascii="Tahoma" w:hAnsi="Tahoma" w:cs="Tahoma"/>
          <w:color w:val="F8701C"/>
          <w:sz w:val="22"/>
          <w:lang w:val="pt-BR"/>
        </w:rPr>
        <w:t xml:space="preserve"> Windows Small Business Server (SBS) 2008 Premium</w:t>
      </w:r>
      <w:bookmarkEnd w:id="1580"/>
    </w:p>
    <w:p w:rsidR="008B1196" w:rsidRPr="00EB4D74" w:rsidRDefault="008B1196" w:rsidP="008B1196">
      <w:pPr>
        <w:ind w:left="900"/>
        <w:rPr>
          <w:rFonts w:cs="Tahoma"/>
        </w:rPr>
      </w:pPr>
    </w:p>
    <w:p w:rsidR="008B1196" w:rsidRPr="00EB4D74" w:rsidRDefault="008B1196" w:rsidP="008B1196">
      <w:pPr>
        <w:ind w:left="720"/>
        <w:rPr>
          <w:rFonts w:cs="Tahoma"/>
          <w:spacing w:val="-2"/>
          <w:lang w:val="it-IT"/>
        </w:rPr>
      </w:pPr>
      <w:r w:rsidRPr="00EB4D74">
        <w:rPr>
          <w:rFonts w:cs="Tahoma"/>
          <w:spacing w:val="-2"/>
          <w:lang w:val="pt-BR"/>
        </w:rPr>
        <w:t>Os clientes com cobertura de Software Assurance ativa para licenças do SBS 2008 Premium, a partir de 1º de janeiro de 2011, estarão qualificados para atualizar e usar os softwares SBS 2011 Standard e SBS 2011 Premium Add-on (ou qualquer versão posterior desses softwares disponibilizada durante o prazo atual da cobertura de Software Assurance) em vez do software SBS 2008 Premium. A partir de 1º de janeiro de 2011 para cada licença de qualificação do SBS 2008 Premium que possuir, o cliente será considerado possuidor de uma licença para cada SBS 2011 Standard e SBS 2011 Premium Add-on com cobertura de Software Assurance ativa.</w:t>
      </w:r>
    </w:p>
    <w:p w:rsidR="008B1196" w:rsidRPr="00EB4D74" w:rsidRDefault="008B1196" w:rsidP="008B1196">
      <w:pPr>
        <w:ind w:left="720"/>
        <w:rPr>
          <w:rFonts w:cs="Tahoma"/>
          <w:lang w:val="it-IT"/>
        </w:rPr>
      </w:pPr>
    </w:p>
    <w:p w:rsidR="008B1196" w:rsidRPr="00EB4D74" w:rsidRDefault="008B1196" w:rsidP="008B1196">
      <w:pPr>
        <w:ind w:left="720"/>
        <w:rPr>
          <w:rFonts w:cs="Tahoma"/>
          <w:spacing w:val="-2"/>
          <w:lang w:val="it-IT"/>
        </w:rPr>
      </w:pPr>
      <w:r w:rsidRPr="00EB4D74">
        <w:rPr>
          <w:rFonts w:cs="Tahoma"/>
          <w:spacing w:val="-2"/>
          <w:lang w:val="pt-BR"/>
        </w:rPr>
        <w:t>Os clientes com cobertura de Software Assurance ativa para Pacote de CALs do SBS 2008 para Usuários e Dispositivos Premium, a partir de 1º de janeiro de 2011, estarão qualificados para acessar os softwares Complemento do SBS 2011 Standard e SBS 2011 Premium (e qualquer versão posterior desses softwares disponibilizada durante o prazo atual da cobertura de Software Assurance). A partir de 1º de janeiro de 2011, para cada Pacote de CALs do SBS 2008 qualificada para Usuários e Dispositivos Premium, o cliente será considerado possuidor de um Pacote de CALs do SBS 2011 e um Pacote de CALS Complementares do SBS 2011 Premium com cobertura de Software Assurance ativa.</w:t>
      </w:r>
    </w:p>
    <w:p w:rsidR="008B1196" w:rsidRPr="00EB4D74" w:rsidRDefault="008B1196" w:rsidP="008B1196">
      <w:pPr>
        <w:ind w:left="720"/>
        <w:rPr>
          <w:rFonts w:cs="Tahoma"/>
          <w:lang w:val="it-IT"/>
        </w:rPr>
      </w:pPr>
    </w:p>
    <w:p w:rsidR="008B1196" w:rsidRPr="00EB4D74" w:rsidRDefault="008B1196" w:rsidP="008B1196">
      <w:pPr>
        <w:ind w:left="720"/>
        <w:rPr>
          <w:rFonts w:cs="Tahoma"/>
          <w:lang w:val="it-IT"/>
        </w:rPr>
      </w:pPr>
      <w:r w:rsidRPr="00EB4D74">
        <w:rPr>
          <w:rFonts w:cs="Tahoma"/>
          <w:lang w:val="pt-BR"/>
        </w:rPr>
        <w:t>O direito de usar o software sob esta oferta expirará quando o direito de usar o software sob as licenças de qualificação expirar. O uso do software do cliente sob esta oferta está sujeito aos termos e às condições do contrato de licenciamento por volume do cliente, aos direitos de uso de produto para SBS 2011 Standard e SBS 2011 Premium Add-on e estes termos e condições. Esta nota de condição do produto junto com a evidência das licenças de qualificação comprovam os direitos concedidos sob esta oferta. Quando a cobertura sobre a licença de qualificação expirar na licença de qualificação, o cliente estará qualificado para renovar o Software Assurance para licenças do SBS Premium Add-on e CAL Suites.</w:t>
      </w:r>
    </w:p>
    <w:p w:rsidR="008B1196" w:rsidRPr="00EB4D74" w:rsidRDefault="008B1196" w:rsidP="008B1196">
      <w:pPr>
        <w:ind w:left="900"/>
        <w:rPr>
          <w:rFonts w:cs="Tahoma"/>
          <w:lang w:val="it-IT"/>
        </w:rPr>
      </w:pPr>
    </w:p>
    <w:p w:rsidR="008B1196" w:rsidRPr="00EB4D74" w:rsidRDefault="008B1196" w:rsidP="008B1196">
      <w:pPr>
        <w:ind w:left="900"/>
        <w:rPr>
          <w:rFonts w:cs="Tahoma"/>
          <w:lang w:val="it-IT"/>
        </w:rPr>
      </w:pPr>
    </w:p>
    <w:p w:rsidR="008B1196" w:rsidRPr="00EB4D74" w:rsidRDefault="008B1196" w:rsidP="008B1196">
      <w:pPr>
        <w:pStyle w:val="Heading3"/>
        <w:rPr>
          <w:rFonts w:ascii="Tahoma" w:hAnsi="Tahoma" w:cs="Tahoma"/>
        </w:rPr>
      </w:pPr>
      <w:bookmarkStart w:id="1581" w:name="_119_Windows_Small"/>
      <w:bookmarkStart w:id="1582" w:name="_Toc336338377"/>
      <w:bookmarkStart w:id="1583" w:name="_Toc342915005"/>
      <w:bookmarkStart w:id="1584" w:name="Srv_117WinSmallBizSVR2011Addon"/>
      <w:bookmarkStart w:id="1585" w:name="Srv_121WinSmallBizSVR2011Addon"/>
      <w:bookmarkEnd w:id="1581"/>
      <w:bookmarkEnd w:id="1582"/>
      <w:r w:rsidRPr="00EB4D74">
        <w:rPr>
          <w:rFonts w:ascii="Tahoma" w:hAnsi="Tahoma" w:cs="Tahoma"/>
          <w:caps/>
          <w:color w:val="FF6D09"/>
          <w:sz w:val="22"/>
          <w:vertAlign w:val="superscript"/>
          <w:lang w:val="pt-BR"/>
        </w:rPr>
        <w:t>111</w:t>
      </w:r>
      <w:r w:rsidRPr="00EB4D74">
        <w:rPr>
          <w:rFonts w:ascii="Tahoma" w:hAnsi="Tahoma" w:cs="Tahoma"/>
          <w:color w:val="FF6D09"/>
          <w:sz w:val="22"/>
          <w:lang w:val="pt-BR"/>
        </w:rPr>
        <w:t xml:space="preserve"> Windows Small Business Server (SBS) 2011 Standard</w:t>
      </w:r>
      <w:bookmarkEnd w:id="1583"/>
    </w:p>
    <w:bookmarkEnd w:id="1584"/>
    <w:bookmarkEnd w:id="1585"/>
    <w:p w:rsidR="008B1196" w:rsidRPr="00EB4D74" w:rsidRDefault="008B1196" w:rsidP="008B1196">
      <w:pPr>
        <w:ind w:left="900"/>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do SBS 2011 Standard</w:t>
      </w:r>
    </w:p>
    <w:p w:rsidR="008B1196" w:rsidRPr="00EB4D74" w:rsidRDefault="008B1196" w:rsidP="008B1196">
      <w:pPr>
        <w:ind w:left="720"/>
        <w:rPr>
          <w:rFonts w:cs="Tahoma"/>
          <w:lang w:val="it-IT"/>
        </w:rPr>
      </w:pPr>
      <w:r w:rsidRPr="00EB4D74">
        <w:rPr>
          <w:rFonts w:cs="Tahoma"/>
          <w:color w:val="000000"/>
          <w:lang w:val="pt-BR"/>
        </w:rPr>
        <w:t xml:space="preserve">O SBS 2011 Standard será a última versão do SBS Standard. </w:t>
      </w:r>
      <w:r w:rsidRPr="00EB4D74">
        <w:rPr>
          <w:rFonts w:cs="Tahoma"/>
          <w:lang w:val="pt-BR"/>
        </w:rPr>
        <w:t>Os clientes de licenciamento por volume com Software Assurance para licenças Padrão do SBS 2011 ativas (“Licenças Qualificadas”) terão permissão para atualizar e usar o software Windows Server Standard e Exchange Server Standard no lugar do SBS 2011. Para facilitar tal uso, para cada Licença de Qualificação que o cliente possui, o cliente receberá uma licença para cada licença do Windows Server Standard e Exchange Server 2010 Standard, conforme pode ser visto na tabela abaixo</w:t>
      </w:r>
      <w:r w:rsidRPr="00EB4D74">
        <w:rPr>
          <w:rFonts w:cs="Tahoma"/>
          <w:sz w:val="20"/>
          <w:lang w:val="pt-BR"/>
        </w:rPr>
        <w:t>.</w:t>
      </w:r>
    </w:p>
    <w:p w:rsidR="008B1196" w:rsidRPr="00EB4D74" w:rsidRDefault="008B1196" w:rsidP="008B1196">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B1196" w:rsidRPr="00EB4D74"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Outorga de Licença</w:t>
            </w:r>
          </w:p>
        </w:tc>
      </w:tr>
      <w:tr w:rsidR="008B1196" w:rsidRPr="00EB4D74" w:rsidTr="00EA30FC">
        <w:tc>
          <w:tcPr>
            <w:tcW w:w="396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line="276" w:lineRule="auto"/>
              <w:rPr>
                <w:rFonts w:eastAsia="Times New Roman" w:cs="Tahoma"/>
                <w:szCs w:val="18"/>
              </w:rPr>
            </w:pPr>
            <w:r w:rsidRPr="00EB4D74">
              <w:rPr>
                <w:rFonts w:eastAsia="Times New Roman" w:cs="Tahoma"/>
                <w:szCs w:val="18"/>
                <w:lang w:val="pt-BR"/>
              </w:rPr>
              <w:t>SBS 2011 Standard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line="276" w:lineRule="auto"/>
              <w:rPr>
                <w:rFonts w:cs="Tahoma"/>
              </w:rPr>
            </w:pPr>
            <w:r w:rsidRPr="00EB4D74">
              <w:rPr>
                <w:rFonts w:cs="Tahoma"/>
                <w:lang w:val="pt-BR"/>
              </w:rPr>
              <w:t>R2 do Windows Server 2008</w:t>
            </w:r>
          </w:p>
          <w:p w:rsidR="008B1196" w:rsidRPr="00EB4D74" w:rsidRDefault="008B1196" w:rsidP="00EA30FC">
            <w:pPr>
              <w:spacing w:line="276" w:lineRule="auto"/>
              <w:rPr>
                <w:rFonts w:eastAsia="Times New Roman" w:cs="Tahoma"/>
                <w:szCs w:val="18"/>
              </w:rPr>
            </w:pPr>
            <w:r w:rsidRPr="00EB4D74">
              <w:rPr>
                <w:rFonts w:eastAsia="Times New Roman" w:cs="Tahoma"/>
                <w:szCs w:val="18"/>
                <w:lang w:val="pt-BR"/>
              </w:rPr>
              <w:t>Exchange Server 2010 Standard</w:t>
            </w:r>
          </w:p>
        </w:tc>
      </w:tr>
      <w:tr w:rsidR="008B1196" w:rsidRPr="00EB4D74" w:rsidTr="00EA30FC">
        <w:tc>
          <w:tcPr>
            <w:tcW w:w="396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line="276" w:lineRule="auto"/>
              <w:rPr>
                <w:rFonts w:eastAsia="Times New Roman" w:cs="Tahoma"/>
                <w:szCs w:val="18"/>
              </w:rPr>
            </w:pPr>
            <w:r w:rsidRPr="00EB4D74">
              <w:rPr>
                <w:rFonts w:eastAsia="Times New Roman" w:cs="Tahoma"/>
                <w:szCs w:val="18"/>
                <w:lang w:val="pt-BR"/>
              </w:rPr>
              <w:t>SBS 2011 Standard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line="276" w:lineRule="auto"/>
              <w:rPr>
                <w:rFonts w:cs="Tahoma"/>
              </w:rPr>
            </w:pPr>
            <w:r w:rsidRPr="00EB4D74">
              <w:rPr>
                <w:rFonts w:cs="Tahoma"/>
                <w:lang w:val="pt-BR"/>
              </w:rPr>
              <w:t>Windows Server 2012 com Software Assurance</w:t>
            </w:r>
          </w:p>
          <w:p w:rsidR="008B1196" w:rsidRPr="00EB4D74" w:rsidRDefault="008B1196" w:rsidP="00EA30FC">
            <w:pPr>
              <w:spacing w:line="276" w:lineRule="auto"/>
              <w:rPr>
                <w:rFonts w:eastAsia="Times New Roman" w:cs="Tahoma"/>
                <w:szCs w:val="18"/>
              </w:rPr>
            </w:pPr>
            <w:r w:rsidRPr="00EB4D74">
              <w:rPr>
                <w:rFonts w:eastAsia="Times New Roman" w:cs="Tahoma"/>
                <w:szCs w:val="18"/>
                <w:lang w:val="pt-BR"/>
              </w:rPr>
              <w:t>Exchange Server 2010 Standard com Software Assurance</w:t>
            </w:r>
          </w:p>
        </w:tc>
      </w:tr>
    </w:tbl>
    <w:p w:rsidR="008B1196" w:rsidRPr="00EB4D74" w:rsidRDefault="008B1196" w:rsidP="008B1196">
      <w:pPr>
        <w:spacing w:after="100" w:afterAutospacing="1" w:line="276" w:lineRule="auto"/>
        <w:ind w:left="720"/>
        <w:contextualSpacing/>
        <w:rPr>
          <w:rFonts w:cs="Tahoma"/>
        </w:rPr>
      </w:pPr>
    </w:p>
    <w:p w:rsidR="008B1196" w:rsidRPr="00EB4D74" w:rsidRDefault="008B1196" w:rsidP="008B1196">
      <w:pPr>
        <w:ind w:left="720"/>
        <w:rPr>
          <w:rFonts w:cs="Tahoma"/>
        </w:rPr>
      </w:pPr>
      <w:r w:rsidRPr="00EB4D74">
        <w:rPr>
          <w:rFonts w:eastAsia="Times New Roman" w:cs="Tahoma"/>
          <w:szCs w:val="18"/>
          <w:lang w:val="pt-BR"/>
        </w:rPr>
        <w:t xml:space="preserve">A cobertura do Software Assurance incluída com a concessão supracitada expira quando a cobertura correspondente nas Licenças de Qualificação expirar. </w:t>
      </w:r>
      <w:r w:rsidRPr="00EB4D74">
        <w:rPr>
          <w:rFonts w:cs="Tahoma"/>
          <w:lang w:val="pt-BR"/>
        </w:rPr>
        <w:t xml:space="preserve">Como uma exceção, os clientes com Software Assurance em Licenças de Qualificação que expiram em agosto de 2012 poderão, até 31 de dezembro de 2012, renovar o Software Assurance nas licenças do Windows Server e Exchange Server concedidas sob esta oferta. Os clientes com Software Assurance em Licenças de Qualificação que expiram em julho de 2012 </w:t>
      </w:r>
      <w:r w:rsidRPr="00EB4D74">
        <w:rPr>
          <w:rFonts w:cs="Tahoma"/>
          <w:lang w:val="pt-BR"/>
        </w:rPr>
        <w:lastRenderedPageBreak/>
        <w:t>poderão, até 31 de dezembro de 2012, adquirir o Software Assurance nas licenças do Windows Server e Exchange Server concedidas sob esta oferta.</w:t>
      </w:r>
    </w:p>
    <w:p w:rsidR="008B1196" w:rsidRPr="00EB4D74" w:rsidRDefault="008B1196" w:rsidP="008B1196">
      <w:pPr>
        <w:pStyle w:val="ListParagraph"/>
        <w:contextualSpacing w:val="0"/>
        <w:rPr>
          <w:rFonts w:ascii="Tahoma" w:hAnsi="Tahoma" w:cs="Tahoma"/>
          <w:sz w:val="18"/>
          <w:szCs w:val="18"/>
        </w:rPr>
      </w:pPr>
    </w:p>
    <w:p w:rsidR="008B1196" w:rsidRPr="00EB4D74" w:rsidRDefault="008B1196" w:rsidP="008B1196">
      <w:pPr>
        <w:pStyle w:val="ListParagraph"/>
        <w:contextualSpacing w:val="0"/>
        <w:rPr>
          <w:rFonts w:ascii="Tahoma" w:hAnsi="Tahoma" w:cs="Tahoma"/>
          <w:sz w:val="18"/>
          <w:szCs w:val="18"/>
        </w:rPr>
      </w:pPr>
      <w:r w:rsidRPr="00EB4D74">
        <w:rPr>
          <w:rFonts w:ascii="Tahoma" w:hAnsi="Tahoma" w:cs="Tahoma"/>
          <w:sz w:val="18"/>
          <w:szCs w:val="18"/>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pStyle w:val="ListParagraph"/>
        <w:contextualSpacing w:val="0"/>
        <w:rPr>
          <w:rFonts w:ascii="Tahoma" w:hAnsi="Tahoma" w:cs="Tahoma"/>
          <w:sz w:val="18"/>
          <w:szCs w:val="18"/>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Para cada Licença de Qualificação adquirida sob Open Value Subscription, um cliente pode comprar uma licença do SBS 2011 Padrão, conforme cotado ou:</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numPr>
          <w:ilvl w:val="1"/>
          <w:numId w:val="117"/>
        </w:numPr>
        <w:tabs>
          <w:tab w:val="clear" w:pos="1440"/>
        </w:tabs>
        <w:contextualSpacing w:val="0"/>
        <w:rPr>
          <w:rFonts w:ascii="Tahoma" w:hAnsi="Tahoma" w:cs="Tahoma"/>
          <w:sz w:val="18"/>
          <w:szCs w:val="18"/>
          <w:lang w:val="it-IT"/>
        </w:rPr>
      </w:pPr>
      <w:r w:rsidRPr="00EB4D74">
        <w:rPr>
          <w:rFonts w:ascii="Tahoma" w:hAnsi="Tahoma" w:cs="Tahoma"/>
          <w:sz w:val="18"/>
          <w:szCs w:val="18"/>
          <w:lang w:val="it-IT"/>
        </w:rPr>
        <w:t>Uma licença para cada Windows Server 2012 Standard e Exchange Server 2010 Standard para contratos que expiram em ou depois de 1º de agosto de 2012 ou</w:t>
      </w:r>
    </w:p>
    <w:p w:rsidR="008B1196" w:rsidRPr="00EB4D74" w:rsidRDefault="008B1196" w:rsidP="008B1196">
      <w:pPr>
        <w:pStyle w:val="ListParagraph"/>
        <w:numPr>
          <w:ilvl w:val="1"/>
          <w:numId w:val="117"/>
        </w:numPr>
        <w:tabs>
          <w:tab w:val="clear" w:pos="1440"/>
        </w:tabs>
        <w:contextualSpacing w:val="0"/>
        <w:rPr>
          <w:rFonts w:ascii="Tahoma" w:hAnsi="Tahoma" w:cs="Tahoma"/>
          <w:sz w:val="18"/>
          <w:szCs w:val="18"/>
        </w:rPr>
      </w:pPr>
      <w:r w:rsidRPr="00EB4D74">
        <w:rPr>
          <w:rFonts w:ascii="Tahoma" w:hAnsi="Tahoma" w:cs="Tahoma"/>
          <w:sz w:val="18"/>
          <w:szCs w:val="18"/>
        </w:rPr>
        <w:t>Uma licença para cada Windows Server 2008 R2 Standard e Exchange Server 2010 Standard para contratos que expiram em julho de 2012.</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Na atualização para o Windows Server Standard e Exchange Server 2010 Standard sob essa concessão, as Licenças de Qualificação do SBS Standard existentes do cliente não serão mais válidas.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t>As licenças do SBS 2011 Standard adquiridas posteriormente no mesmo prazo de registro, como parte de um processo de adequação (“true-up”) programado do cliente Open Value Subscription ou EES também são Licenças de Qualificação para os propósitos da concessão supracitada.</w:t>
      </w:r>
    </w:p>
    <w:p w:rsidR="008B1196" w:rsidRPr="00EB4D74" w:rsidRDefault="008B1196" w:rsidP="008B1196">
      <w:pPr>
        <w:rPr>
          <w:rFonts w:cs="Tahoma"/>
        </w:rPr>
      </w:pPr>
      <w:bookmarkStart w:id="1586" w:name="_100_SBS_2008"/>
      <w:bookmarkStart w:id="1587" w:name="_101_SBS_2008"/>
      <w:bookmarkStart w:id="1588" w:name="_105_SBS_2008"/>
      <w:bookmarkStart w:id="1589" w:name="_125_Windows_Web"/>
      <w:bookmarkEnd w:id="1586"/>
      <w:bookmarkEnd w:id="1587"/>
      <w:bookmarkEnd w:id="1588"/>
      <w:bookmarkEnd w:id="1589"/>
    </w:p>
    <w:p w:rsidR="008B1196" w:rsidRPr="00EB4D74" w:rsidRDefault="008B1196" w:rsidP="008B1196">
      <w:pPr>
        <w:rPr>
          <w:rFonts w:cs="Tahoma"/>
        </w:rPr>
      </w:pPr>
    </w:p>
    <w:p w:rsidR="008B1196" w:rsidRPr="00EB4D74" w:rsidRDefault="008B1196" w:rsidP="008B1196">
      <w:pPr>
        <w:pStyle w:val="Heading2"/>
        <w:ind w:left="0"/>
        <w:rPr>
          <w:rFonts w:ascii="Tahoma" w:hAnsi="Tahoma" w:cs="Tahoma"/>
        </w:rPr>
      </w:pPr>
      <w:bookmarkStart w:id="1590" w:name="_122_Windows_Small"/>
      <w:bookmarkStart w:id="1591" w:name="_120_Windows_Small"/>
      <w:bookmarkStart w:id="1592" w:name="_110_Windows_Small"/>
      <w:bookmarkStart w:id="1593" w:name="_Toc336338378"/>
      <w:bookmarkStart w:id="1594" w:name="_Toc342915006"/>
      <w:bookmarkEnd w:id="1590"/>
      <w:bookmarkEnd w:id="1591"/>
      <w:bookmarkEnd w:id="1592"/>
      <w:bookmarkEnd w:id="1593"/>
      <w:r w:rsidRPr="00EB4D74">
        <w:rPr>
          <w:rFonts w:ascii="Tahoma" w:hAnsi="Tahoma" w:cs="Tahoma"/>
          <w:caps/>
          <w:color w:val="EE6000"/>
          <w:sz w:val="22"/>
          <w:szCs w:val="18"/>
          <w:vertAlign w:val="superscript"/>
        </w:rPr>
        <w:t>112</w:t>
      </w:r>
      <w:r w:rsidRPr="00EB4D74">
        <w:rPr>
          <w:rFonts w:ascii="Tahoma" w:hAnsi="Tahoma" w:cs="Tahoma"/>
          <w:color w:val="EE6000"/>
          <w:sz w:val="22"/>
          <w:szCs w:val="18"/>
        </w:rPr>
        <w:t xml:space="preserve"> Pacote de CALs do Windows Small Business Server (SBS) 2011</w:t>
      </w:r>
      <w:bookmarkEnd w:id="1594"/>
    </w:p>
    <w:p w:rsidR="008B1196" w:rsidRPr="00EB4D74" w:rsidRDefault="008B1196" w:rsidP="008B1196">
      <w:pPr>
        <w:ind w:left="900"/>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do Pacote de CALs do SBS 2011</w:t>
      </w:r>
    </w:p>
    <w:p w:rsidR="008B1196" w:rsidRPr="00EB4D74" w:rsidRDefault="008B1196" w:rsidP="008B1196">
      <w:pPr>
        <w:ind w:left="720"/>
        <w:rPr>
          <w:rFonts w:cs="Tahoma"/>
          <w:lang w:val="it-IT"/>
        </w:rPr>
      </w:pPr>
      <w:r w:rsidRPr="00EB4D74">
        <w:rPr>
          <w:rFonts w:cs="Tahoma"/>
          <w:lang w:val="pt-BR"/>
        </w:rPr>
        <w:t>Os clientes com cobertura do Software Assurance ativa para o Pacote de CALs do SBS 2011 (“CALs Qualificadas”) estão qualificados para acessar o software Windows Server Standard e Exchange Server 2010 Standard. Para facilitar tal acesso, para cada CAL Qualificada que o cliente possui, ele receberá uma CAL para cada licença do Windows Server e Exchange Server 2010, como pode ser visto na tabela a seguir.</w:t>
      </w:r>
    </w:p>
    <w:p w:rsidR="008B1196" w:rsidRPr="00EB4D74" w:rsidRDefault="008B1196" w:rsidP="008B1196">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698"/>
      </w:tblGrid>
      <w:tr w:rsidR="008B1196" w:rsidRPr="00EB4D74" w:rsidTr="00EA30FC">
        <w:tc>
          <w:tcPr>
            <w:tcW w:w="4050"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Licenças Qualificadas</w:t>
            </w:r>
          </w:p>
        </w:tc>
        <w:tc>
          <w:tcPr>
            <w:tcW w:w="4698"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Outorga de Licença</w:t>
            </w:r>
          </w:p>
        </w:tc>
      </w:tr>
      <w:tr w:rsidR="008B1196" w:rsidRPr="00EB4D74" w:rsidTr="00EA30FC">
        <w:tc>
          <w:tcPr>
            <w:tcW w:w="405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eastAsia="Times New Roman" w:cs="Tahoma"/>
                <w:szCs w:val="18"/>
              </w:rPr>
            </w:pPr>
            <w:r w:rsidRPr="00EB4D74">
              <w:rPr>
                <w:rFonts w:cs="Tahoma"/>
                <w:lang w:val="pt-BR"/>
              </w:rPr>
              <w:t>Pacote de CALs do SBS 2011 com cobertura do Software Assurance até 31 de julho de 2012</w:t>
            </w:r>
          </w:p>
        </w:tc>
        <w:tc>
          <w:tcPr>
            <w:tcW w:w="469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cs="Tahoma"/>
              </w:rPr>
            </w:pPr>
            <w:r w:rsidRPr="00EB4D74">
              <w:rPr>
                <w:rFonts w:cs="Tahoma"/>
                <w:lang w:val="pt-BR"/>
              </w:rPr>
              <w:t>CAL do Windows Server 2008 R2</w:t>
            </w:r>
          </w:p>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CAL do Exchange Server 2010</w:t>
            </w:r>
          </w:p>
        </w:tc>
      </w:tr>
      <w:tr w:rsidR="008B1196" w:rsidRPr="00EB4D74" w:rsidTr="00EA30FC">
        <w:tc>
          <w:tcPr>
            <w:tcW w:w="405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eastAsia="Times New Roman" w:cs="Tahoma"/>
                <w:szCs w:val="18"/>
              </w:rPr>
            </w:pPr>
            <w:r w:rsidRPr="00EB4D74">
              <w:rPr>
                <w:rFonts w:cs="Tahoma"/>
                <w:lang w:val="pt-BR"/>
              </w:rPr>
              <w:t>Pacote de CALs do SBS 2011 com cobertura do Software Assurance em ou depois de 1o. De agosto de 2012</w:t>
            </w:r>
          </w:p>
        </w:tc>
        <w:tc>
          <w:tcPr>
            <w:tcW w:w="469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cs="Tahoma"/>
              </w:rPr>
            </w:pPr>
            <w:r w:rsidRPr="00EB4D74">
              <w:rPr>
                <w:rFonts w:cs="Tahoma"/>
                <w:lang w:val="pt-BR"/>
              </w:rPr>
              <w:t>CAL do Windows Server 2012 com Software Assurance</w:t>
            </w:r>
          </w:p>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CAL do Exchange Server 2010 com Software Assurance</w:t>
            </w:r>
          </w:p>
        </w:tc>
      </w:tr>
    </w:tbl>
    <w:p w:rsidR="008B1196" w:rsidRPr="00EB4D74" w:rsidRDefault="008B1196" w:rsidP="008B1196">
      <w:pPr>
        <w:pStyle w:val="ListParagraph"/>
        <w:contextualSpacing w:val="0"/>
        <w:rPr>
          <w:rFonts w:ascii="Tahoma" w:hAnsi="Tahoma" w:cs="Tahoma"/>
          <w:sz w:val="18"/>
          <w:szCs w:val="18"/>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Para cada CAL Qualificada adquirida sob Open Value Subscription, um cliente pode comprar um Pacote de CALs do SBS 2011, conforme cotado ou:</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numPr>
          <w:ilvl w:val="1"/>
          <w:numId w:val="117"/>
        </w:numPr>
        <w:tabs>
          <w:tab w:val="clear" w:pos="1440"/>
        </w:tabs>
        <w:spacing w:after="60"/>
        <w:ind w:left="1800"/>
        <w:contextualSpacing w:val="0"/>
        <w:rPr>
          <w:rFonts w:ascii="Tahoma" w:hAnsi="Tahoma" w:cs="Tahoma"/>
          <w:sz w:val="18"/>
          <w:szCs w:val="18"/>
          <w:lang w:val="it-IT"/>
        </w:rPr>
      </w:pPr>
      <w:r w:rsidRPr="00EB4D74">
        <w:rPr>
          <w:rFonts w:ascii="Tahoma" w:hAnsi="Tahoma" w:cs="Tahoma"/>
          <w:sz w:val="18"/>
          <w:szCs w:val="18"/>
          <w:lang w:val="it-IT"/>
        </w:rPr>
        <w:t>Uma CAL para cada Windows Server 2012 Standard e Exchange Server 2010 para contratos que expiram em ou depois de 1º de agosto de 2012 e</w:t>
      </w:r>
    </w:p>
    <w:p w:rsidR="008B1196" w:rsidRPr="00EB4D74" w:rsidRDefault="008B1196" w:rsidP="008B1196">
      <w:pPr>
        <w:pStyle w:val="ListParagraph"/>
        <w:numPr>
          <w:ilvl w:val="1"/>
          <w:numId w:val="117"/>
        </w:numPr>
        <w:tabs>
          <w:tab w:val="clear" w:pos="1440"/>
        </w:tabs>
        <w:spacing w:after="60"/>
        <w:ind w:left="1800"/>
        <w:contextualSpacing w:val="0"/>
        <w:rPr>
          <w:rFonts w:ascii="Tahoma" w:hAnsi="Tahoma" w:cs="Tahoma"/>
          <w:sz w:val="18"/>
          <w:szCs w:val="18"/>
        </w:rPr>
      </w:pPr>
      <w:r w:rsidRPr="00EB4D74">
        <w:rPr>
          <w:rFonts w:ascii="Tahoma" w:hAnsi="Tahoma" w:cs="Tahoma"/>
          <w:sz w:val="18"/>
          <w:szCs w:val="18"/>
        </w:rPr>
        <w:lastRenderedPageBreak/>
        <w:t>Uma CAL para cada Windows Server 2008 e Exchange Server 2010 Standard para contratos que expiram em julho de 2012.</w:t>
      </w:r>
    </w:p>
    <w:p w:rsidR="008B1196" w:rsidRPr="00EB4D74" w:rsidRDefault="008B1196" w:rsidP="008B1196">
      <w:pPr>
        <w:ind w:left="720"/>
        <w:rPr>
          <w:rFonts w:cs="Tahoma"/>
          <w:szCs w:val="18"/>
        </w:rPr>
      </w:pP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No uso da CAL do Windows Server e CAL Padrão do Exchange Server 2010 sob essa concessão, as CALs Qualificadas do Pacote de CALs do SBS 2011 padrão existentes dos clientes não serão mais válidas.</w:t>
      </w:r>
    </w:p>
    <w:p w:rsidR="008B1196" w:rsidRPr="00EB4D74" w:rsidRDefault="008B1196" w:rsidP="008B1196">
      <w:pPr>
        <w:ind w:left="720"/>
        <w:rPr>
          <w:rFonts w:cs="Tahoma"/>
          <w:szCs w:val="18"/>
        </w:rPr>
      </w:pPr>
    </w:p>
    <w:p w:rsidR="008B1196" w:rsidRPr="00EB4D74" w:rsidRDefault="008B1196" w:rsidP="008B1196">
      <w:pPr>
        <w:ind w:left="720"/>
        <w:rPr>
          <w:rFonts w:cs="Tahoma"/>
          <w:lang w:val="it-IT"/>
        </w:rPr>
      </w:pPr>
      <w:r w:rsidRPr="00EB4D74">
        <w:rPr>
          <w:rFonts w:cs="Tahoma"/>
          <w:color w:val="000000"/>
          <w:lang w:val="pt-BR"/>
        </w:rPr>
        <w:t>O Pacote de CAL do SBS 2011 adquirido posteriormente no mesmo prazo de registro, como parte de um processo de adequação (“true-up”) programado do cliente Open Value Subscription ou EES também são CALs Qualificadas para os propósitos da concessão supracitada.</w:t>
      </w:r>
    </w:p>
    <w:p w:rsidR="008B1196" w:rsidRPr="00EB4D74" w:rsidRDefault="008B1196" w:rsidP="008B1196">
      <w:pPr>
        <w:ind w:left="900"/>
        <w:rPr>
          <w:rFonts w:cs="Tahoma"/>
          <w:szCs w:val="18"/>
          <w:lang w:val="it-IT"/>
        </w:rPr>
      </w:pPr>
    </w:p>
    <w:p w:rsidR="008B1196" w:rsidRPr="00EB4D74" w:rsidRDefault="008B1196" w:rsidP="008B1196">
      <w:pPr>
        <w:ind w:left="900"/>
        <w:rPr>
          <w:rFonts w:cs="Tahoma"/>
          <w:szCs w:val="18"/>
          <w:lang w:val="it-IT"/>
        </w:rPr>
      </w:pPr>
    </w:p>
    <w:p w:rsidR="008B1196" w:rsidRPr="00EB4D74" w:rsidRDefault="008B1196" w:rsidP="008B1196">
      <w:pPr>
        <w:pStyle w:val="Heading2"/>
        <w:ind w:hanging="720"/>
        <w:rPr>
          <w:rFonts w:ascii="Tahoma" w:hAnsi="Tahoma" w:cs="Tahoma"/>
        </w:rPr>
      </w:pPr>
      <w:bookmarkStart w:id="1595" w:name="Srv_122WinSmallBizSVR2011Addon"/>
      <w:bookmarkStart w:id="1596" w:name="_Toc336338379"/>
      <w:bookmarkStart w:id="1597" w:name="_Toc342915007"/>
      <w:bookmarkStart w:id="1598" w:name="Srv_112WinSmallBizSVR2011Addon"/>
      <w:bookmarkStart w:id="1599" w:name="Srv_118WinSmallBizSVR2011Addon"/>
      <w:bookmarkEnd w:id="1595"/>
      <w:bookmarkEnd w:id="1596"/>
      <w:r w:rsidRPr="00EB4D74">
        <w:rPr>
          <w:rFonts w:ascii="Tahoma" w:hAnsi="Tahoma" w:cs="Tahoma"/>
          <w:caps/>
          <w:color w:val="EE6000"/>
          <w:sz w:val="22"/>
          <w:vertAlign w:val="superscript"/>
          <w:lang w:val="pt-BR"/>
        </w:rPr>
        <w:t>113</w:t>
      </w:r>
      <w:r w:rsidRPr="00EB4D74">
        <w:rPr>
          <w:rFonts w:ascii="Tahoma" w:hAnsi="Tahoma" w:cs="Tahoma"/>
          <w:color w:val="EE6000"/>
          <w:sz w:val="22"/>
          <w:lang w:val="pt-BR"/>
        </w:rPr>
        <w:t xml:space="preserve"> Complemento do Windows Small Business Server (SBS) 2011 Premium</w:t>
      </w:r>
      <w:bookmarkEnd w:id="1597"/>
    </w:p>
    <w:bookmarkEnd w:id="1598"/>
    <w:bookmarkEnd w:id="1599"/>
    <w:p w:rsidR="008B1196" w:rsidRPr="00EB4D74" w:rsidRDefault="008B1196" w:rsidP="008B1196">
      <w:pPr>
        <w:ind w:left="900"/>
        <w:rPr>
          <w:rFonts w:cs="Tahoma"/>
          <w:szCs w:val="18"/>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do Complemento do SBS 2011 Premium</w:t>
      </w:r>
    </w:p>
    <w:p w:rsidR="008B1196" w:rsidRPr="00EB4D74" w:rsidRDefault="008B1196" w:rsidP="008B1196">
      <w:pPr>
        <w:ind w:left="720"/>
        <w:rPr>
          <w:rFonts w:cs="Tahoma"/>
          <w:lang w:val="it-IT"/>
        </w:rPr>
      </w:pPr>
      <w:r w:rsidRPr="00EB4D74">
        <w:rPr>
          <w:rFonts w:cs="Tahoma"/>
          <w:color w:val="000000"/>
          <w:lang w:val="pt-BR"/>
        </w:rPr>
        <w:t xml:space="preserve">O Complemento do SBS 2011 Premium será a última versão do Complemento do SBS Premium. </w:t>
      </w:r>
      <w:r w:rsidRPr="00EB4D74">
        <w:rPr>
          <w:rFonts w:cs="Tahoma"/>
          <w:lang w:val="pt-BR"/>
        </w:rPr>
        <w:t>Os clientes de licenciamento por volume com Software Assurance ativo para licenças do Complemento do SBS 2011 Premium (“Licenças Qualificadas”) poderão atualizar e usar os softwares Windows Server Standard e SQL Server 2012 Standard em vez do SBS 2011 Premium. Para facilitar tal uso, para cada CAL Qualificada que o cliente possui, ele receberá uma licença para cada licença do Windows Server e SQL Server 2012 (licenciada sob o modelo de Servidor/CAL), como pode ser visto na tabela a seguir.</w:t>
      </w:r>
    </w:p>
    <w:p w:rsidR="008B1196" w:rsidRPr="00EB4D74" w:rsidRDefault="008B1196" w:rsidP="008B1196">
      <w:pPr>
        <w:ind w:left="720"/>
        <w:rPr>
          <w:rFonts w:cs="Tahoma"/>
          <w:szCs w:val="18"/>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B1196" w:rsidRPr="00EB4D74"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Outorga de Licença</w:t>
            </w:r>
          </w:p>
        </w:tc>
      </w:tr>
      <w:tr w:rsidR="008B1196" w:rsidRPr="00EB4D74" w:rsidTr="00EA30FC">
        <w:tc>
          <w:tcPr>
            <w:tcW w:w="396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cs="Tahoma"/>
              </w:rPr>
            </w:pPr>
            <w:r w:rsidRPr="00EB4D74">
              <w:rPr>
                <w:rFonts w:cs="Tahoma"/>
                <w:lang w:val="pt-BR"/>
              </w:rPr>
              <w:t>R2 do Windows Server 2008</w:t>
            </w:r>
          </w:p>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SQL Server 2012</w:t>
            </w:r>
          </w:p>
        </w:tc>
      </w:tr>
      <w:tr w:rsidR="008B1196" w:rsidRPr="00EB4D74" w:rsidTr="00EA30FC">
        <w:tc>
          <w:tcPr>
            <w:tcW w:w="396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Complemento do SBS 2011 Premium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cs="Tahoma"/>
              </w:rPr>
            </w:pPr>
            <w:r w:rsidRPr="00EB4D74">
              <w:rPr>
                <w:rFonts w:cs="Tahoma"/>
                <w:lang w:val="pt-BR"/>
              </w:rPr>
              <w:t>Windows Server 2012 com Software Assurance</w:t>
            </w:r>
          </w:p>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SQL Server 2012 com Software Assurance</w:t>
            </w:r>
          </w:p>
        </w:tc>
      </w:tr>
    </w:tbl>
    <w:p w:rsidR="008B1196" w:rsidRPr="00EB4D74" w:rsidRDefault="008B1196" w:rsidP="008B1196">
      <w:pPr>
        <w:pStyle w:val="ListParagraph"/>
        <w:spacing w:after="100" w:afterAutospacing="1"/>
        <w:rPr>
          <w:rFonts w:ascii="Tahoma" w:hAnsi="Tahoma" w:cs="Tahoma"/>
          <w:sz w:val="18"/>
          <w:szCs w:val="18"/>
        </w:rPr>
      </w:pPr>
    </w:p>
    <w:p w:rsidR="008B1196" w:rsidRPr="00EB4D74" w:rsidRDefault="008B1196" w:rsidP="008B1196">
      <w:pPr>
        <w:pStyle w:val="ListParagraph"/>
        <w:contextualSpacing w:val="0"/>
        <w:rPr>
          <w:rFonts w:ascii="Tahoma" w:hAnsi="Tahoma" w:cs="Tahoma"/>
          <w:spacing w:val="-2"/>
          <w:sz w:val="18"/>
          <w:szCs w:val="18"/>
          <w:lang w:val="it-IT"/>
        </w:rPr>
      </w:pPr>
      <w:r w:rsidRPr="00EB4D74">
        <w:rPr>
          <w:rFonts w:ascii="Tahoma" w:hAnsi="Tahoma" w:cs="Tahoma"/>
          <w:spacing w:val="-2"/>
          <w:sz w:val="18"/>
          <w:szCs w:val="18"/>
          <w:lang w:val="it-IT"/>
        </w:rPr>
        <w:t>A cobertura do Software Assurance incluída com a concessão supracitada expira quando a cobertura correspondente nas Licenças de Qualificação expirar. Como uma exceção, os clientes com Software Assurance em Licenças de Qualificação que expiram em agosto de 2012 poderão, até 31 de dezembro de 2012, renovar o Software Assurance nas licenças concedidas sob esta oferta.</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spacing w:line="276" w:lineRule="auto"/>
        <w:ind w:left="720"/>
        <w:rPr>
          <w:rFonts w:cs="Tahoma"/>
          <w:spacing w:val="-2"/>
          <w:szCs w:val="18"/>
          <w:lang w:val="it-IT"/>
        </w:rPr>
      </w:pPr>
      <w:r w:rsidRPr="00EB4D74">
        <w:rPr>
          <w:rFonts w:cs="Tahoma"/>
          <w:spacing w:val="-2"/>
          <w:szCs w:val="18"/>
          <w:lang w:val="pt-BR"/>
        </w:rPr>
        <w:t>Os clientes cuja cobertura do Software Assurance em Licenças de Qualificação que expiram em julho de 2012 poderão, até 31 de dezembro de 2012, adquirir o Software Assurance nas licenças concedidas sob esta oferta.</w:t>
      </w:r>
    </w:p>
    <w:p w:rsidR="008B1196" w:rsidRPr="00EB4D74" w:rsidRDefault="008B1196" w:rsidP="008B1196">
      <w:pPr>
        <w:spacing w:line="276" w:lineRule="auto"/>
        <w:ind w:left="720"/>
        <w:rPr>
          <w:rFonts w:cs="Tahoma"/>
          <w:szCs w:val="18"/>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Para cada Licença de Qualificação adquirida sob Open Value Subscription, um cliente pode comprar uma licença do Complemento do SBS 2011 Premium, conforme cotado ou:</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numPr>
          <w:ilvl w:val="1"/>
          <w:numId w:val="117"/>
        </w:numPr>
        <w:tabs>
          <w:tab w:val="clear" w:pos="1440"/>
        </w:tabs>
        <w:spacing w:after="60"/>
        <w:contextualSpacing w:val="0"/>
        <w:rPr>
          <w:rFonts w:ascii="Tahoma" w:hAnsi="Tahoma" w:cs="Tahoma"/>
          <w:sz w:val="18"/>
          <w:szCs w:val="18"/>
          <w:lang w:val="it-IT"/>
        </w:rPr>
      </w:pPr>
      <w:r w:rsidRPr="00EB4D74">
        <w:rPr>
          <w:rFonts w:ascii="Tahoma" w:hAnsi="Tahoma" w:cs="Tahoma"/>
          <w:sz w:val="18"/>
          <w:szCs w:val="18"/>
          <w:lang w:val="it-IT"/>
        </w:rPr>
        <w:t>Uma licença para cada Windows Server 2012 Standard e SQL Server 2012 Standard (licenciada sob o modelo de licenciamento Servidor-CAL) para contratos que expiram em ou depois de 1º de agosto de 2012 ou</w:t>
      </w:r>
    </w:p>
    <w:p w:rsidR="008B1196" w:rsidRPr="00EB4D74" w:rsidRDefault="008B1196" w:rsidP="008B1196">
      <w:pPr>
        <w:pStyle w:val="ListParagraph"/>
        <w:numPr>
          <w:ilvl w:val="1"/>
          <w:numId w:val="117"/>
        </w:numPr>
        <w:tabs>
          <w:tab w:val="clear" w:pos="1440"/>
        </w:tabs>
        <w:spacing w:after="60"/>
        <w:contextualSpacing w:val="0"/>
        <w:rPr>
          <w:rFonts w:ascii="Tahoma" w:hAnsi="Tahoma" w:cs="Tahoma"/>
          <w:sz w:val="18"/>
          <w:szCs w:val="18"/>
          <w:lang w:val="it-IT"/>
        </w:rPr>
      </w:pPr>
      <w:r w:rsidRPr="00EB4D74">
        <w:rPr>
          <w:rFonts w:ascii="Tahoma" w:hAnsi="Tahoma" w:cs="Tahoma"/>
          <w:sz w:val="18"/>
          <w:szCs w:val="18"/>
          <w:lang w:val="it-IT"/>
        </w:rPr>
        <w:t>Uma licença para cada Windows Server 2008 R2 Standard e SQL Server 2012 Standard (licenciada sob o modelo de licenciamento Servidor-CAL) para contratos que expiram em julho de 2012.</w:t>
      </w:r>
    </w:p>
    <w:p w:rsidR="008B1196" w:rsidRPr="00EB4D74" w:rsidRDefault="008B1196" w:rsidP="008B1196">
      <w:pPr>
        <w:spacing w:line="276" w:lineRule="auto"/>
        <w:ind w:left="720"/>
        <w:rPr>
          <w:rFonts w:cs="Tahoma"/>
          <w:szCs w:val="18"/>
          <w:lang w:val="it-IT"/>
        </w:rPr>
      </w:pPr>
    </w:p>
    <w:p w:rsidR="008B1196" w:rsidRPr="00EB4D74" w:rsidRDefault="008B1196" w:rsidP="008B1196">
      <w:pPr>
        <w:spacing w:line="276" w:lineRule="auto"/>
        <w:ind w:left="720"/>
        <w:rPr>
          <w:rFonts w:cs="Tahoma"/>
          <w:lang w:val="it-IT"/>
        </w:rPr>
      </w:pPr>
      <w:r w:rsidRPr="00EB4D74">
        <w:rPr>
          <w:rFonts w:cs="Tahoma"/>
          <w:lang w:val="pt-BR"/>
        </w:rPr>
        <w:lastRenderedPageBreak/>
        <w:t>Na atualização para o Windows Server Standard e SQL Server 2012 Standard sob essa concessão, as Licenças de Qualificação do Complemento do SBS Premium existentes do cliente não serão mais válidas.</w:t>
      </w:r>
    </w:p>
    <w:p w:rsidR="008B1196" w:rsidRPr="00EB4D74" w:rsidRDefault="008B1196" w:rsidP="008B1196">
      <w:pPr>
        <w:spacing w:line="276" w:lineRule="auto"/>
        <w:ind w:left="720"/>
        <w:rPr>
          <w:rFonts w:cs="Tahoma"/>
          <w:szCs w:val="18"/>
          <w:lang w:val="it-IT"/>
        </w:rPr>
      </w:pPr>
    </w:p>
    <w:p w:rsidR="008B1196" w:rsidRPr="00EB4D74" w:rsidRDefault="008B1196" w:rsidP="008B1196">
      <w:pPr>
        <w:spacing w:line="276" w:lineRule="auto"/>
        <w:ind w:left="720"/>
        <w:rPr>
          <w:rFonts w:cs="Tahoma"/>
          <w:lang w:val="it-IT"/>
        </w:rPr>
      </w:pPr>
      <w:r w:rsidRPr="00EB4D74">
        <w:rPr>
          <w:rFonts w:cs="Tahoma"/>
          <w:lang w:val="pt-BR"/>
        </w:rPr>
        <w:t>As licenças do Complemento do SBS 2011 Premium adquiridas posteriormente no mesmo prazo de registro, como parte de um processo de adequação (“true-up”) programado do cliente Open Value Subscription ou EES também são Licenças de Qualificação para os propósitos da concessão supracitada.</w:t>
      </w:r>
    </w:p>
    <w:p w:rsidR="008B1196" w:rsidRPr="00EB4D74" w:rsidRDefault="008B1196" w:rsidP="008B1196">
      <w:pPr>
        <w:pStyle w:val="Heading2"/>
        <w:ind w:left="324" w:hanging="324"/>
        <w:rPr>
          <w:rFonts w:ascii="Tahoma" w:hAnsi="Tahoma" w:cs="Tahoma"/>
        </w:rPr>
      </w:pPr>
      <w:bookmarkStart w:id="1600" w:name="_124_Windows_Small"/>
      <w:bookmarkStart w:id="1601" w:name="_Toc336338380"/>
      <w:bookmarkStart w:id="1602" w:name="_Toc342915008"/>
      <w:bookmarkEnd w:id="1600"/>
      <w:bookmarkEnd w:id="1601"/>
      <w:r w:rsidRPr="00EB4D74">
        <w:rPr>
          <w:rFonts w:ascii="Tahoma" w:hAnsi="Tahoma" w:cs="Tahoma"/>
          <w:caps/>
          <w:color w:val="EE6000"/>
          <w:sz w:val="22"/>
          <w:szCs w:val="18"/>
          <w:vertAlign w:val="superscript"/>
        </w:rPr>
        <w:t>114</w:t>
      </w:r>
      <w:r w:rsidRPr="00EB4D74">
        <w:rPr>
          <w:rFonts w:ascii="Tahoma" w:hAnsi="Tahoma" w:cs="Tahoma"/>
          <w:color w:val="EE6000"/>
          <w:sz w:val="22"/>
          <w:szCs w:val="18"/>
        </w:rPr>
        <w:t xml:space="preserve"> Pacote de CALs do Complemento do Windows Small Business Server (SBS) 2011 Premium</w:t>
      </w:r>
      <w:bookmarkEnd w:id="1602"/>
    </w:p>
    <w:p w:rsidR="008B1196" w:rsidRPr="00EB4D74" w:rsidRDefault="008B1196" w:rsidP="008B1196">
      <w:pPr>
        <w:ind w:left="720"/>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do Pacote de CALs do Complemento do SBS 2011 Premium</w:t>
      </w:r>
    </w:p>
    <w:p w:rsidR="008B1196" w:rsidRPr="00EB4D74" w:rsidRDefault="008B1196" w:rsidP="008B1196">
      <w:pPr>
        <w:ind w:left="720"/>
        <w:rPr>
          <w:rFonts w:cs="Tahoma"/>
          <w:spacing w:val="-2"/>
          <w:lang w:val="it-IT"/>
        </w:rPr>
      </w:pPr>
      <w:r w:rsidRPr="00EB4D74">
        <w:rPr>
          <w:rFonts w:cs="Tahoma"/>
          <w:spacing w:val="-2"/>
          <w:lang w:val="pt-BR"/>
        </w:rPr>
        <w:t>Os clientes com cobertura do Software Assurance ativa para o Pacote de CALs do Complemento do SBS 2011 Premium (“CALs Qualificadas”) estão qualificados para acessar os softwares Windows Server Standard e SQL Server 2012 Standard. A partir de 1º de agosto de 2012, para cada Pacote de CALs qualificadas do Complemento do SBS 2011 Premium que o cliente possuir, o cliente será considerado possuidor de uma CAL do Windows Server 2012 e uma CAL do SQL Server 2012 com cobertura de Software Assurance. Para facilitar tal uso, para cada CAL Qualificada que o cliente possui, ele receberá uma licença para cada CAL do Windows Server e SQL Server 2012 (licenciada sob o modelo de Servidor/CAL), como pode ser visto na tabela a seguir.</w:t>
      </w:r>
    </w:p>
    <w:p w:rsidR="008B1196" w:rsidRPr="00EB4D74" w:rsidRDefault="008B1196" w:rsidP="008B1196">
      <w:pPr>
        <w:ind w:left="720"/>
        <w:rPr>
          <w:rFonts w:cs="Tahoma"/>
          <w:lang w:val="it-IT"/>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B1196" w:rsidRPr="00EB4D74" w:rsidTr="00EA30FC">
        <w:tc>
          <w:tcPr>
            <w:tcW w:w="3960"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Licenças Qualificadas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B1196" w:rsidRPr="00EB4D74" w:rsidRDefault="008B1196" w:rsidP="00EA30FC">
            <w:pPr>
              <w:spacing w:after="200" w:line="276" w:lineRule="auto"/>
              <w:rPr>
                <w:rFonts w:eastAsia="Times New Roman" w:cs="Tahoma"/>
                <w:szCs w:val="18"/>
              </w:rPr>
            </w:pPr>
            <w:r w:rsidRPr="00EB4D74">
              <w:rPr>
                <w:rFonts w:cs="Tahoma"/>
                <w:b/>
                <w:color w:val="000000"/>
                <w:lang w:val="pt-BR"/>
              </w:rPr>
              <w:t>Outorga de Licença</w:t>
            </w:r>
          </w:p>
        </w:tc>
      </w:tr>
      <w:tr w:rsidR="008B1196" w:rsidRPr="00EB4D74" w:rsidTr="00EA30FC">
        <w:tc>
          <w:tcPr>
            <w:tcW w:w="396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Pacote de CALs do Complemento do SBS 2011 Premium com cobertura do Software Assurance até 31 de julho de 2012</w:t>
            </w:r>
          </w:p>
        </w:tc>
        <w:tc>
          <w:tcPr>
            <w:tcW w:w="478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cs="Tahoma"/>
              </w:rPr>
            </w:pPr>
            <w:r w:rsidRPr="00EB4D74">
              <w:rPr>
                <w:rFonts w:cs="Tahoma"/>
                <w:lang w:val="pt-BR"/>
              </w:rPr>
              <w:t>CAL do Windows Server 2008 R2</w:t>
            </w:r>
          </w:p>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CAL de SQL Server 2012</w:t>
            </w:r>
          </w:p>
        </w:tc>
      </w:tr>
      <w:tr w:rsidR="008B1196" w:rsidRPr="00EB4D74" w:rsidTr="00EA30FC">
        <w:tc>
          <w:tcPr>
            <w:tcW w:w="3960"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eastAsia="Times New Roman" w:cs="Tahoma"/>
                <w:spacing w:val="-2"/>
                <w:szCs w:val="18"/>
              </w:rPr>
            </w:pPr>
            <w:r w:rsidRPr="00EB4D74">
              <w:rPr>
                <w:rFonts w:eastAsia="Times New Roman" w:cs="Tahoma"/>
                <w:spacing w:val="-2"/>
                <w:szCs w:val="18"/>
                <w:lang w:val="pt-BR"/>
              </w:rPr>
              <w:t>Pacote de CALs do Complemento do SBS 2011 Premium com cobertura do Software Assurance em ou depois de 1o. de agosto de 2012</w:t>
            </w:r>
          </w:p>
        </w:tc>
        <w:tc>
          <w:tcPr>
            <w:tcW w:w="4788" w:type="dxa"/>
            <w:tcBorders>
              <w:top w:val="single" w:sz="4" w:space="0" w:color="auto"/>
              <w:left w:val="single" w:sz="4" w:space="0" w:color="auto"/>
              <w:bottom w:val="single" w:sz="4" w:space="0" w:color="auto"/>
              <w:right w:val="single" w:sz="4" w:space="0" w:color="auto"/>
            </w:tcBorders>
          </w:tcPr>
          <w:p w:rsidR="008B1196" w:rsidRPr="00EB4D74" w:rsidRDefault="008B1196" w:rsidP="00EA30FC">
            <w:pPr>
              <w:spacing w:after="200" w:line="276" w:lineRule="auto"/>
              <w:rPr>
                <w:rFonts w:cs="Tahoma"/>
              </w:rPr>
            </w:pPr>
            <w:r w:rsidRPr="00EB4D74">
              <w:rPr>
                <w:rFonts w:cs="Tahoma"/>
                <w:lang w:val="pt-BR"/>
              </w:rPr>
              <w:t>CAL do Windows Server 2012 com Software Assurance</w:t>
            </w:r>
          </w:p>
          <w:p w:rsidR="008B1196" w:rsidRPr="00EB4D74" w:rsidRDefault="008B1196" w:rsidP="00EA30FC">
            <w:pPr>
              <w:spacing w:after="200" w:line="276" w:lineRule="auto"/>
              <w:rPr>
                <w:rFonts w:eastAsia="Times New Roman" w:cs="Tahoma"/>
                <w:szCs w:val="18"/>
              </w:rPr>
            </w:pPr>
            <w:r w:rsidRPr="00EB4D74">
              <w:rPr>
                <w:rFonts w:eastAsia="Times New Roman" w:cs="Tahoma"/>
                <w:szCs w:val="18"/>
                <w:lang w:val="pt-BR"/>
              </w:rPr>
              <w:t>CAL do SQL Server 2012 com Software Assurance</w:t>
            </w:r>
          </w:p>
        </w:tc>
      </w:tr>
    </w:tbl>
    <w:p w:rsidR="008B1196" w:rsidRPr="00EB4D74" w:rsidRDefault="008B1196" w:rsidP="008B1196">
      <w:pPr>
        <w:rPr>
          <w:rFonts w:cs="Tahoma"/>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A cobertura do Software Assurance incluída com a concessão supracitada expira quando a cobertura correspondente nas CALs Qualificadas expirar. Como uma exceção, os clientes com Software Assurance em CALs Qualificadas que expiram em agosto de 2012 poderão, até 31 de dezembro de 2012, renovar o Software Assurance nas CALs concedidas sob esta oferta. Os clientes com Software Assurance em CALs Qualificadas que expiram em julho de 2012 poderão, até 31 de dezembro de 2012, adquirir o Software Assurance nas CALs concedidas sob esta oferta.</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Se os clientes adquiriram direitos perpétuos de acordo com CALs Qualificadas, as CALs adquiridas sob essa concessão serão também perpétuas; caso contrário, as CALs adquiridas sob essa concessão expirarão quando as CALs Qualificadas subjacentes expirarem.</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contextualSpacing w:val="0"/>
        <w:rPr>
          <w:rFonts w:ascii="Tahoma" w:hAnsi="Tahoma" w:cs="Tahoma"/>
          <w:sz w:val="18"/>
          <w:szCs w:val="18"/>
          <w:lang w:val="it-IT"/>
        </w:rPr>
      </w:pPr>
      <w:r w:rsidRPr="00EB4D74">
        <w:rPr>
          <w:rFonts w:ascii="Tahoma" w:hAnsi="Tahoma" w:cs="Tahoma"/>
          <w:sz w:val="18"/>
          <w:szCs w:val="18"/>
          <w:lang w:val="it-IT"/>
        </w:rPr>
        <w:t>Para cada CAL Qualificada adquirida sob Open Value Subscription, um cliente pode comprar um Pacote de CALs do Complemento do SBS 2011 Premium, conforme cotado ou:</w:t>
      </w:r>
    </w:p>
    <w:p w:rsidR="008B1196" w:rsidRPr="00EB4D74" w:rsidRDefault="008B1196" w:rsidP="008B1196">
      <w:pPr>
        <w:pStyle w:val="ListParagraph"/>
        <w:contextualSpacing w:val="0"/>
        <w:rPr>
          <w:rFonts w:ascii="Tahoma" w:hAnsi="Tahoma" w:cs="Tahoma"/>
          <w:sz w:val="18"/>
          <w:szCs w:val="18"/>
          <w:lang w:val="it-IT"/>
        </w:rPr>
      </w:pPr>
    </w:p>
    <w:p w:rsidR="008B1196" w:rsidRPr="00EB4D74" w:rsidRDefault="008B1196" w:rsidP="008B1196">
      <w:pPr>
        <w:pStyle w:val="ListParagraph"/>
        <w:numPr>
          <w:ilvl w:val="1"/>
          <w:numId w:val="117"/>
        </w:numPr>
        <w:tabs>
          <w:tab w:val="clear" w:pos="1440"/>
        </w:tabs>
        <w:spacing w:after="60"/>
        <w:ind w:hanging="274"/>
        <w:contextualSpacing w:val="0"/>
        <w:rPr>
          <w:rFonts w:ascii="Tahoma" w:hAnsi="Tahoma" w:cs="Tahoma"/>
          <w:sz w:val="18"/>
          <w:szCs w:val="18"/>
          <w:lang w:val="it-IT"/>
        </w:rPr>
      </w:pPr>
      <w:r w:rsidRPr="00EB4D74">
        <w:rPr>
          <w:rFonts w:ascii="Tahoma" w:hAnsi="Tahoma" w:cs="Tahoma"/>
          <w:sz w:val="18"/>
          <w:szCs w:val="18"/>
          <w:lang w:val="it-IT"/>
        </w:rPr>
        <w:t>Uma CAL para cada Windows Server 2012 e SQL Server 2012 para contratos que expiram em ou depois de 1º de agosto de 2012 ou</w:t>
      </w:r>
    </w:p>
    <w:p w:rsidR="008B1196" w:rsidRPr="00EB4D74" w:rsidRDefault="008B1196" w:rsidP="008B1196">
      <w:pPr>
        <w:pStyle w:val="ListParagraph"/>
        <w:numPr>
          <w:ilvl w:val="1"/>
          <w:numId w:val="117"/>
        </w:numPr>
        <w:tabs>
          <w:tab w:val="clear" w:pos="1440"/>
        </w:tabs>
        <w:spacing w:after="60"/>
        <w:ind w:hanging="274"/>
        <w:contextualSpacing w:val="0"/>
        <w:rPr>
          <w:rFonts w:ascii="Tahoma" w:hAnsi="Tahoma" w:cs="Tahoma"/>
          <w:sz w:val="18"/>
          <w:szCs w:val="18"/>
        </w:rPr>
      </w:pPr>
      <w:r w:rsidRPr="00EB4D74">
        <w:rPr>
          <w:rFonts w:ascii="Tahoma" w:hAnsi="Tahoma" w:cs="Tahoma"/>
          <w:sz w:val="18"/>
          <w:szCs w:val="18"/>
        </w:rPr>
        <w:t>Uma CAL para cada Windows Server 2008 e SQL Server 2012 para contratos que expiram em julho de 2012.</w:t>
      </w:r>
    </w:p>
    <w:p w:rsidR="008B1196" w:rsidRPr="00EB4D74" w:rsidRDefault="008B1196" w:rsidP="008B1196">
      <w:pPr>
        <w:pStyle w:val="ListParagraph"/>
        <w:ind w:left="1800"/>
        <w:contextualSpacing w:val="0"/>
        <w:rPr>
          <w:rFonts w:ascii="Tahoma" w:hAnsi="Tahoma" w:cs="Tahoma"/>
          <w:sz w:val="18"/>
          <w:szCs w:val="18"/>
        </w:rPr>
      </w:pPr>
    </w:p>
    <w:p w:rsidR="008B1196" w:rsidRPr="00EB4D74" w:rsidRDefault="008B1196" w:rsidP="008B1196">
      <w:pPr>
        <w:ind w:left="720"/>
        <w:rPr>
          <w:rFonts w:cs="Tahoma"/>
          <w:szCs w:val="18"/>
        </w:rPr>
      </w:pPr>
      <w:r w:rsidRPr="00EB4D74">
        <w:rPr>
          <w:rFonts w:cs="Tahoma"/>
          <w:szCs w:val="18"/>
          <w:lang w:val="pt-BR"/>
        </w:rPr>
        <w:t>No uso das CALs do Windows Server 2012 e CALs do SQL Server 2012 sob essa concessão, os Pacotes de CALs Qualificadas do Complemento do SBS Premium existentes do cliente não serão mais válidas.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color w:val="000000"/>
          <w:lang w:val="pt-BR"/>
        </w:rPr>
        <w:t>Os Pacotes de CALs do Complemento do SBS 2011 Premium adquiridas posteriormente no mesmo prazo de registro, como parte de um processo de adequação (“true-up”) programado do cliente Open Value Subscription ou EES também são CALs Qualificadas para os propósitos da concessão supracitada.</w:t>
      </w: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rPr>
          <w:rFonts w:cs="Tahoma"/>
        </w:rPr>
      </w:pPr>
    </w:p>
    <w:p w:rsidR="008B1196" w:rsidRPr="00EB4D74" w:rsidRDefault="008B1196" w:rsidP="008B1196">
      <w:pPr>
        <w:pStyle w:val="Heading2"/>
        <w:ind w:left="0"/>
        <w:rPr>
          <w:rFonts w:ascii="Tahoma" w:hAnsi="Tahoma" w:cs="Tahoma"/>
        </w:rPr>
      </w:pPr>
      <w:bookmarkStart w:id="1603" w:name="_123_Windows_Azure"/>
      <w:bookmarkStart w:id="1604" w:name="_124_Windows_Small_1"/>
      <w:bookmarkStart w:id="1605" w:name="_Toc336338381"/>
      <w:bookmarkStart w:id="1606" w:name="_115_Windows_Small"/>
      <w:bookmarkStart w:id="1607" w:name="_Toc342915009"/>
      <w:bookmarkEnd w:id="1603"/>
      <w:bookmarkEnd w:id="1604"/>
      <w:bookmarkEnd w:id="1605"/>
      <w:bookmarkEnd w:id="1606"/>
      <w:r w:rsidRPr="00EB4D74">
        <w:rPr>
          <w:rFonts w:ascii="Tahoma" w:hAnsi="Tahoma" w:cs="Tahoma"/>
          <w:color w:val="F8701C"/>
          <w:sz w:val="22"/>
          <w:vertAlign w:val="superscript"/>
          <w:lang w:val="pt-BR"/>
        </w:rPr>
        <w:t>115</w:t>
      </w:r>
      <w:r w:rsidRPr="00EB4D74">
        <w:rPr>
          <w:rFonts w:ascii="Tahoma" w:hAnsi="Tahoma" w:cs="Tahoma"/>
          <w:color w:val="F8701C"/>
          <w:sz w:val="22"/>
          <w:lang w:val="pt-BR"/>
        </w:rPr>
        <w:t xml:space="preserve"> Windows Small Business Server 2011 Essentials</w:t>
      </w:r>
      <w:bookmarkEnd w:id="1607"/>
    </w:p>
    <w:p w:rsidR="008B1196" w:rsidRPr="00EB4D74" w:rsidRDefault="008B1196" w:rsidP="008B1196">
      <w:pPr>
        <w:rPr>
          <w:rFonts w:cs="Tahoma"/>
        </w:rPr>
      </w:pPr>
    </w:p>
    <w:p w:rsidR="008B1196" w:rsidRPr="00EB4D74" w:rsidRDefault="008B1196" w:rsidP="008B1196">
      <w:pPr>
        <w:spacing w:after="60"/>
        <w:ind w:left="720"/>
        <w:rPr>
          <w:rFonts w:cs="Tahoma"/>
        </w:rPr>
      </w:pPr>
      <w:r w:rsidRPr="00EB4D74">
        <w:rPr>
          <w:rFonts w:cs="Tahoma"/>
          <w:b/>
          <w:color w:val="000000"/>
          <w:lang w:val="pt-BR"/>
        </w:rPr>
        <w:t>Outorgas de licença associadas ao término da validade do Windows Small Business Server (SBS) 2011 Essentials</w:t>
      </w:r>
    </w:p>
    <w:p w:rsidR="008B1196" w:rsidRPr="00EB4D74" w:rsidRDefault="008B1196" w:rsidP="008B1196">
      <w:pPr>
        <w:ind w:left="720"/>
        <w:rPr>
          <w:rFonts w:cs="Tahoma"/>
          <w:szCs w:val="18"/>
          <w:lang w:val="pt-BR"/>
        </w:rPr>
      </w:pPr>
      <w:r w:rsidRPr="00EB4D74">
        <w:rPr>
          <w:rFonts w:cs="Tahoma"/>
          <w:szCs w:val="18"/>
          <w:lang w:val="pt-BR"/>
        </w:rPr>
        <w:t xml:space="preserve">O Windows SBS 2011 Essentials será a última versão do Windows SBS Essentials. Os clientes de licenciamento por volume com Software Assurance ativo para licenças do Windows SBS 2011 Essentials em 1º de novembro de 2012 ou a partir da data da primeira disponibilização do Windows Server 2012 Essentials para download no Volume Licensing Service Center (Centro de Atendimento de Licenciamento por Volume), o que ocorrer primeiro, (“Licenças Qualificadas”) poderão atualizar para e usar o software Windows Server 2012 Essentials em vez do SBS Essentials. Para facilitar tal uso, para cada Licença de Qualificação que o cliente possui, ele terá uma licença do processador Windows Server 2012 Essentials mediante a disponibilização do Windows Server Essentials. O uso do Windows Server 2012 Essentials será regido sob os termos de licença deste produto nos Direitos de uso do Produto e nos termos e nas condições dos contratos de Licenciamento por Volume dos clientes. </w:t>
      </w:r>
    </w:p>
    <w:p w:rsidR="008B1196" w:rsidRPr="00EB4D74" w:rsidRDefault="008B1196" w:rsidP="008B1196">
      <w:pPr>
        <w:ind w:left="720"/>
        <w:rPr>
          <w:rFonts w:cs="Tahoma"/>
          <w:lang w:val="pt-BR"/>
        </w:rPr>
      </w:pPr>
    </w:p>
    <w:p w:rsidR="008B1196" w:rsidRPr="00EB4D74" w:rsidRDefault="008B1196" w:rsidP="008B1196">
      <w:pPr>
        <w:ind w:left="720"/>
        <w:rPr>
          <w:rFonts w:cs="Tahoma"/>
          <w:lang w:val="pt-BR"/>
        </w:rPr>
      </w:pPr>
      <w:r w:rsidRPr="00EB4D74">
        <w:rPr>
          <w:rFonts w:cs="Tahoma"/>
          <w:lang w:val="pt-BR"/>
        </w:rPr>
        <w:t>Se os clientes adquiriram direitos perpétuos para usar o software sob as Licenças Qualificadas, as licenças adquiridas sob essa concessão serão também perpétuas; caso contrário, as licenças adquiridas sob essa concessão expirarão quando as Licenças de Qualificação subjacentes expirarem.</w:t>
      </w:r>
    </w:p>
    <w:p w:rsidR="008B1196" w:rsidRPr="00EB4D74" w:rsidRDefault="008B1196" w:rsidP="008B1196">
      <w:pPr>
        <w:ind w:left="720"/>
        <w:rPr>
          <w:rFonts w:cs="Tahoma"/>
          <w:lang w:val="pt-BR"/>
        </w:rPr>
      </w:pPr>
    </w:p>
    <w:p w:rsidR="008B1196" w:rsidRPr="00EB4D74" w:rsidRDefault="008B1196" w:rsidP="008B1196">
      <w:pPr>
        <w:ind w:left="720"/>
        <w:rPr>
          <w:rFonts w:cs="Tahoma"/>
        </w:rPr>
      </w:pPr>
      <w:r w:rsidRPr="00EB4D74">
        <w:rPr>
          <w:rFonts w:cs="Tahoma"/>
          <w:lang w:val="pt-BR"/>
        </w:rPr>
        <w:t>Na atualização para o Windows Server 2012 Essentials sob essa concessão, as Licenças de Qualificação do SBS Essentials existentes do cliente não serão mais válidas.</w:t>
      </w:r>
    </w:p>
    <w:p w:rsidR="008B1196" w:rsidRPr="00EB4D74" w:rsidRDefault="008B1196" w:rsidP="008B1196">
      <w:pPr>
        <w:ind w:left="720"/>
        <w:rPr>
          <w:rFonts w:cs="Tahoma"/>
        </w:rPr>
      </w:pPr>
    </w:p>
    <w:p w:rsidR="008B1196" w:rsidRPr="00EB4D74" w:rsidRDefault="008B1196" w:rsidP="008B1196">
      <w:pPr>
        <w:ind w:left="720"/>
        <w:rPr>
          <w:rFonts w:cs="Tahoma"/>
        </w:rPr>
      </w:pPr>
      <w:r w:rsidRPr="00EB4D74">
        <w:rPr>
          <w:rFonts w:cs="Tahoma"/>
          <w:lang w:val="pt-BR"/>
        </w:rPr>
        <w:t>As licenças do SBS Essentials adquiridas posteriormente no mesmo prazo de registro, como parte de um processo de adequação (“true-up”) programado do cliente Open Value Subscription ou EES também são Licenças de Qualificação para os propósitos da concessão supracitada.</w:t>
      </w:r>
    </w:p>
    <w:p w:rsidR="00720CDE" w:rsidRDefault="00720CDE"/>
    <w:sectPr w:rsidR="00720CDE" w:rsidSect="00E55170">
      <w:footerReference w:type="default" r:id="rId39"/>
      <w:headerReference w:type="first" r:id="rId40"/>
      <w:footerReference w:type="first" r:id="rId41"/>
      <w:endnotePr>
        <w:numFmt w:val="decimal"/>
      </w:endnotePr>
      <w:pgSz w:w="12240" w:h="15840" w:code="1"/>
      <w:pgMar w:top="1166"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Pr="002007C4" w:rsidRDefault="00722CAE">
    <w:pPr>
      <w:pStyle w:val="Footer"/>
      <w:pBdr>
        <w:top w:val="single" w:sz="6" w:space="1" w:color="808080"/>
      </w:pBdr>
      <w:tabs>
        <w:tab w:val="clear" w:pos="5155"/>
        <w:tab w:val="clear" w:pos="10325"/>
        <w:tab w:val="right" w:pos="10620"/>
      </w:tabs>
      <w:ind w:left="-540"/>
      <w:rPr>
        <w:rFonts w:ascii="Trebuchet MS" w:hAnsi="Trebuchet MS"/>
        <w:color w:val="808080"/>
        <w:sz w:val="14"/>
        <w:lang w:val="it-IT"/>
      </w:rPr>
    </w:pPr>
    <w:r>
      <w:rPr>
        <w:rFonts w:ascii="Trebuchet MS" w:hAnsi="Trebuchet MS"/>
        <w:color w:val="808080"/>
        <w:sz w:val="14"/>
        <w:lang w:val="pt-BR"/>
      </w:rPr>
      <w:t xml:space="preserve">© 2009 Microsoft Corporation.Todos os direitos reservados.Página </w:t>
    </w:r>
    <w:r>
      <w:rPr>
        <w:lang w:val="pt-BR"/>
      </w:rPr>
      <w:fldChar w:fldCharType="begin"/>
    </w:r>
    <w:r>
      <w:rPr>
        <w:lang w:val="pt-BR"/>
      </w:rPr>
      <w:instrText xml:space="preserve"> PAGE </w:instrText>
    </w:r>
    <w:r>
      <w:rPr>
        <w:lang w:val="pt-BR"/>
      </w:rPr>
      <w:fldChar w:fldCharType="separate"/>
    </w:r>
    <w:r>
      <w:rPr>
        <w:noProof/>
        <w:lang w:val="pt-BR"/>
      </w:rPr>
      <w:t>2</w:t>
    </w:r>
    <w:r>
      <w:rPr>
        <w:lang w:val="pt-BR"/>
      </w:rPr>
      <w:fldChar w:fldCharType="end"/>
    </w:r>
    <w:r>
      <w:rPr>
        <w:rFonts w:ascii="Trebuchet MS" w:hAnsi="Trebuchet MS"/>
        <w:color w:val="808080"/>
        <w:sz w:val="14"/>
        <w:lang w:val="pt-BR"/>
      </w:rPr>
      <w:t xml:space="preserve"> de </w:t>
    </w:r>
    <w:r>
      <w:rPr>
        <w:lang w:val="pt-BR"/>
      </w:rPr>
      <w:fldChar w:fldCharType="begin"/>
    </w:r>
    <w:r>
      <w:rPr>
        <w:lang w:val="pt-BR"/>
      </w:rPr>
      <w:instrText xml:space="preserve"> NUMPAGES </w:instrText>
    </w:r>
    <w:r>
      <w:rPr>
        <w:lang w:val="pt-BR"/>
      </w:rPr>
      <w:fldChar w:fldCharType="separate"/>
    </w:r>
    <w:r>
      <w:rPr>
        <w:noProof/>
        <w:lang w:val="pt-BR"/>
      </w:rPr>
      <w:t>190</w:t>
    </w:r>
    <w:r>
      <w:rPr>
        <w:lang w:val="pt-BR"/>
      </w:rPr>
      <w:fldChar w:fldCharType="end"/>
    </w:r>
    <w:r>
      <w:rPr>
        <w:rFonts w:ascii="Trebuchet MS" w:hAnsi="Trebuchet MS"/>
        <w:color w:val="808080"/>
        <w:sz w:val="14"/>
        <w:lang w:val="pt-BR"/>
      </w:rPr>
      <w:t xml:space="preserve"> Publicado em abril de 2009</w:t>
    </w:r>
  </w:p>
  <w:p w:rsidR="00047BB8" w:rsidRPr="002007C4" w:rsidRDefault="00722CAE">
    <w:pPr>
      <w:pStyle w:val="Footer"/>
      <w:pBdr>
        <w:top w:val="single" w:sz="6" w:space="1" w:color="808080"/>
      </w:pBdr>
      <w:tabs>
        <w:tab w:val="clear" w:pos="5155"/>
        <w:tab w:val="clear" w:pos="10325"/>
        <w:tab w:val="right" w:pos="10620"/>
      </w:tabs>
      <w:ind w:left="-540"/>
      <w:rPr>
        <w:rFonts w:ascii="Verdana" w:hAnsi="Verdana"/>
        <w:color w:val="808080"/>
        <w:sz w:val="16"/>
        <w:lang w:val="it-IT"/>
      </w:rPr>
    </w:pPr>
    <w:r>
      <w:rPr>
        <w:rFonts w:ascii="Trebuchet MS" w:hAnsi="Trebuchet MS"/>
        <w:color w:val="808080"/>
        <w:sz w:val="14"/>
        <w:lang w:val="pt-BR"/>
      </w:rPr>
      <w:t xml:space="preserve">Microsoft </w:t>
    </w:r>
    <w:r>
      <w:rPr>
        <w:rFonts w:asci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Pr>
        <w:rFonts w:ascii="Trebuchet MS"/>
        <w:color w:val="808080"/>
        <w:sz w:val="14"/>
        <w:lang w:val="pt-BR"/>
      </w:rPr>
      <w:t>í</w:t>
    </w:r>
    <w:r>
      <w:rPr>
        <w:rFonts w:ascii="Trebuchet MS" w:hAnsi="Trebuchet MS"/>
        <w:color w:val="808080"/>
        <w:sz w:val="14"/>
        <w:lang w:val="pt-BR"/>
      </w:rPr>
      <w:t>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Default="00722CAE" w:rsidP="00CD20D3"/>
  <w:p w:rsidR="00047BB8" w:rsidRPr="00865B8D" w:rsidRDefault="00722CAE" w:rsidP="00CD20D3">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2013 Microsoft Corporation.</w:t>
    </w:r>
    <w:r w:rsidRPr="00865B8D">
      <w:rPr>
        <w:rFonts w:ascii="Trebuchet MS" w:hAnsi="Trebuchet MS"/>
        <w:color w:val="808080"/>
        <w:sz w:val="14"/>
        <w:lang w:val="pt-BR"/>
      </w:rPr>
      <w:t xml:space="preserve"> Todos os direitos reservados.</w:t>
    </w:r>
    <w:r w:rsidRPr="00865B8D">
      <w:rPr>
        <w:rFonts w:ascii="Trebuchet MS" w:hAnsi="Trebuchet MS"/>
        <w:color w:val="808080"/>
        <w:sz w:val="14"/>
        <w:lang w:val="pt-BR"/>
      </w:rPr>
      <w:tab/>
    </w:r>
    <w:r>
      <w:rPr>
        <w:rFonts w:ascii="Trebuchet MS" w:hAnsi="Trebuchet MS"/>
        <w:color w:val="808080"/>
        <w:sz w:val="14"/>
        <w:lang w:val="pt-BR"/>
      </w:rPr>
      <w:t xml:space="preserve">Página </w:t>
    </w:r>
    <w:r w:rsidRPr="00865B8D">
      <w:rPr>
        <w:rFonts w:cs="Arial Narrow"/>
        <w:noProof/>
        <w:lang w:val="pt-BR"/>
      </w:rPr>
      <w:fldChar w:fldCharType="begin"/>
    </w:r>
    <w:r w:rsidRPr="00865B8D">
      <w:rPr>
        <w:rFonts w:cs="Arial Narrow"/>
        <w:noProof/>
        <w:lang w:val="pt-BR"/>
      </w:rPr>
      <w:instrText xml:space="preserve"> PAGE </w:instrText>
    </w:r>
    <w:r w:rsidRPr="00865B8D">
      <w:rPr>
        <w:rFonts w:cs="Arial Narrow"/>
        <w:noProof/>
        <w:lang w:val="pt-BR"/>
      </w:rPr>
      <w:fldChar w:fldCharType="separate"/>
    </w:r>
    <w:r w:rsidR="008B1196">
      <w:rPr>
        <w:rFonts w:cs="Arial Narrow"/>
        <w:noProof/>
        <w:lang w:val="pt-BR"/>
      </w:rPr>
      <w:t>1</w:t>
    </w:r>
    <w:r w:rsidRPr="00865B8D">
      <w:rPr>
        <w:rFonts w:cs="Arial Narrow"/>
        <w:noProof/>
        <w:lang w:val="pt-BR"/>
      </w:rPr>
      <w:fldChar w:fldCharType="end"/>
    </w:r>
    <w:r>
      <w:rPr>
        <w:rFonts w:ascii="Trebuchet MS" w:hAnsi="Trebuchet MS"/>
        <w:color w:val="808080"/>
        <w:sz w:val="14"/>
        <w:lang w:val="pt-BR"/>
      </w:rPr>
      <w:t xml:space="preserve"> de </w:t>
    </w:r>
    <w:r w:rsidRPr="00865B8D">
      <w:rPr>
        <w:rFonts w:cs="Arial Narrow"/>
        <w:noProof/>
        <w:lang w:val="pt-BR"/>
      </w:rPr>
      <w:fldChar w:fldCharType="begin"/>
    </w:r>
    <w:r w:rsidRPr="00865B8D">
      <w:rPr>
        <w:rFonts w:cs="Arial Narrow"/>
        <w:noProof/>
        <w:lang w:val="pt-BR"/>
      </w:rPr>
      <w:instrText xml:space="preserve"> NUMPAGES </w:instrText>
    </w:r>
    <w:r w:rsidRPr="00865B8D">
      <w:rPr>
        <w:rFonts w:cs="Arial Narrow"/>
        <w:noProof/>
        <w:lang w:val="pt-BR"/>
      </w:rPr>
      <w:fldChar w:fldCharType="separate"/>
    </w:r>
    <w:r w:rsidR="008B1196">
      <w:rPr>
        <w:rFonts w:cs="Arial Narrow"/>
        <w:noProof/>
        <w:lang w:val="pt-BR"/>
      </w:rPr>
      <w:t>1</w:t>
    </w:r>
    <w:r w:rsidRPr="00865B8D">
      <w:rPr>
        <w:rFonts w:cs="Arial Narrow"/>
        <w:noProof/>
        <w:lang w:val="pt-BR"/>
      </w:rPr>
      <w:fldChar w:fldCharType="end"/>
    </w:r>
    <w:r>
      <w:rPr>
        <w:rFonts w:ascii="Trebuchet MS" w:hAnsi="Trebuchet MS"/>
        <w:color w:val="808080"/>
        <w:sz w:val="14"/>
        <w:lang w:val="pt-BR"/>
      </w:rPr>
      <w:t xml:space="preserve"> Publicado em Janeiro de 2013</w:t>
    </w:r>
  </w:p>
  <w:p w:rsidR="00047BB8" w:rsidRPr="00865B8D" w:rsidRDefault="00722CAE" w:rsidP="00CD20D3">
    <w:pPr>
      <w:pStyle w:val="Footer"/>
      <w:rPr>
        <w:rFonts w:ascii="Trebuchet MS" w:hAnsi="Trebuchet MS"/>
        <w:color w:val="808080"/>
        <w:sz w:val="14"/>
        <w:lang w:val="pt-BR"/>
      </w:rPr>
    </w:pPr>
    <w:r>
      <w:rPr>
        <w:rFonts w:ascii="Trebuchet MS" w:hAnsi="Trebuchet MS"/>
        <w:color w:val="808080"/>
        <w:sz w:val="14"/>
        <w:lang w:val="pt-BR"/>
      </w:rPr>
      <w:t xml:space="preserve">Microsoft </w:t>
    </w:r>
    <w:r w:rsidRPr="00865B8D">
      <w:rPr>
        <w:rFonts w:ascii="Trebuchet MS" w:hAnsi="Trebuchet MS"/>
        <w:color w:val="808080"/>
        <w:sz w:val="14"/>
        <w:lang w:val="pt-BR"/>
      </w:rPr>
      <w:t>é</w:t>
    </w:r>
    <w:r>
      <w:rPr>
        <w:rFonts w:ascii="Trebuchet MS" w:hAnsi="Trebuchet MS"/>
        <w:color w:val="808080"/>
        <w:sz w:val="14"/>
        <w:lang w:val="pt-BR"/>
      </w:rPr>
      <w:t xml:space="preserve"> marca comercial re</w:t>
    </w:r>
    <w:r>
      <w:rPr>
        <w:rFonts w:ascii="Trebuchet MS" w:hAnsi="Trebuchet MS"/>
        <w:color w:val="808080"/>
        <w:sz w:val="14"/>
        <w:lang w:val="pt-BR"/>
      </w:rPr>
      <w:t>gistrada da Microsoft Corporation nos Estados Unidos e/ou em outros pa</w:t>
    </w:r>
    <w:r w:rsidRPr="00865B8D">
      <w:rPr>
        <w:rFonts w:ascii="Trebuchet MS" w:hAnsi="Trebuchet MS"/>
        <w:color w:val="808080"/>
        <w:sz w:val="14"/>
        <w:lang w:val="pt-BR"/>
      </w:rPr>
      <w:t>í</w:t>
    </w:r>
    <w:r>
      <w:rPr>
        <w:rFonts w:ascii="Trebuchet MS" w:hAnsi="Trebuchet MS"/>
        <w:color w:val="808080"/>
        <w:sz w:val="14"/>
        <w:lang w:val="pt-BR"/>
      </w:rPr>
      <w:t>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Default="00722CAE" w:rsidP="00CD20D3"/>
  <w:p w:rsidR="00047BB8" w:rsidRPr="00865B8D" w:rsidRDefault="00722CAE" w:rsidP="00CD20D3">
    <w:pPr>
      <w:pStyle w:val="Footer"/>
      <w:pBdr>
        <w:top w:val="single" w:sz="6" w:space="1" w:color="808080"/>
      </w:pBdr>
      <w:tabs>
        <w:tab w:val="clear" w:pos="5155"/>
        <w:tab w:val="clear" w:pos="10325"/>
        <w:tab w:val="right" w:pos="9356"/>
      </w:tabs>
      <w:rPr>
        <w:rFonts w:ascii="Trebuchet MS" w:hAnsi="Trebuchet MS"/>
        <w:color w:val="808080"/>
        <w:sz w:val="14"/>
        <w:lang w:val="pt-BR"/>
      </w:rPr>
    </w:pPr>
    <w:r>
      <w:rPr>
        <w:rFonts w:ascii="Trebuchet MS" w:hAnsi="Trebuchet MS"/>
        <w:color w:val="808080"/>
        <w:sz w:val="14"/>
        <w:lang w:val="pt-BR"/>
      </w:rPr>
      <w:t>© 2013 Microsoft Corporation.</w:t>
    </w:r>
    <w:r w:rsidRPr="00865B8D">
      <w:rPr>
        <w:rFonts w:ascii="Trebuchet MS" w:hAnsi="Trebuchet MS"/>
        <w:color w:val="808080"/>
        <w:sz w:val="14"/>
        <w:lang w:val="pt-BR"/>
      </w:rPr>
      <w:t xml:space="preserve"> Todos os direitos reservados.</w:t>
    </w:r>
    <w:r w:rsidRPr="00865B8D">
      <w:rPr>
        <w:rFonts w:ascii="Trebuchet MS" w:hAnsi="Trebuchet MS"/>
        <w:color w:val="808080"/>
        <w:sz w:val="14"/>
        <w:lang w:val="pt-BR"/>
      </w:rPr>
      <w:tab/>
    </w:r>
    <w:r>
      <w:rPr>
        <w:rFonts w:ascii="Trebuchet MS" w:hAnsi="Trebuchet MS"/>
        <w:color w:val="808080"/>
        <w:sz w:val="14"/>
        <w:lang w:val="pt-BR"/>
      </w:rPr>
      <w:t xml:space="preserve">Página </w:t>
    </w:r>
    <w:r w:rsidRPr="00865B8D">
      <w:rPr>
        <w:rFonts w:cs="Arial Narrow"/>
        <w:noProof/>
        <w:lang w:val="pt-BR"/>
      </w:rPr>
      <w:fldChar w:fldCharType="begin"/>
    </w:r>
    <w:r w:rsidRPr="00865B8D">
      <w:rPr>
        <w:rFonts w:cs="Arial Narrow"/>
        <w:noProof/>
        <w:lang w:val="pt-BR"/>
      </w:rPr>
      <w:instrText xml:space="preserve"> PAGE </w:instrText>
    </w:r>
    <w:r w:rsidRPr="00865B8D">
      <w:rPr>
        <w:rFonts w:cs="Arial Narrow"/>
        <w:noProof/>
        <w:lang w:val="pt-BR"/>
      </w:rPr>
      <w:fldChar w:fldCharType="separate"/>
    </w:r>
    <w:r w:rsidR="008B1196">
      <w:rPr>
        <w:rFonts w:cs="Arial Narrow"/>
        <w:noProof/>
        <w:lang w:val="pt-BR"/>
      </w:rPr>
      <w:t>190</w:t>
    </w:r>
    <w:r w:rsidRPr="00865B8D">
      <w:rPr>
        <w:rFonts w:cs="Arial Narrow"/>
        <w:noProof/>
        <w:lang w:val="pt-BR"/>
      </w:rPr>
      <w:fldChar w:fldCharType="end"/>
    </w:r>
    <w:r>
      <w:rPr>
        <w:rFonts w:ascii="Trebuchet MS" w:hAnsi="Trebuchet MS"/>
        <w:color w:val="808080"/>
        <w:sz w:val="14"/>
        <w:lang w:val="pt-BR"/>
      </w:rPr>
      <w:t xml:space="preserve"> de </w:t>
    </w:r>
    <w:r w:rsidRPr="00865B8D">
      <w:rPr>
        <w:rFonts w:cs="Arial Narrow"/>
        <w:noProof/>
        <w:lang w:val="pt-BR"/>
      </w:rPr>
      <w:fldChar w:fldCharType="begin"/>
    </w:r>
    <w:r w:rsidRPr="00865B8D">
      <w:rPr>
        <w:rFonts w:cs="Arial Narrow"/>
        <w:noProof/>
        <w:lang w:val="pt-BR"/>
      </w:rPr>
      <w:instrText xml:space="preserve"> NUMPAGES </w:instrText>
    </w:r>
    <w:r w:rsidRPr="00865B8D">
      <w:rPr>
        <w:rFonts w:cs="Arial Narrow"/>
        <w:noProof/>
        <w:lang w:val="pt-BR"/>
      </w:rPr>
      <w:fldChar w:fldCharType="separate"/>
    </w:r>
    <w:r w:rsidR="008B1196">
      <w:rPr>
        <w:rFonts w:cs="Arial Narrow"/>
        <w:noProof/>
        <w:lang w:val="pt-BR"/>
      </w:rPr>
      <w:t>190</w:t>
    </w:r>
    <w:r w:rsidRPr="00865B8D">
      <w:rPr>
        <w:rFonts w:cs="Arial Narrow"/>
        <w:noProof/>
        <w:lang w:val="pt-BR"/>
      </w:rPr>
      <w:fldChar w:fldCharType="end"/>
    </w:r>
    <w:r>
      <w:rPr>
        <w:rFonts w:ascii="Trebuchet MS" w:hAnsi="Trebuchet MS"/>
        <w:color w:val="808080"/>
        <w:sz w:val="14"/>
        <w:lang w:val="pt-BR"/>
      </w:rPr>
      <w:t xml:space="preserve"> Publicado em Janeiro de 2013</w:t>
    </w:r>
  </w:p>
  <w:p w:rsidR="00047BB8" w:rsidRPr="00865B8D" w:rsidRDefault="00722CAE" w:rsidP="00CD20D3">
    <w:pPr>
      <w:pStyle w:val="Footer"/>
      <w:rPr>
        <w:rFonts w:ascii="Trebuchet MS" w:hAnsi="Trebuchet MS"/>
        <w:color w:val="808080"/>
        <w:sz w:val="14"/>
        <w:lang w:val="pt-BR"/>
      </w:rPr>
    </w:pPr>
    <w:r>
      <w:rPr>
        <w:rFonts w:ascii="Trebuchet MS" w:hAnsi="Trebuchet MS"/>
        <w:color w:val="808080"/>
        <w:sz w:val="14"/>
        <w:lang w:val="pt-BR"/>
      </w:rPr>
      <w:t xml:space="preserve">Microsoft </w:t>
    </w:r>
    <w:r w:rsidRPr="00865B8D">
      <w:rPr>
        <w:rFonts w:ascii="Trebuchet MS" w:hAnsi="Trebuchet MS"/>
        <w:color w:val="808080"/>
        <w:sz w:val="14"/>
        <w:lang w:val="pt-BR"/>
      </w:rPr>
      <w:t>é</w:t>
    </w:r>
    <w:r>
      <w:rPr>
        <w:rFonts w:ascii="Trebuchet MS" w:hAnsi="Trebuchet MS"/>
        <w:color w:val="808080"/>
        <w:sz w:val="14"/>
        <w:lang w:val="pt-BR"/>
      </w:rPr>
      <w:t xml:space="preserve"> marca comercial registrada da Microsoft Corporation nos</w:t>
    </w:r>
    <w:r>
      <w:rPr>
        <w:rFonts w:ascii="Trebuchet MS" w:hAnsi="Trebuchet MS"/>
        <w:color w:val="808080"/>
        <w:sz w:val="14"/>
        <w:lang w:val="pt-BR"/>
      </w:rPr>
      <w:t xml:space="preserve"> Estados Unidos e/ou em outros pa</w:t>
    </w:r>
    <w:r w:rsidRPr="00865B8D">
      <w:rPr>
        <w:rFonts w:ascii="Trebuchet MS" w:hAnsi="Trebuchet MS"/>
        <w:color w:val="808080"/>
        <w:sz w:val="14"/>
        <w:lang w:val="pt-BR"/>
      </w:rPr>
      <w:t>í</w:t>
    </w:r>
    <w:r>
      <w:rPr>
        <w:rFonts w:ascii="Trebuchet MS" w:hAnsi="Trebuchet MS"/>
        <w:color w:val="808080"/>
        <w:sz w:val="14"/>
        <w:lang w:val="pt-BR"/>
      </w:rPr>
      <w:t>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Default="00722CAE"/>
  <w:p w:rsidR="00047BB8" w:rsidRPr="002007C4" w:rsidRDefault="00722CAE">
    <w:pPr>
      <w:pStyle w:val="Footer"/>
      <w:pBdr>
        <w:top w:val="single" w:sz="6" w:space="1" w:color="808080"/>
      </w:pBdr>
      <w:tabs>
        <w:tab w:val="clear" w:pos="5155"/>
        <w:tab w:val="clear" w:pos="10325"/>
        <w:tab w:val="right" w:pos="10620"/>
      </w:tabs>
      <w:rPr>
        <w:rFonts w:ascii="Trebuchet MS" w:hAnsi="Trebuchet MS"/>
        <w:color w:val="808080"/>
        <w:sz w:val="14"/>
        <w:lang w:val="it-IT"/>
      </w:rPr>
    </w:pPr>
    <w:r>
      <w:rPr>
        <w:rFonts w:ascii="Trebuchet MS" w:hAnsi="Trebuchet MS"/>
        <w:color w:val="808080"/>
        <w:sz w:val="14"/>
        <w:lang w:val="pt-BR"/>
      </w:rPr>
      <w:t xml:space="preserve">© 2009 Microsoft Corporation.Todos os direitos reservados.Página </w:t>
    </w:r>
    <w:r>
      <w:rPr>
        <w:lang w:val="pt-BR"/>
      </w:rPr>
      <w:fldChar w:fldCharType="begin"/>
    </w:r>
    <w:r>
      <w:rPr>
        <w:lang w:val="pt-BR"/>
      </w:rPr>
      <w:instrText xml:space="preserve"> PAGE </w:instrText>
    </w:r>
    <w:r>
      <w:rPr>
        <w:lang w:val="pt-BR"/>
      </w:rPr>
      <w:fldChar w:fldCharType="separate"/>
    </w:r>
    <w:r>
      <w:rPr>
        <w:noProof/>
        <w:lang w:val="pt-BR"/>
      </w:rPr>
      <w:t>1</w:t>
    </w:r>
    <w:r>
      <w:rPr>
        <w:lang w:val="pt-BR"/>
      </w:rPr>
      <w:fldChar w:fldCharType="end"/>
    </w:r>
    <w:r>
      <w:rPr>
        <w:rFonts w:ascii="Trebuchet MS" w:hAnsi="Trebuchet MS"/>
        <w:color w:val="808080"/>
        <w:sz w:val="14"/>
        <w:lang w:val="pt-BR"/>
      </w:rPr>
      <w:t xml:space="preserve"> de </w:t>
    </w:r>
    <w:r>
      <w:rPr>
        <w:lang w:val="pt-BR"/>
      </w:rPr>
      <w:fldChar w:fldCharType="begin"/>
    </w:r>
    <w:r>
      <w:rPr>
        <w:lang w:val="pt-BR"/>
      </w:rPr>
      <w:instrText xml:space="preserve"> NUMPAGES </w:instrText>
    </w:r>
    <w:r>
      <w:rPr>
        <w:lang w:val="pt-BR"/>
      </w:rPr>
      <w:fldChar w:fldCharType="separate"/>
    </w:r>
    <w:r>
      <w:rPr>
        <w:noProof/>
        <w:lang w:val="pt-BR"/>
      </w:rPr>
      <w:t>190</w:t>
    </w:r>
    <w:r>
      <w:rPr>
        <w:lang w:val="pt-BR"/>
      </w:rPr>
      <w:fldChar w:fldCharType="end"/>
    </w:r>
    <w:r>
      <w:rPr>
        <w:rFonts w:ascii="Trebuchet MS" w:hAnsi="Trebuchet MS"/>
        <w:color w:val="808080"/>
        <w:sz w:val="14"/>
        <w:lang w:val="pt-BR"/>
      </w:rPr>
      <w:t xml:space="preserve"> Publicado em maio de 2009</w:t>
    </w:r>
  </w:p>
  <w:p w:rsidR="00047BB8" w:rsidRPr="002007C4" w:rsidRDefault="00722CAE">
    <w:pPr>
      <w:pStyle w:val="Footer"/>
      <w:rPr>
        <w:rFonts w:ascii="Verdana" w:hAnsi="Verdana"/>
        <w:color w:val="808080"/>
        <w:sz w:val="16"/>
        <w:lang w:val="it-IT"/>
      </w:rPr>
    </w:pPr>
    <w:r>
      <w:rPr>
        <w:rFonts w:ascii="Trebuchet MS" w:hAnsi="Trebuchet MS"/>
        <w:color w:val="808080"/>
        <w:sz w:val="14"/>
        <w:lang w:val="pt-BR"/>
      </w:rPr>
      <w:t xml:space="preserve">Microsoft </w:t>
    </w:r>
    <w:r>
      <w:rPr>
        <w:rFonts w:ascii="Trebuchet MS"/>
        <w:color w:val="808080"/>
        <w:sz w:val="14"/>
        <w:lang w:val="pt-BR"/>
      </w:rPr>
      <w:t>é</w:t>
    </w:r>
    <w:r>
      <w:rPr>
        <w:rFonts w:ascii="Trebuchet MS" w:hAnsi="Trebuchet MS"/>
        <w:color w:val="808080"/>
        <w:sz w:val="14"/>
        <w:lang w:val="pt-BR"/>
      </w:rPr>
      <w:t xml:space="preserve"> marca comercial registrada da Microsoft Corporation nos Estados Unidos e/ou em outros pa</w:t>
    </w:r>
    <w:r>
      <w:rPr>
        <w:rFonts w:ascii="Trebuchet MS"/>
        <w:color w:val="808080"/>
        <w:sz w:val="14"/>
        <w:lang w:val="pt-BR"/>
      </w:rPr>
      <w:t>í</w:t>
    </w:r>
    <w:r>
      <w:rPr>
        <w:rFonts w:ascii="Trebuchet MS" w:hAnsi="Trebuchet MS"/>
        <w:color w:val="808080"/>
        <w:sz w:val="14"/>
        <w:lang w:val="pt-BR"/>
      </w:rPr>
      <w:t>ses.</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Default="00722CAE" w:rsidP="005B1199">
    <w:pPr>
      <w:pStyle w:val="Header"/>
      <w:tabs>
        <w:tab w:val="clear" w:pos="3240"/>
      </w:tabs>
      <w:ind w:firstLine="2160"/>
      <w:jc w:val="left"/>
    </w:pPr>
    <w:r>
      <w:rPr>
        <w:noProof/>
      </w:rPr>
      <mc:AlternateContent>
        <mc:Choice Requires="wps">
          <w:drawing>
            <wp:anchor distT="0" distB="0" distL="114300" distR="114300" simplePos="0" relativeHeight="251661312" behindDoc="0" locked="0" layoutInCell="0" allowOverlap="1" wp14:anchorId="1901775F" wp14:editId="684D41FD">
              <wp:simplePos x="0" y="0"/>
              <wp:positionH relativeFrom="column">
                <wp:posOffset>-314325</wp:posOffset>
              </wp:positionH>
              <wp:positionV relativeFrom="paragraph">
                <wp:posOffset>-139700</wp:posOffset>
              </wp:positionV>
              <wp:extent cx="2088515" cy="605790"/>
              <wp:effectExtent l="0" t="0" r="0" b="381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8515" cy="6057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7BB8" w:rsidRDefault="00722CAE" w:rsidP="005B1199">
                          <w:r>
                            <w:rPr>
                              <w:rFonts w:cs="Tahoma"/>
                              <w:noProof/>
                              <w:szCs w:val="18"/>
                            </w:rPr>
                            <w:drawing>
                              <wp:inline distT="0" distB="0" distL="0" distR="0" wp14:anchorId="4DEA53E0" wp14:editId="31A0A180">
                                <wp:extent cx="1898015" cy="509270"/>
                                <wp:effectExtent l="0" t="0" r="6985" b="5080"/>
                                <wp:docPr id="7" name="Picture 7" descr="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30" type="#_x0000_t202" style="position:absolute;left:0;text-align:left;margin-left:-24.75pt;margin-top:-11pt;width:164.45pt;height:47.7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elHswIAALk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" o:allowincell="f" filled="f" stroked="f">
              <v:textbox style="mso-fit-shape-to-text:t">
                <w:txbxContent>
                  <w:p w:rsidR="00047BB8" w:rsidRDefault="00722CAE" w:rsidP="005B1199">
                    <w:r>
                      <w:rPr>
                        <w:rFonts w:cs="Tahoma"/>
                        <w:noProof/>
                        <w:szCs w:val="18"/>
                      </w:rPr>
                      <w:drawing>
                        <wp:inline distT="0" distB="0" distL="0" distR="0" wp14:anchorId="4DEA53E0" wp14:editId="31A0A180">
                          <wp:extent cx="1898015" cy="509270"/>
                          <wp:effectExtent l="0" t="0" r="6985" b="5080"/>
                          <wp:docPr id="7" name="Picture 7" descr="logo(PT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logo(PTB)"/>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8015" cy="509270"/>
                                  </a:xfrm>
                                  <a:prstGeom prst="rect">
                                    <a:avLst/>
                                  </a:prstGeom>
                                  <a:noFill/>
                                  <a:ln>
                                    <a:noFill/>
                                  </a:ln>
                                </pic:spPr>
                              </pic:pic>
                            </a:graphicData>
                          </a:graphic>
                        </wp:inline>
                      </w:drawing>
                    </w:r>
                  </w:p>
                </w:txbxContent>
              </v:textbox>
            </v:shape>
          </w:pict>
        </mc:Fallback>
      </mc:AlternateContent>
    </w:r>
  </w:p>
  <w:p w:rsidR="00047BB8" w:rsidRDefault="00722CAE" w:rsidP="005B1199">
    <w:r>
      <w:rPr>
        <w:noProof/>
      </w:rPr>
      <mc:AlternateContent>
        <mc:Choice Requires="wps">
          <w:drawing>
            <wp:anchor distT="4294967295" distB="4294967295" distL="114300" distR="114300" simplePos="0" relativeHeight="251660288" behindDoc="0" locked="0" layoutInCell="0" allowOverlap="1" wp14:anchorId="755C12F3" wp14:editId="684FE8CA">
              <wp:simplePos x="0" y="0"/>
              <wp:positionH relativeFrom="column">
                <wp:posOffset>-23495</wp:posOffset>
              </wp:positionH>
              <wp:positionV relativeFrom="paragraph">
                <wp:posOffset>70484</wp:posOffset>
              </wp:positionV>
              <wp:extent cx="6931025" cy="0"/>
              <wp:effectExtent l="0" t="0" r="22225" b="1905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4"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smXHQIAADgEAAAOAAAAZHJzL2Uyb0RvYy54bWysU02P2yAQvVfqf0DcE9uJN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Default="00722CAE" w:rsidP="00911BEF">
    <w:pPr>
      <w:ind w:rightChars="185" w:right="333"/>
    </w:pPr>
  </w:p>
  <w:p w:rsidR="00047BB8" w:rsidRDefault="00722CAE" w:rsidP="00911BEF">
    <w:pPr>
      <w:ind w:rightChars="185" w:right="333"/>
    </w:pPr>
  </w:p>
  <w:p w:rsidR="00047BB8" w:rsidRDefault="00722CAE" w:rsidP="00911BEF">
    <w:pPr>
      <w:ind w:rightChars="185" w:right="333"/>
    </w:pPr>
    <w:r>
      <w:rPr>
        <w:noProof/>
      </w:rPr>
      <w:drawing>
        <wp:anchor distT="0" distB="0" distL="114300" distR="114300" simplePos="0" relativeHeight="251659264" behindDoc="0" locked="0" layoutInCell="1" allowOverlap="1" wp14:anchorId="54D7B1FB" wp14:editId="71D3DC26">
          <wp:simplePos x="0" y="0"/>
          <wp:positionH relativeFrom="margin">
            <wp:align>center</wp:align>
          </wp:positionH>
          <wp:positionV relativeFrom="paragraph">
            <wp:posOffset>15240</wp:posOffset>
          </wp:positionV>
          <wp:extent cx="5734050" cy="561975"/>
          <wp:effectExtent l="0" t="0" r="0" b="9525"/>
          <wp:wrapNone/>
          <wp:docPr id="4" name="Picture 4"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047BB8" w:rsidRDefault="00722CAE" w:rsidP="00EB7E3B">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BB8" w:rsidRDefault="00722CAE" w:rsidP="008B1196">
    <w:pPr>
      <w:ind w:rightChars="185" w:right="333"/>
    </w:pPr>
  </w:p>
  <w:p w:rsidR="00047BB8" w:rsidRDefault="00722CAE">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21FE8980"/>
    <w:lvl w:ilvl="0">
      <w:start w:val="1"/>
      <w:numFmt w:val="bullet"/>
      <w:lvlText w:val=""/>
      <w:lvlJc w:val="left"/>
      <w:pPr>
        <w:tabs>
          <w:tab w:val="num" w:pos="1080"/>
        </w:tabs>
        <w:ind w:left="1080" w:hanging="360"/>
      </w:pPr>
      <w:rPr>
        <w:rFonts w:ascii="Symbol" w:hAnsi="Symbol" w:hint="default"/>
      </w:rPr>
    </w:lvl>
  </w:abstractNum>
  <w:abstractNum w:abstractNumId="1">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
    <w:nsid w:val="04030D64"/>
    <w:multiLevelType w:val="hybridMultilevel"/>
    <w:tmpl w:val="C81C5BEA"/>
    <w:lvl w:ilvl="0" w:tplc="04090017">
      <w:start w:val="1"/>
      <w:numFmt w:val="lowerLetter"/>
      <w:lvlText w:val="%1)"/>
      <w:lvlJc w:val="left"/>
      <w:pPr>
        <w:ind w:left="2880" w:hanging="360"/>
      </w:pPr>
      <w:rPr>
        <w:rFonts w:cs="Times New Roman"/>
      </w:rPr>
    </w:lvl>
    <w:lvl w:ilvl="1" w:tplc="04090019" w:tentative="1">
      <w:start w:val="1"/>
      <w:numFmt w:val="lowerLetter"/>
      <w:lvlText w:val="%2."/>
      <w:lvlJc w:val="left"/>
      <w:pPr>
        <w:ind w:left="3600" w:hanging="360"/>
      </w:pPr>
      <w:rPr>
        <w:rFonts w:cs="Times New Roman"/>
      </w:rPr>
    </w:lvl>
    <w:lvl w:ilvl="2" w:tplc="0409001B" w:tentative="1">
      <w:start w:val="1"/>
      <w:numFmt w:val="lowerRoman"/>
      <w:lvlText w:val="%3."/>
      <w:lvlJc w:val="right"/>
      <w:pPr>
        <w:ind w:left="4320" w:hanging="180"/>
      </w:pPr>
      <w:rPr>
        <w:rFonts w:cs="Times New Roman"/>
      </w:rPr>
    </w:lvl>
    <w:lvl w:ilvl="3" w:tplc="0409000F" w:tentative="1">
      <w:start w:val="1"/>
      <w:numFmt w:val="decimal"/>
      <w:lvlText w:val="%4."/>
      <w:lvlJc w:val="left"/>
      <w:pPr>
        <w:ind w:left="5040" w:hanging="360"/>
      </w:pPr>
      <w:rPr>
        <w:rFonts w:cs="Times New Roman"/>
      </w:rPr>
    </w:lvl>
    <w:lvl w:ilvl="4" w:tplc="04090019" w:tentative="1">
      <w:start w:val="1"/>
      <w:numFmt w:val="lowerLetter"/>
      <w:lvlText w:val="%5."/>
      <w:lvlJc w:val="left"/>
      <w:pPr>
        <w:ind w:left="5760" w:hanging="360"/>
      </w:pPr>
      <w:rPr>
        <w:rFonts w:cs="Times New Roman"/>
      </w:rPr>
    </w:lvl>
    <w:lvl w:ilvl="5" w:tplc="0409001B" w:tentative="1">
      <w:start w:val="1"/>
      <w:numFmt w:val="lowerRoman"/>
      <w:lvlText w:val="%6."/>
      <w:lvlJc w:val="right"/>
      <w:pPr>
        <w:ind w:left="6480" w:hanging="180"/>
      </w:pPr>
      <w:rPr>
        <w:rFonts w:cs="Times New Roman"/>
      </w:rPr>
    </w:lvl>
    <w:lvl w:ilvl="6" w:tplc="0409000F" w:tentative="1">
      <w:start w:val="1"/>
      <w:numFmt w:val="decimal"/>
      <w:lvlText w:val="%7."/>
      <w:lvlJc w:val="left"/>
      <w:pPr>
        <w:ind w:left="7200" w:hanging="360"/>
      </w:pPr>
      <w:rPr>
        <w:rFonts w:cs="Times New Roman"/>
      </w:rPr>
    </w:lvl>
    <w:lvl w:ilvl="7" w:tplc="04090019" w:tentative="1">
      <w:start w:val="1"/>
      <w:numFmt w:val="lowerLetter"/>
      <w:lvlText w:val="%8."/>
      <w:lvlJc w:val="left"/>
      <w:pPr>
        <w:ind w:left="7920" w:hanging="360"/>
      </w:pPr>
      <w:rPr>
        <w:rFonts w:cs="Times New Roman"/>
      </w:rPr>
    </w:lvl>
    <w:lvl w:ilvl="8" w:tplc="0409001B" w:tentative="1">
      <w:start w:val="1"/>
      <w:numFmt w:val="lowerRoman"/>
      <w:lvlText w:val="%9."/>
      <w:lvlJc w:val="right"/>
      <w:pPr>
        <w:ind w:left="8640" w:hanging="180"/>
      </w:pPr>
      <w:rPr>
        <w:rFonts w:cs="Times New Roman"/>
      </w:rPr>
    </w:lvl>
  </w:abstractNum>
  <w:abstractNum w:abstractNumId="8">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rPr>
        <w:rFonts w:cs="Times New Roman"/>
      </w:rPr>
    </w:lvl>
    <w:lvl w:ilvl="1" w:tplc="04090019" w:tentative="1">
      <w:start w:val="1"/>
      <w:numFmt w:val="lowerLetter"/>
      <w:lvlText w:val="%2."/>
      <w:lvlJc w:val="left"/>
      <w:pPr>
        <w:ind w:left="4320" w:hanging="360"/>
      </w:pPr>
      <w:rPr>
        <w:rFonts w:cs="Times New Roman"/>
      </w:rPr>
    </w:lvl>
    <w:lvl w:ilvl="2" w:tplc="0409001B" w:tentative="1">
      <w:start w:val="1"/>
      <w:numFmt w:val="lowerRoman"/>
      <w:lvlText w:val="%3."/>
      <w:lvlJc w:val="right"/>
      <w:pPr>
        <w:ind w:left="5040" w:hanging="180"/>
      </w:pPr>
      <w:rPr>
        <w:rFonts w:cs="Times New Roman"/>
      </w:rPr>
    </w:lvl>
    <w:lvl w:ilvl="3" w:tplc="0409000F" w:tentative="1">
      <w:start w:val="1"/>
      <w:numFmt w:val="decimal"/>
      <w:lvlText w:val="%4."/>
      <w:lvlJc w:val="left"/>
      <w:pPr>
        <w:ind w:left="5760" w:hanging="360"/>
      </w:pPr>
      <w:rPr>
        <w:rFonts w:cs="Times New Roman"/>
      </w:rPr>
    </w:lvl>
    <w:lvl w:ilvl="4" w:tplc="04090019" w:tentative="1">
      <w:start w:val="1"/>
      <w:numFmt w:val="lowerLetter"/>
      <w:lvlText w:val="%5."/>
      <w:lvlJc w:val="left"/>
      <w:pPr>
        <w:ind w:left="6480" w:hanging="360"/>
      </w:pPr>
      <w:rPr>
        <w:rFonts w:cs="Times New Roman"/>
      </w:rPr>
    </w:lvl>
    <w:lvl w:ilvl="5" w:tplc="0409001B" w:tentative="1">
      <w:start w:val="1"/>
      <w:numFmt w:val="lowerRoman"/>
      <w:lvlText w:val="%6."/>
      <w:lvlJc w:val="right"/>
      <w:pPr>
        <w:ind w:left="7200" w:hanging="180"/>
      </w:pPr>
      <w:rPr>
        <w:rFonts w:cs="Times New Roman"/>
      </w:rPr>
    </w:lvl>
    <w:lvl w:ilvl="6" w:tplc="0409000F" w:tentative="1">
      <w:start w:val="1"/>
      <w:numFmt w:val="decimal"/>
      <w:lvlText w:val="%7."/>
      <w:lvlJc w:val="left"/>
      <w:pPr>
        <w:ind w:left="7920" w:hanging="360"/>
      </w:pPr>
      <w:rPr>
        <w:rFonts w:cs="Times New Roman"/>
      </w:rPr>
    </w:lvl>
    <w:lvl w:ilvl="7" w:tplc="04090019" w:tentative="1">
      <w:start w:val="1"/>
      <w:numFmt w:val="lowerLetter"/>
      <w:lvlText w:val="%8."/>
      <w:lvlJc w:val="left"/>
      <w:pPr>
        <w:ind w:left="8640" w:hanging="360"/>
      </w:pPr>
      <w:rPr>
        <w:rFonts w:cs="Times New Roman"/>
      </w:rPr>
    </w:lvl>
    <w:lvl w:ilvl="8" w:tplc="0409001B" w:tentative="1">
      <w:start w:val="1"/>
      <w:numFmt w:val="lowerRoman"/>
      <w:lvlText w:val="%9."/>
      <w:lvlJc w:val="right"/>
      <w:pPr>
        <w:ind w:left="9360" w:hanging="180"/>
      </w:pPr>
      <w:rPr>
        <w:rFonts w:cs="Times New Roman"/>
      </w:r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E109CD8"/>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A4BAECD0">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rPr>
    </w:lvl>
    <w:lvl w:ilvl="2" w:tplc="0826EDFE">
      <w:start w:val="1"/>
      <w:numFmt w:val="bullet"/>
      <w:lvlText w:val=""/>
      <w:lvlJc w:val="left"/>
      <w:pPr>
        <w:ind w:left="3060" w:hanging="180"/>
      </w:pPr>
      <w:rPr>
        <w:rFonts w:ascii="Webdings" w:hAnsi="Webdings" w:hint="default"/>
        <w:b w:val="0"/>
        <w:i w:val="0"/>
        <w:color w:val="auto"/>
        <w:sz w:val="18"/>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18"/>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rPr>
        <w:rFonts w:cs="Times New Roman"/>
      </w:rPr>
    </w:lvl>
    <w:lvl w:ilvl="2" w:tplc="0409001B" w:tentative="1">
      <w:start w:val="1"/>
      <w:numFmt w:val="lowerRoman"/>
      <w:lvlText w:val="%3."/>
      <w:lvlJc w:val="right"/>
      <w:pPr>
        <w:ind w:left="2580" w:hanging="180"/>
      </w:pPr>
      <w:rPr>
        <w:rFonts w:cs="Times New Roman"/>
      </w:rPr>
    </w:lvl>
    <w:lvl w:ilvl="3" w:tplc="0409000F" w:tentative="1">
      <w:start w:val="1"/>
      <w:numFmt w:val="decimal"/>
      <w:lvlText w:val="%4."/>
      <w:lvlJc w:val="left"/>
      <w:pPr>
        <w:ind w:left="3300" w:hanging="360"/>
      </w:pPr>
      <w:rPr>
        <w:rFonts w:cs="Times New Roman"/>
      </w:rPr>
    </w:lvl>
    <w:lvl w:ilvl="4" w:tplc="04090019" w:tentative="1">
      <w:start w:val="1"/>
      <w:numFmt w:val="lowerLetter"/>
      <w:lvlText w:val="%5."/>
      <w:lvlJc w:val="left"/>
      <w:pPr>
        <w:ind w:left="4020" w:hanging="360"/>
      </w:pPr>
      <w:rPr>
        <w:rFonts w:cs="Times New Roman"/>
      </w:rPr>
    </w:lvl>
    <w:lvl w:ilvl="5" w:tplc="0409001B" w:tentative="1">
      <w:start w:val="1"/>
      <w:numFmt w:val="lowerRoman"/>
      <w:lvlText w:val="%6."/>
      <w:lvlJc w:val="right"/>
      <w:pPr>
        <w:ind w:left="4740" w:hanging="180"/>
      </w:pPr>
      <w:rPr>
        <w:rFonts w:cs="Times New Roman"/>
      </w:rPr>
    </w:lvl>
    <w:lvl w:ilvl="6" w:tplc="0409000F" w:tentative="1">
      <w:start w:val="1"/>
      <w:numFmt w:val="decimal"/>
      <w:lvlText w:val="%7."/>
      <w:lvlJc w:val="left"/>
      <w:pPr>
        <w:ind w:left="5460" w:hanging="360"/>
      </w:pPr>
      <w:rPr>
        <w:rFonts w:cs="Times New Roman"/>
      </w:rPr>
    </w:lvl>
    <w:lvl w:ilvl="7" w:tplc="04090019" w:tentative="1">
      <w:start w:val="1"/>
      <w:numFmt w:val="lowerLetter"/>
      <w:lvlText w:val="%8."/>
      <w:lvlJc w:val="left"/>
      <w:pPr>
        <w:ind w:left="6180" w:hanging="360"/>
      </w:pPr>
      <w:rPr>
        <w:rFonts w:cs="Times New Roman"/>
      </w:rPr>
    </w:lvl>
    <w:lvl w:ilvl="8" w:tplc="0409001B" w:tentative="1">
      <w:start w:val="1"/>
      <w:numFmt w:val="lowerRoman"/>
      <w:lvlText w:val="%9."/>
      <w:lvlJc w:val="right"/>
      <w:pPr>
        <w:ind w:left="6900" w:hanging="180"/>
      </w:pPr>
      <w:rPr>
        <w:rFonts w:cs="Times New Roman"/>
      </w:r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cs="Times New Roman"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rPr>
    </w:lvl>
    <w:lvl w:ilvl="2">
      <w:start w:val="1"/>
      <w:numFmt w:val="lowerLetter"/>
      <w:lvlText w:val="%3)"/>
      <w:lvlJc w:val="left"/>
      <w:pPr>
        <w:tabs>
          <w:tab w:val="num" w:pos="1080"/>
        </w:tabs>
        <w:ind w:left="1080" w:hanging="360"/>
      </w:pPr>
      <w:rPr>
        <w:rFonts w:cs="Times New Roman" w:hint="default"/>
        <w:b/>
        <w:color w:val="auto"/>
      </w:rPr>
    </w:lvl>
    <w:lvl w:ilvl="3">
      <w:start w:val="1"/>
      <w:numFmt w:val="lowerLetter"/>
      <w:lvlText w:val="%4)"/>
      <w:lvlJc w:val="left"/>
      <w:pPr>
        <w:tabs>
          <w:tab w:val="num" w:pos="1440"/>
        </w:tabs>
        <w:ind w:left="1800" w:hanging="360"/>
      </w:pPr>
      <w:rPr>
        <w:rFonts w:cs="Times New Roman"/>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4">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FF1D91"/>
    <w:multiLevelType w:val="hybridMultilevel"/>
    <w:tmpl w:val="0386822C"/>
    <w:lvl w:ilvl="0" w:tplc="77187462">
      <w:start w:val="1"/>
      <w:numFmt w:val="decimal"/>
      <w:lvlText w:val="%1."/>
      <w:lvlJc w:val="left"/>
      <w:pPr>
        <w:ind w:left="1440" w:hanging="360"/>
      </w:pPr>
      <w:rPr>
        <w:rFonts w:cs="Times New Roman"/>
        <w:sz w:val="18"/>
        <w:szCs w:val="18"/>
      </w:rPr>
    </w:lvl>
    <w:lvl w:ilvl="1" w:tplc="04090019">
      <w:start w:val="1"/>
      <w:numFmt w:val="decimal"/>
      <w:lvlText w:val="%2."/>
      <w:lvlJc w:val="left"/>
      <w:pPr>
        <w:tabs>
          <w:tab w:val="num" w:pos="2160"/>
        </w:tabs>
        <w:ind w:left="2160" w:hanging="360"/>
      </w:pPr>
      <w:rPr>
        <w:rFonts w:cs="Times New Roman"/>
      </w:rPr>
    </w:lvl>
    <w:lvl w:ilvl="2" w:tplc="0409001B">
      <w:start w:val="1"/>
      <w:numFmt w:val="decimal"/>
      <w:lvlText w:val="%3."/>
      <w:lvlJc w:val="left"/>
      <w:pPr>
        <w:tabs>
          <w:tab w:val="num" w:pos="2880"/>
        </w:tabs>
        <w:ind w:left="2880" w:hanging="360"/>
      </w:pPr>
      <w:rPr>
        <w:rFonts w:cs="Times New Roman"/>
      </w:rPr>
    </w:lvl>
    <w:lvl w:ilvl="3" w:tplc="0409000F">
      <w:start w:val="1"/>
      <w:numFmt w:val="decimal"/>
      <w:lvlText w:val="%4."/>
      <w:lvlJc w:val="left"/>
      <w:pPr>
        <w:tabs>
          <w:tab w:val="num" w:pos="3600"/>
        </w:tabs>
        <w:ind w:left="3600" w:hanging="360"/>
      </w:pPr>
      <w:rPr>
        <w:rFonts w:cs="Times New Roman"/>
      </w:rPr>
    </w:lvl>
    <w:lvl w:ilvl="4" w:tplc="04090019">
      <w:start w:val="1"/>
      <w:numFmt w:val="decimal"/>
      <w:lvlText w:val="%5."/>
      <w:lvlJc w:val="left"/>
      <w:pPr>
        <w:tabs>
          <w:tab w:val="num" w:pos="4320"/>
        </w:tabs>
        <w:ind w:left="4320" w:hanging="360"/>
      </w:pPr>
      <w:rPr>
        <w:rFonts w:cs="Times New Roman"/>
      </w:rPr>
    </w:lvl>
    <w:lvl w:ilvl="5" w:tplc="0409001B">
      <w:start w:val="1"/>
      <w:numFmt w:val="decimal"/>
      <w:lvlText w:val="%6."/>
      <w:lvlJc w:val="left"/>
      <w:pPr>
        <w:tabs>
          <w:tab w:val="num" w:pos="5040"/>
        </w:tabs>
        <w:ind w:left="5040" w:hanging="360"/>
      </w:pPr>
      <w:rPr>
        <w:rFonts w:cs="Times New Roman"/>
      </w:rPr>
    </w:lvl>
    <w:lvl w:ilvl="6" w:tplc="0409000F">
      <w:start w:val="1"/>
      <w:numFmt w:val="decimal"/>
      <w:lvlText w:val="%7."/>
      <w:lvlJc w:val="left"/>
      <w:pPr>
        <w:tabs>
          <w:tab w:val="num" w:pos="5760"/>
        </w:tabs>
        <w:ind w:left="5760" w:hanging="360"/>
      </w:pPr>
      <w:rPr>
        <w:rFonts w:cs="Times New Roman"/>
      </w:rPr>
    </w:lvl>
    <w:lvl w:ilvl="7" w:tplc="04090019">
      <w:start w:val="1"/>
      <w:numFmt w:val="decimal"/>
      <w:lvlText w:val="%8."/>
      <w:lvlJc w:val="left"/>
      <w:pPr>
        <w:tabs>
          <w:tab w:val="num" w:pos="6480"/>
        </w:tabs>
        <w:ind w:left="6480" w:hanging="360"/>
      </w:pPr>
      <w:rPr>
        <w:rFonts w:cs="Times New Roman"/>
      </w:rPr>
    </w:lvl>
    <w:lvl w:ilvl="8" w:tplc="0409001B">
      <w:start w:val="1"/>
      <w:numFmt w:val="decimal"/>
      <w:lvlText w:val="%9."/>
      <w:lvlJc w:val="left"/>
      <w:pPr>
        <w:tabs>
          <w:tab w:val="num" w:pos="7200"/>
        </w:tabs>
        <w:ind w:left="7200" w:hanging="360"/>
      </w:pPr>
      <w:rPr>
        <w:rFonts w:cs="Times New Roman"/>
      </w:rPr>
    </w:lvl>
  </w:abstractNum>
  <w:abstractNum w:abstractNumId="27">
    <w:nsid w:val="1A461F1F"/>
    <w:multiLevelType w:val="hybridMultilevel"/>
    <w:tmpl w:val="539040CA"/>
    <w:lvl w:ilvl="0" w:tplc="952C4BD0">
      <w:start w:val="1"/>
      <w:numFmt w:val="lowerLetter"/>
      <w:lvlText w:val="%1)"/>
      <w:lvlJc w:val="left"/>
      <w:pPr>
        <w:ind w:left="720" w:hanging="360"/>
      </w:pPr>
      <w:rPr>
        <w:rFonts w:cs="Times New Roman"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BC87612"/>
    <w:multiLevelType w:val="hybridMultilevel"/>
    <w:tmpl w:val="5178D606"/>
    <w:lvl w:ilvl="0" w:tplc="8F3A3E8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971C9212">
      <w:start w:val="1"/>
      <w:numFmt w:val="bullet"/>
      <w:lvlText w:val=""/>
      <w:lvlJc w:val="left"/>
      <w:pPr>
        <w:ind w:left="2160" w:hanging="360"/>
      </w:pPr>
      <w:rPr>
        <w:rFonts w:ascii="Webdings" w:hAnsi="Webdings" w:hint="default"/>
        <w:b w:val="0"/>
        <w:i w:val="0"/>
        <w:color w:val="FF6600"/>
        <w:sz w:val="22"/>
        <w:szCs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1">
    <w:nsid w:val="1C4F47D3"/>
    <w:multiLevelType w:val="hybridMultilevel"/>
    <w:tmpl w:val="7D887240"/>
    <w:lvl w:ilvl="0" w:tplc="7742C132">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4">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5">
    <w:nsid w:val="23F65B89"/>
    <w:multiLevelType w:val="hybridMultilevel"/>
    <w:tmpl w:val="E2DCB5C6"/>
    <w:lvl w:ilvl="0" w:tplc="FC9A3B00">
      <w:start w:val="1"/>
      <w:numFmt w:val="bullet"/>
      <w:lvlText w:val=""/>
      <w:lvlJc w:val="left"/>
      <w:pPr>
        <w:ind w:left="1800" w:hanging="360"/>
      </w:pPr>
      <w:rPr>
        <w:rFonts w:ascii="Webdings" w:hAnsi="Webdings" w:hint="default"/>
        <w:b w:val="0"/>
        <w:i w:val="0"/>
        <w:color w:val="FF6600"/>
        <w:sz w:val="22"/>
        <w:szCs w:val="22"/>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hint="default"/>
      </w:rPr>
    </w:lvl>
    <w:lvl w:ilvl="8" w:tplc="04090005">
      <w:start w:val="1"/>
      <w:numFmt w:val="bullet"/>
      <w:lvlText w:val=""/>
      <w:lvlJc w:val="left"/>
      <w:pPr>
        <w:ind w:left="7560" w:hanging="360"/>
      </w:pPr>
      <w:rPr>
        <w:rFonts w:ascii="Wingdings" w:hAnsi="Wingdings" w:hint="default"/>
      </w:rPr>
    </w:lvl>
  </w:abstractNum>
  <w:abstractNum w:abstractNumId="36">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8">
    <w:nsid w:val="28AE539D"/>
    <w:multiLevelType w:val="hybridMultilevel"/>
    <w:tmpl w:val="CA9EC38A"/>
    <w:lvl w:ilvl="0" w:tplc="3858E97C">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41">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2">
    <w:nsid w:val="2C306EF3"/>
    <w:multiLevelType w:val="hybridMultilevel"/>
    <w:tmpl w:val="E4785924"/>
    <w:lvl w:ilvl="0" w:tplc="52FE4C8A">
      <w:start w:val="1"/>
      <w:numFmt w:val="bullet"/>
      <w:lvlText w:val=""/>
      <w:lvlJc w:val="left"/>
      <w:pPr>
        <w:ind w:left="1080" w:hanging="360"/>
      </w:pPr>
      <w:rPr>
        <w:rFonts w:ascii="Webdings" w:hAnsi="Webdings" w:hint="default"/>
        <w:b w:val="0"/>
        <w:i w:val="0"/>
        <w:color w:val="FF6600"/>
        <w:sz w:val="24"/>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47">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9">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1">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8F419FA"/>
    <w:multiLevelType w:val="multilevel"/>
    <w:tmpl w:val="95184C3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54">
    <w:nsid w:val="3A806EA4"/>
    <w:multiLevelType w:val="hybridMultilevel"/>
    <w:tmpl w:val="38EAC7BE"/>
    <w:lvl w:ilvl="0" w:tplc="4A18ED36">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D902DDBC">
      <w:start w:val="1"/>
      <w:numFmt w:val="bullet"/>
      <w:lvlText w:val=""/>
      <w:lvlJc w:val="left"/>
      <w:pPr>
        <w:ind w:left="2160" w:hanging="360"/>
      </w:pPr>
      <w:rPr>
        <w:rFonts w:ascii="Webdings" w:hAnsi="Webdings" w:hint="default"/>
        <w:b w:val="0"/>
        <w:i w:val="0"/>
        <w:color w:val="FF6600"/>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8">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59">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0">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3">
    <w:nsid w:val="46EF72CA"/>
    <w:multiLevelType w:val="hybridMultilevel"/>
    <w:tmpl w:val="C212A53C"/>
    <w:lvl w:ilvl="0" w:tplc="84ECE366">
      <w:start w:val="1"/>
      <w:numFmt w:val="decimal"/>
      <w:lvlText w:val="%1."/>
      <w:lvlJc w:val="left"/>
      <w:pPr>
        <w:ind w:left="900" w:hanging="360"/>
      </w:pPr>
      <w:rPr>
        <w:rFonts w:cs="Times New Roman" w:hint="default"/>
        <w:sz w:val="18"/>
        <w:szCs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4">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5">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6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67">
    <w:nsid w:val="4EE14412"/>
    <w:multiLevelType w:val="hybridMultilevel"/>
    <w:tmpl w:val="3B3A6968"/>
    <w:lvl w:ilvl="0" w:tplc="D902DDBC">
      <w:start w:val="1"/>
      <w:numFmt w:val="bullet"/>
      <w:lvlText w:val=""/>
      <w:lvlJc w:val="left"/>
      <w:pPr>
        <w:ind w:left="776" w:hanging="360"/>
      </w:pPr>
      <w:rPr>
        <w:rFonts w:ascii="Webdings" w:hAnsi="Webdings" w:hint="default"/>
        <w:b w:val="0"/>
        <w:i w:val="0"/>
        <w:color w:val="FF6600"/>
        <w:sz w:val="24"/>
      </w:rPr>
    </w:lvl>
    <w:lvl w:ilvl="1" w:tplc="04090003">
      <w:start w:val="1"/>
      <w:numFmt w:val="bullet"/>
      <w:lvlText w:val="o"/>
      <w:lvlJc w:val="left"/>
      <w:pPr>
        <w:ind w:left="1496" w:hanging="360"/>
      </w:pPr>
      <w:rPr>
        <w:rFonts w:ascii="Courier New" w:hAnsi="Courier New" w:hint="default"/>
      </w:rPr>
    </w:lvl>
    <w:lvl w:ilvl="2" w:tplc="04090005">
      <w:start w:val="1"/>
      <w:numFmt w:val="bullet"/>
      <w:lvlText w:val=""/>
      <w:lvlJc w:val="left"/>
      <w:pPr>
        <w:ind w:left="2216" w:hanging="360"/>
      </w:pPr>
      <w:rPr>
        <w:rFonts w:ascii="Wingdings" w:hAnsi="Wingdings" w:hint="default"/>
      </w:rPr>
    </w:lvl>
    <w:lvl w:ilvl="3" w:tplc="04090001">
      <w:start w:val="1"/>
      <w:numFmt w:val="bullet"/>
      <w:lvlText w:val=""/>
      <w:lvlJc w:val="left"/>
      <w:pPr>
        <w:ind w:left="2936" w:hanging="360"/>
      </w:pPr>
      <w:rPr>
        <w:rFonts w:ascii="Symbol" w:hAnsi="Symbol" w:hint="default"/>
      </w:rPr>
    </w:lvl>
    <w:lvl w:ilvl="4" w:tplc="04090003">
      <w:start w:val="1"/>
      <w:numFmt w:val="bullet"/>
      <w:lvlText w:val="o"/>
      <w:lvlJc w:val="left"/>
      <w:pPr>
        <w:ind w:left="3656" w:hanging="360"/>
      </w:pPr>
      <w:rPr>
        <w:rFonts w:ascii="Courier New" w:hAnsi="Courier New" w:hint="default"/>
      </w:rPr>
    </w:lvl>
    <w:lvl w:ilvl="5" w:tplc="04090005">
      <w:start w:val="1"/>
      <w:numFmt w:val="bullet"/>
      <w:lvlText w:val=""/>
      <w:lvlJc w:val="left"/>
      <w:pPr>
        <w:ind w:left="4376" w:hanging="360"/>
      </w:pPr>
      <w:rPr>
        <w:rFonts w:ascii="Wingdings" w:hAnsi="Wingdings" w:hint="default"/>
      </w:rPr>
    </w:lvl>
    <w:lvl w:ilvl="6" w:tplc="04090001">
      <w:start w:val="1"/>
      <w:numFmt w:val="bullet"/>
      <w:lvlText w:val=""/>
      <w:lvlJc w:val="left"/>
      <w:pPr>
        <w:ind w:left="5096" w:hanging="360"/>
      </w:pPr>
      <w:rPr>
        <w:rFonts w:ascii="Symbol" w:hAnsi="Symbol" w:hint="default"/>
      </w:rPr>
    </w:lvl>
    <w:lvl w:ilvl="7" w:tplc="04090003">
      <w:start w:val="1"/>
      <w:numFmt w:val="bullet"/>
      <w:lvlText w:val="o"/>
      <w:lvlJc w:val="left"/>
      <w:pPr>
        <w:ind w:left="5816" w:hanging="360"/>
      </w:pPr>
      <w:rPr>
        <w:rFonts w:ascii="Courier New" w:hAnsi="Courier New" w:hint="default"/>
      </w:rPr>
    </w:lvl>
    <w:lvl w:ilvl="8" w:tplc="04090005">
      <w:start w:val="1"/>
      <w:numFmt w:val="bullet"/>
      <w:lvlText w:val=""/>
      <w:lvlJc w:val="left"/>
      <w:pPr>
        <w:ind w:left="6536" w:hanging="360"/>
      </w:pPr>
      <w:rPr>
        <w:rFonts w:ascii="Wingdings" w:hAnsi="Wingdings" w:hint="default"/>
      </w:rPr>
    </w:lvl>
  </w:abstractNum>
  <w:abstractNum w:abstractNumId="6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FA5213A"/>
    <w:multiLevelType w:val="hybridMultilevel"/>
    <w:tmpl w:val="C682DEFC"/>
    <w:lvl w:ilvl="0" w:tplc="D902DDBC">
      <w:start w:val="1"/>
      <w:numFmt w:val="bullet"/>
      <w:lvlText w:val=""/>
      <w:lvlJc w:val="left"/>
      <w:pPr>
        <w:tabs>
          <w:tab w:val="num" w:pos="1620"/>
        </w:tabs>
        <w:ind w:left="1620" w:hanging="360"/>
      </w:pPr>
      <w:rPr>
        <w:rFonts w:ascii="Webdings" w:hAnsi="Webdings" w:hint="default"/>
        <w:b w:val="0"/>
        <w:i w:val="0"/>
        <w:color w:val="FF6600"/>
        <w:sz w:val="24"/>
      </w:rPr>
    </w:lvl>
    <w:lvl w:ilvl="1" w:tplc="D902DDBC">
      <w:start w:val="1"/>
      <w:numFmt w:val="bullet"/>
      <w:lvlText w:val=""/>
      <w:lvlJc w:val="left"/>
      <w:pPr>
        <w:tabs>
          <w:tab w:val="num" w:pos="2340"/>
        </w:tabs>
        <w:ind w:left="2340" w:hanging="360"/>
      </w:pPr>
      <w:rPr>
        <w:rFonts w:ascii="Webdings" w:hAnsi="Webdings" w:hint="default"/>
        <w:b w:val="0"/>
        <w:i w:val="0"/>
        <w:color w:val="FF6600"/>
        <w:sz w:val="24"/>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70">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pPr>
      <w:rPr>
        <w:rFonts w:cs="Times New Roman"/>
      </w:rPr>
    </w:lvl>
    <w:lvl w:ilvl="2">
      <w:numFmt w:val="decimal"/>
      <w:lvlText w:val=""/>
      <w:lvlJc w:val="left"/>
      <w:pPr>
        <w:ind w:left="432"/>
      </w:pPr>
      <w:rPr>
        <w:rFonts w:cs="Times New Roman"/>
      </w:rPr>
    </w:lvl>
    <w:lvl w:ilvl="3">
      <w:numFmt w:val="decimal"/>
      <w:lvlText w:val=""/>
      <w:lvlJc w:val="left"/>
      <w:pPr>
        <w:ind w:left="432"/>
      </w:pPr>
      <w:rPr>
        <w:rFonts w:cs="Times New Roman"/>
      </w:rPr>
    </w:lvl>
    <w:lvl w:ilvl="4">
      <w:numFmt w:val="decimal"/>
      <w:lvlText w:val=""/>
      <w:lvlJc w:val="left"/>
      <w:pPr>
        <w:ind w:left="432"/>
      </w:pPr>
      <w:rPr>
        <w:rFonts w:cs="Times New Roman"/>
      </w:rPr>
    </w:lvl>
    <w:lvl w:ilvl="5">
      <w:numFmt w:val="decimal"/>
      <w:lvlText w:val=""/>
      <w:lvlJc w:val="left"/>
      <w:pPr>
        <w:ind w:left="432"/>
      </w:pPr>
      <w:rPr>
        <w:rFonts w:cs="Times New Roman"/>
      </w:rPr>
    </w:lvl>
    <w:lvl w:ilvl="6">
      <w:numFmt w:val="decimal"/>
      <w:lvlText w:val=""/>
      <w:lvlJc w:val="left"/>
      <w:pPr>
        <w:ind w:left="432"/>
      </w:pPr>
      <w:rPr>
        <w:rFonts w:cs="Times New Roman"/>
      </w:rPr>
    </w:lvl>
    <w:lvl w:ilvl="7">
      <w:numFmt w:val="decimal"/>
      <w:lvlText w:val=""/>
      <w:lvlJc w:val="left"/>
      <w:pPr>
        <w:ind w:left="432"/>
      </w:pPr>
      <w:rPr>
        <w:rFonts w:cs="Times New Roman"/>
      </w:rPr>
    </w:lvl>
    <w:lvl w:ilvl="8">
      <w:numFmt w:val="decimal"/>
      <w:lvlText w:val=""/>
      <w:lvlJc w:val="left"/>
      <w:pPr>
        <w:ind w:left="432"/>
      </w:pPr>
      <w:rPr>
        <w:rFonts w:cs="Times New Roman"/>
      </w:rPr>
    </w:lvl>
  </w:abstractNum>
  <w:abstractNum w:abstractNumId="71">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73">
    <w:nsid w:val="517F365B"/>
    <w:multiLevelType w:val="hybridMultilevel"/>
    <w:tmpl w:val="D99262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5">
    <w:nsid w:val="51E514ED"/>
    <w:multiLevelType w:val="multilevel"/>
    <w:tmpl w:val="279E5052"/>
    <w:lvl w:ilvl="0">
      <w:start w:val="1"/>
      <w:numFmt w:val="decimal"/>
      <w:lvlText w:val="%1."/>
      <w:lvlJc w:val="left"/>
      <w:pPr>
        <w:ind w:left="360" w:hanging="360"/>
      </w:pPr>
      <w:rPr>
        <w:rFonts w:cs="Times New Roman" w:hint="default"/>
        <w:b/>
        <w:i w:val="0"/>
        <w:color w:val="000000"/>
        <w:sz w:val="18"/>
        <w:szCs w:val="18"/>
      </w:rPr>
    </w:lvl>
    <w:lvl w:ilvl="1">
      <w:start w:val="1"/>
      <w:numFmt w:val="decimal"/>
      <w:lvlText w:val="%1.%2."/>
      <w:lvlJc w:val="left"/>
      <w:pPr>
        <w:ind w:left="792" w:hanging="432"/>
      </w:pPr>
      <w:rPr>
        <w:rFonts w:cs="Times New Roman" w:hint="default"/>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7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nsid w:val="59780705"/>
    <w:multiLevelType w:val="hybridMultilevel"/>
    <w:tmpl w:val="F21CD68E"/>
    <w:lvl w:ilvl="0" w:tplc="04090017">
      <w:start w:val="1"/>
      <w:numFmt w:val="lowerLetter"/>
      <w:lvlText w:val="%1)"/>
      <w:lvlJc w:val="left"/>
      <w:pPr>
        <w:ind w:left="2160" w:hanging="360"/>
      </w:pPr>
      <w:rPr>
        <w:rFonts w:cs="Times New Roman"/>
      </w:rPr>
    </w:lvl>
    <w:lvl w:ilvl="1" w:tplc="04090019" w:tentative="1">
      <w:start w:val="1"/>
      <w:numFmt w:val="lowerLetter"/>
      <w:lvlText w:val="%2."/>
      <w:lvlJc w:val="left"/>
      <w:pPr>
        <w:ind w:left="2880" w:hanging="360"/>
      </w:pPr>
      <w:rPr>
        <w:rFonts w:cs="Times New Roman"/>
      </w:rPr>
    </w:lvl>
    <w:lvl w:ilvl="2" w:tplc="0409001B" w:tentative="1">
      <w:start w:val="1"/>
      <w:numFmt w:val="lowerRoman"/>
      <w:lvlText w:val="%3."/>
      <w:lvlJc w:val="right"/>
      <w:pPr>
        <w:ind w:left="3600" w:hanging="180"/>
      </w:pPr>
      <w:rPr>
        <w:rFonts w:cs="Times New Roman"/>
      </w:rPr>
    </w:lvl>
    <w:lvl w:ilvl="3" w:tplc="0409000F" w:tentative="1">
      <w:start w:val="1"/>
      <w:numFmt w:val="decimal"/>
      <w:lvlText w:val="%4."/>
      <w:lvlJc w:val="left"/>
      <w:pPr>
        <w:ind w:left="4320" w:hanging="360"/>
      </w:pPr>
      <w:rPr>
        <w:rFonts w:cs="Times New Roman"/>
      </w:rPr>
    </w:lvl>
    <w:lvl w:ilvl="4" w:tplc="04090019" w:tentative="1">
      <w:start w:val="1"/>
      <w:numFmt w:val="lowerLetter"/>
      <w:lvlText w:val="%5."/>
      <w:lvlJc w:val="left"/>
      <w:pPr>
        <w:ind w:left="5040" w:hanging="360"/>
      </w:pPr>
      <w:rPr>
        <w:rFonts w:cs="Times New Roman"/>
      </w:rPr>
    </w:lvl>
    <w:lvl w:ilvl="5" w:tplc="0409001B" w:tentative="1">
      <w:start w:val="1"/>
      <w:numFmt w:val="lowerRoman"/>
      <w:lvlText w:val="%6."/>
      <w:lvlJc w:val="right"/>
      <w:pPr>
        <w:ind w:left="5760" w:hanging="180"/>
      </w:pPr>
      <w:rPr>
        <w:rFonts w:cs="Times New Roman"/>
      </w:rPr>
    </w:lvl>
    <w:lvl w:ilvl="6" w:tplc="0409000F" w:tentative="1">
      <w:start w:val="1"/>
      <w:numFmt w:val="decimal"/>
      <w:lvlText w:val="%7."/>
      <w:lvlJc w:val="left"/>
      <w:pPr>
        <w:ind w:left="6480" w:hanging="360"/>
      </w:pPr>
      <w:rPr>
        <w:rFonts w:cs="Times New Roman"/>
      </w:rPr>
    </w:lvl>
    <w:lvl w:ilvl="7" w:tplc="04090019" w:tentative="1">
      <w:start w:val="1"/>
      <w:numFmt w:val="lowerLetter"/>
      <w:lvlText w:val="%8."/>
      <w:lvlJc w:val="left"/>
      <w:pPr>
        <w:ind w:left="7200" w:hanging="360"/>
      </w:pPr>
      <w:rPr>
        <w:rFonts w:cs="Times New Roman"/>
      </w:rPr>
    </w:lvl>
    <w:lvl w:ilvl="8" w:tplc="0409001B" w:tentative="1">
      <w:start w:val="1"/>
      <w:numFmt w:val="lowerRoman"/>
      <w:lvlText w:val="%9."/>
      <w:lvlJc w:val="right"/>
      <w:pPr>
        <w:ind w:left="7920" w:hanging="180"/>
      </w:pPr>
      <w:rPr>
        <w:rFonts w:cs="Times New Roman"/>
      </w:rPr>
    </w:lvl>
  </w:abstractNum>
  <w:abstractNum w:abstractNumId="81">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82">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5BB27E92"/>
    <w:multiLevelType w:val="hybridMultilevel"/>
    <w:tmpl w:val="FF6EA6D6"/>
    <w:lvl w:ilvl="0" w:tplc="04090017">
      <w:start w:val="1"/>
      <w:numFmt w:val="lowerLetter"/>
      <w:lvlText w:val="%1)"/>
      <w:lvlJc w:val="left"/>
      <w:pPr>
        <w:ind w:left="1440" w:hanging="360"/>
      </w:pPr>
      <w:rPr>
        <w:rFonts w:cs="Times New Roman"/>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4">
    <w:nsid w:val="5CD36762"/>
    <w:multiLevelType w:val="hybridMultilevel"/>
    <w:tmpl w:val="BB7AD9E4"/>
    <w:lvl w:ilvl="0" w:tplc="A72A7F6C">
      <w:start w:val="1"/>
      <w:numFmt w:val="bullet"/>
      <w:lvlText w:val=""/>
      <w:lvlJc w:val="left"/>
      <w:pPr>
        <w:ind w:left="720" w:hanging="360"/>
      </w:pPr>
      <w:rPr>
        <w:rFonts w:ascii="Webdings" w:hAnsi="Webdings" w:hint="default"/>
        <w:b w:val="0"/>
        <w:i w:val="0"/>
        <w:color w:val="FF6600"/>
        <w:sz w:val="24"/>
        <w:szCs w:val="24"/>
      </w:rPr>
    </w:lvl>
    <w:lvl w:ilvl="1" w:tplc="04090019">
      <w:start w:val="1"/>
      <w:numFmt w:val="lowerLetter"/>
      <w:lvlText w:val="%2."/>
      <w:lvlJc w:val="left"/>
      <w:pPr>
        <w:ind w:left="1440" w:hanging="360"/>
      </w:pPr>
      <w:rPr>
        <w:rFonts w:cs="Times New Roman"/>
      </w:rPr>
    </w:lvl>
    <w:lvl w:ilvl="2" w:tplc="971C9212">
      <w:start w:val="1"/>
      <w:numFmt w:val="bullet"/>
      <w:lvlText w:val=""/>
      <w:lvlJc w:val="left"/>
      <w:pPr>
        <w:ind w:left="2160" w:hanging="180"/>
      </w:pPr>
      <w:rPr>
        <w:rFonts w:ascii="Webdings" w:hAnsi="Webdings" w:hint="default"/>
        <w:b w:val="0"/>
        <w:i w:val="0"/>
        <w:color w:val="FF6600"/>
        <w:sz w:val="22"/>
        <w:szCs w:val="22"/>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5">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6">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cs="Times New Roman" w:hint="default"/>
      </w:rPr>
    </w:lvl>
    <w:lvl w:ilvl="2" w:tplc="0409001B">
      <w:start w:val="1"/>
      <w:numFmt w:val="lowerRoman"/>
      <w:lvlText w:val="%3."/>
      <w:lvlJc w:val="right"/>
      <w:pPr>
        <w:ind w:left="3060" w:hanging="180"/>
      </w:pPr>
      <w:rPr>
        <w:rFonts w:cs="Times New Roman" w:hint="default"/>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87">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9">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hint="default"/>
      </w:rPr>
    </w:lvl>
    <w:lvl w:ilvl="8" w:tplc="04090005">
      <w:start w:val="1"/>
      <w:numFmt w:val="bullet"/>
      <w:lvlText w:val=""/>
      <w:lvlJc w:val="left"/>
      <w:pPr>
        <w:ind w:left="7980" w:hanging="360"/>
      </w:pPr>
      <w:rPr>
        <w:rFonts w:ascii="Wingdings" w:hAnsi="Wingdings" w:hint="default"/>
      </w:rPr>
    </w:lvl>
  </w:abstractNum>
  <w:abstractNum w:abstractNumId="90">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5681004"/>
    <w:multiLevelType w:val="hybridMultilevel"/>
    <w:tmpl w:val="E11440D0"/>
    <w:lvl w:ilvl="0" w:tplc="FF32EA32">
      <w:start w:val="1"/>
      <w:numFmt w:val="bullet"/>
      <w:lvlText w:val=""/>
      <w:lvlJc w:val="left"/>
      <w:pPr>
        <w:tabs>
          <w:tab w:val="num" w:pos="360"/>
        </w:tabs>
        <w:ind w:left="360" w:hanging="360"/>
      </w:pPr>
      <w:rPr>
        <w:rFonts w:ascii="Webdings" w:hAnsi="Webdings" w:hint="default"/>
        <w:b w:val="0"/>
        <w:i w:val="0"/>
        <w:color w:val="FF6600"/>
        <w:sz w:val="24"/>
        <w:szCs w:val="24"/>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93">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4">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5">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6ADF308B"/>
    <w:multiLevelType w:val="hybridMultilevel"/>
    <w:tmpl w:val="81E6FA7C"/>
    <w:lvl w:ilvl="0" w:tplc="25DE2676">
      <w:start w:val="1"/>
      <w:numFmt w:val="bullet"/>
      <w:lvlText w:val=""/>
      <w:lvlJc w:val="left"/>
      <w:pPr>
        <w:ind w:left="720" w:hanging="360"/>
      </w:pPr>
      <w:rPr>
        <w:rFonts w:ascii="Webdings" w:hAnsi="Webdings" w:hint="default"/>
        <w:b w:val="0"/>
        <w:i w:val="0"/>
        <w:color w:val="FF6600"/>
        <w:sz w:val="24"/>
        <w:szCs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B2C4D22"/>
    <w:multiLevelType w:val="hybridMultilevel"/>
    <w:tmpl w:val="90F0F144"/>
    <w:lvl w:ilvl="0" w:tplc="D902DDBC">
      <w:start w:val="1"/>
      <w:numFmt w:val="bullet"/>
      <w:lvlText w:val=""/>
      <w:lvlJc w:val="left"/>
      <w:pPr>
        <w:ind w:left="720" w:hanging="360"/>
      </w:pPr>
      <w:rPr>
        <w:rFonts w:ascii="Webdings" w:hAnsi="Webdings" w:hint="default"/>
        <w:b w:val="0"/>
        <w:i w:val="0"/>
        <w:color w:val="FF6600"/>
        <w:sz w:val="24"/>
      </w:rPr>
    </w:lvl>
    <w:lvl w:ilvl="1" w:tplc="506CB8C2">
      <w:start w:val="1"/>
      <w:numFmt w:val="decimal"/>
      <w:lvlText w:val="%2."/>
      <w:lvlJc w:val="left"/>
      <w:pPr>
        <w:tabs>
          <w:tab w:val="num" w:pos="1440"/>
        </w:tabs>
        <w:ind w:left="1440" w:hanging="360"/>
      </w:pPr>
      <w:rPr>
        <w:rFonts w:cs="Times New Roman"/>
        <w:b/>
      </w:rPr>
    </w:lvl>
    <w:lvl w:ilvl="2" w:tplc="0409001B">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decimal"/>
      <w:lvlText w:val="%5."/>
      <w:lvlJc w:val="left"/>
      <w:pPr>
        <w:tabs>
          <w:tab w:val="num" w:pos="3600"/>
        </w:tabs>
        <w:ind w:left="3600" w:hanging="360"/>
      </w:pPr>
      <w:rPr>
        <w:rFonts w:cs="Times New Roman"/>
      </w:rPr>
    </w:lvl>
    <w:lvl w:ilvl="5" w:tplc="0409001B">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decimal"/>
      <w:lvlText w:val="%8."/>
      <w:lvlJc w:val="left"/>
      <w:pPr>
        <w:tabs>
          <w:tab w:val="num" w:pos="5760"/>
        </w:tabs>
        <w:ind w:left="5760" w:hanging="360"/>
      </w:pPr>
      <w:rPr>
        <w:rFonts w:cs="Times New Roman"/>
      </w:rPr>
    </w:lvl>
    <w:lvl w:ilvl="8" w:tplc="0409001B">
      <w:start w:val="1"/>
      <w:numFmt w:val="decimal"/>
      <w:lvlText w:val="%9."/>
      <w:lvlJc w:val="left"/>
      <w:pPr>
        <w:tabs>
          <w:tab w:val="num" w:pos="6480"/>
        </w:tabs>
        <w:ind w:left="6480" w:hanging="360"/>
      </w:pPr>
      <w:rPr>
        <w:rFonts w:cs="Times New Roman"/>
      </w:rPr>
    </w:lvl>
  </w:abstractNum>
  <w:abstractNum w:abstractNumId="10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9">
    <w:nsid w:val="76155754"/>
    <w:multiLevelType w:val="hybridMultilevel"/>
    <w:tmpl w:val="33906A5E"/>
    <w:lvl w:ilvl="0" w:tplc="B99AE6E2">
      <w:start w:val="1"/>
      <w:numFmt w:val="lowerLetter"/>
      <w:lvlText w:val="%1."/>
      <w:lvlJc w:val="left"/>
      <w:pPr>
        <w:ind w:left="720" w:hanging="360"/>
      </w:pPr>
      <w:rPr>
        <w:rFonts w:cs="Times New Roman" w:hint="default"/>
        <w:b w:val="0"/>
      </w:rPr>
    </w:lvl>
    <w:lvl w:ilvl="1" w:tplc="FEFE20F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0">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A113F27"/>
    <w:multiLevelType w:val="hybridMultilevel"/>
    <w:tmpl w:val="D940F3E2"/>
    <w:lvl w:ilvl="0" w:tplc="04090017">
      <w:start w:val="1"/>
      <w:numFmt w:val="lowerLetter"/>
      <w:lvlText w:val="%1)"/>
      <w:lvlJc w:val="left"/>
      <w:pPr>
        <w:ind w:left="1440" w:hanging="360"/>
      </w:pPr>
      <w:rPr>
        <w:rFonts w:cs="Times New Roman"/>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1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rPr>
    </w:lvl>
    <w:lvl w:ilvl="1" w:tplc="04090017">
      <w:start w:val="1"/>
      <w:numFmt w:val="lowerLetter"/>
      <w:lvlText w:val="%2)"/>
      <w:lvlJc w:val="left"/>
      <w:pPr>
        <w:ind w:left="2340" w:hanging="360"/>
      </w:pPr>
      <w:rPr>
        <w:rFonts w:cs="Times New Roman"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7">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cs="Times New Roman"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0">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FD144C3"/>
    <w:multiLevelType w:val="multilevel"/>
    <w:tmpl w:val="3D36A410"/>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123">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6"/>
  </w:num>
  <w:num w:numId="2">
    <w:abstractNumId w:val="105"/>
  </w:num>
  <w:num w:numId="3">
    <w:abstractNumId w:val="67"/>
  </w:num>
  <w:num w:numId="4">
    <w:abstractNumId w:val="42"/>
  </w:num>
  <w:num w:numId="5">
    <w:abstractNumId w:val="69"/>
  </w:num>
  <w:num w:numId="6">
    <w:abstractNumId w:val="8"/>
  </w:num>
  <w:num w:numId="7">
    <w:abstractNumId w:val="88"/>
  </w:num>
  <w:num w:numId="8">
    <w:abstractNumId w:val="16"/>
  </w:num>
  <w:num w:numId="9">
    <w:abstractNumId w:val="34"/>
  </w:num>
  <w:num w:numId="10">
    <w:abstractNumId w:val="120"/>
  </w:num>
  <w:num w:numId="11">
    <w:abstractNumId w:val="55"/>
  </w:num>
  <w:num w:numId="12">
    <w:abstractNumId w:val="33"/>
  </w:num>
  <w:num w:numId="13">
    <w:abstractNumId w:val="2"/>
  </w:num>
  <w:num w:numId="14">
    <w:abstractNumId w:val="12"/>
  </w:num>
  <w:num w:numId="15">
    <w:abstractNumId w:val="115"/>
  </w:num>
  <w:num w:numId="16">
    <w:abstractNumId w:val="56"/>
  </w:num>
  <w:num w:numId="17">
    <w:abstractNumId w:val="123"/>
  </w:num>
  <w:num w:numId="18">
    <w:abstractNumId w:val="113"/>
  </w:num>
  <w:num w:numId="19">
    <w:abstractNumId w:val="95"/>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7"/>
  </w:num>
  <w:num w:numId="21">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4"/>
  </w:num>
  <w:num w:numId="23">
    <w:abstractNumId w:val="65"/>
  </w:num>
  <w:num w:numId="24">
    <w:abstractNumId w:val="90"/>
  </w:num>
  <w:num w:numId="25">
    <w:abstractNumId w:val="95"/>
  </w:num>
  <w:num w:numId="26">
    <w:abstractNumId w:val="93"/>
  </w:num>
  <w:num w:numId="27">
    <w:abstractNumId w:val="43"/>
  </w:num>
  <w:num w:numId="28">
    <w:abstractNumId w:val="77"/>
  </w:num>
  <w:num w:numId="29">
    <w:abstractNumId w:val="117"/>
  </w:num>
  <w:num w:numId="30">
    <w:abstractNumId w:val="94"/>
  </w:num>
  <w:num w:numId="31">
    <w:abstractNumId w:val="39"/>
  </w:num>
  <w:num w:numId="32">
    <w:abstractNumId w:val="50"/>
  </w:num>
  <w:num w:numId="33">
    <w:abstractNumId w:val="97"/>
  </w:num>
  <w:num w:numId="34">
    <w:abstractNumId w:val="25"/>
  </w:num>
  <w:num w:numId="35">
    <w:abstractNumId w:val="10"/>
  </w:num>
  <w:num w:numId="36">
    <w:abstractNumId w:val="21"/>
  </w:num>
  <w:num w:numId="37">
    <w:abstractNumId w:val="63"/>
  </w:num>
  <w:num w:numId="38">
    <w:abstractNumId w:val="101"/>
  </w:num>
  <w:num w:numId="39">
    <w:abstractNumId w:val="58"/>
  </w:num>
  <w:num w:numId="40">
    <w:abstractNumId w:val="46"/>
  </w:num>
  <w:num w:numId="41">
    <w:abstractNumId w:val="86"/>
  </w:num>
  <w:num w:numId="42">
    <w:abstractNumId w:val="85"/>
  </w:num>
  <w:num w:numId="43">
    <w:abstractNumId w:val="11"/>
  </w:num>
  <w:num w:numId="44">
    <w:abstractNumId w:val="81"/>
  </w:num>
  <w:num w:numId="45">
    <w:abstractNumId w:val="96"/>
  </w:num>
  <w:num w:numId="46">
    <w:abstractNumId w:val="100"/>
  </w:num>
  <w:num w:numId="47">
    <w:abstractNumId w:val="72"/>
  </w:num>
  <w:num w:numId="48">
    <w:abstractNumId w:val="89"/>
  </w:num>
  <w:num w:numId="49">
    <w:abstractNumId w:val="66"/>
  </w:num>
  <w:num w:numId="50">
    <w:abstractNumId w:val="118"/>
  </w:num>
  <w:num w:numId="51">
    <w:abstractNumId w:val="60"/>
  </w:num>
  <w:num w:numId="52">
    <w:abstractNumId w:val="68"/>
  </w:num>
  <w:num w:numId="53">
    <w:abstractNumId w:val="17"/>
  </w:num>
  <w:num w:numId="54">
    <w:abstractNumId w:val="109"/>
  </w:num>
  <w:num w:numId="55">
    <w:abstractNumId w:val="57"/>
  </w:num>
  <w:num w:numId="56">
    <w:abstractNumId w:val="5"/>
  </w:num>
  <w:num w:numId="57">
    <w:abstractNumId w:val="47"/>
  </w:num>
  <w:num w:numId="58">
    <w:abstractNumId w:val="61"/>
  </w:num>
  <w:num w:numId="59">
    <w:abstractNumId w:val="78"/>
  </w:num>
  <w:num w:numId="60">
    <w:abstractNumId w:val="98"/>
  </w:num>
  <w:num w:numId="61">
    <w:abstractNumId w:val="20"/>
  </w:num>
  <w:num w:numId="62">
    <w:abstractNumId w:val="91"/>
  </w:num>
  <w:num w:numId="63">
    <w:abstractNumId w:val="104"/>
  </w:num>
  <w:num w:numId="64">
    <w:abstractNumId w:val="14"/>
  </w:num>
  <w:num w:numId="65">
    <w:abstractNumId w:val="99"/>
  </w:num>
  <w:num w:numId="66">
    <w:abstractNumId w:val="0"/>
  </w:num>
  <w:num w:numId="67">
    <w:abstractNumId w:val="106"/>
  </w:num>
  <w:num w:numId="68">
    <w:abstractNumId w:val="1"/>
  </w:num>
  <w:num w:numId="69">
    <w:abstractNumId w:val="108"/>
  </w:num>
  <w:num w:numId="70">
    <w:abstractNumId w:val="116"/>
  </w:num>
  <w:num w:numId="71">
    <w:abstractNumId w:val="64"/>
  </w:num>
  <w:num w:numId="72">
    <w:abstractNumId w:val="22"/>
  </w:num>
  <w:num w:numId="73">
    <w:abstractNumId w:val="40"/>
  </w:num>
  <w:num w:numId="74">
    <w:abstractNumId w:val="51"/>
  </w:num>
  <w:num w:numId="75">
    <w:abstractNumId w:val="49"/>
  </w:num>
  <w:num w:numId="76">
    <w:abstractNumId w:val="36"/>
  </w:num>
  <w:num w:numId="77">
    <w:abstractNumId w:val="9"/>
  </w:num>
  <w:num w:numId="78">
    <w:abstractNumId w:val="74"/>
  </w:num>
  <w:num w:numId="79">
    <w:abstractNumId w:val="41"/>
  </w:num>
  <w:num w:numId="80">
    <w:abstractNumId w:val="119"/>
  </w:num>
  <w:num w:numId="81">
    <w:abstractNumId w:val="111"/>
  </w:num>
  <w:num w:numId="82">
    <w:abstractNumId w:val="103"/>
  </w:num>
  <w:num w:numId="83">
    <w:abstractNumId w:val="24"/>
  </w:num>
  <w:num w:numId="84">
    <w:abstractNumId w:val="30"/>
  </w:num>
  <w:num w:numId="85">
    <w:abstractNumId w:val="73"/>
  </w:num>
  <w:num w:numId="86">
    <w:abstractNumId w:val="28"/>
  </w:num>
  <w:num w:numId="87">
    <w:abstractNumId w:val="71"/>
  </w:num>
  <w:num w:numId="88">
    <w:abstractNumId w:val="110"/>
  </w:num>
  <w:num w:numId="89">
    <w:abstractNumId w:val="102"/>
  </w:num>
  <w:num w:numId="90">
    <w:abstractNumId w:val="76"/>
  </w:num>
  <w:num w:numId="91">
    <w:abstractNumId w:val="31"/>
  </w:num>
  <w:num w:numId="92">
    <w:abstractNumId w:val="18"/>
  </w:num>
  <w:num w:numId="93">
    <w:abstractNumId w:val="54"/>
  </w:num>
  <w:num w:numId="94">
    <w:abstractNumId w:val="29"/>
  </w:num>
  <w:num w:numId="95">
    <w:abstractNumId w:val="83"/>
  </w:num>
  <w:num w:numId="96">
    <w:abstractNumId w:val="3"/>
  </w:num>
  <w:num w:numId="97">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82"/>
  </w:num>
  <w:num w:numId="99">
    <w:abstractNumId w:val="38"/>
  </w:num>
  <w:num w:numId="100">
    <w:abstractNumId w:val="52"/>
  </w:num>
  <w:num w:numId="101">
    <w:abstractNumId w:val="15"/>
  </w:num>
  <w:num w:numId="102">
    <w:abstractNumId w:val="37"/>
  </w:num>
  <w:num w:numId="103">
    <w:abstractNumId w:val="112"/>
  </w:num>
  <w:num w:numId="104">
    <w:abstractNumId w:val="59"/>
  </w:num>
  <w:num w:numId="105">
    <w:abstractNumId w:val="32"/>
  </w:num>
  <w:num w:numId="106">
    <w:abstractNumId w:val="75"/>
  </w:num>
  <w:num w:numId="107">
    <w:abstractNumId w:val="45"/>
  </w:num>
  <w:num w:numId="108">
    <w:abstractNumId w:val="19"/>
  </w:num>
  <w:num w:numId="109">
    <w:abstractNumId w:val="48"/>
  </w:num>
  <w:num w:numId="110">
    <w:abstractNumId w:val="122"/>
  </w:num>
  <w:num w:numId="111">
    <w:abstractNumId w:val="121"/>
  </w:num>
  <w:num w:numId="112">
    <w:abstractNumId w:val="53"/>
  </w:num>
  <w:num w:numId="113">
    <w:abstractNumId w:val="62"/>
  </w:num>
  <w:num w:numId="114">
    <w:abstractNumId w:val="4"/>
  </w:num>
  <w:num w:numId="115">
    <w:abstractNumId w:val="84"/>
  </w:num>
  <w:num w:numId="116">
    <w:abstractNumId w:val="27"/>
  </w:num>
  <w:num w:numId="117">
    <w:abstractNumId w:val="92"/>
  </w:num>
  <w:num w:numId="118">
    <w:abstractNumId w:val="6"/>
  </w:num>
  <w:num w:numId="119">
    <w:abstractNumId w:val="79"/>
  </w:num>
  <w:num w:numId="120">
    <w:abstractNumId w:val="35"/>
  </w:num>
  <w:num w:numId="121">
    <w:abstractNumId w:val="114"/>
  </w:num>
  <w:num w:numId="122">
    <w:abstractNumId w:val="80"/>
  </w:num>
  <w:num w:numId="123">
    <w:abstractNumId w:val="7"/>
  </w:num>
  <w:num w:numId="124">
    <w:abstractNumId w:val="13"/>
  </w:num>
  <w:num w:numId="125">
    <w:abstractNumId w:val="87"/>
  </w:num>
  <w:num w:numId="126">
    <w:abstractNumId w:val="23"/>
  </w:num>
  <w:num w:numId="127">
    <w:abstractNumId w:val="70"/>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forms" w:enforcement="1" w:cryptProviderType="rsaFull" w:cryptAlgorithmClass="hash" w:cryptAlgorithmType="typeAny" w:cryptAlgorithmSid="4" w:cryptSpinCount="100000" w:hash="tFINqXiLG9Tt7pbcRFPKHsAHWfo=" w:salt="3oDGe84F4+HLSZnqbxetMA=="/>
  <w:defaultTabStop w:val="720"/>
  <w:characterSpacingControl w:val="doNotCompress"/>
  <w:endnotePr>
    <w:numFmt w:val="decimal"/>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196"/>
    <w:rsid w:val="00720CDE"/>
    <w:rsid w:val="00722CAE"/>
    <w:rsid w:val="008B11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196"/>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8B1196"/>
    <w:pPr>
      <w:keepNext/>
      <w:outlineLvl w:val="0"/>
    </w:pPr>
    <w:rPr>
      <w:b/>
      <w:bCs/>
      <w:caps/>
      <w:color w:val="000000"/>
      <w:sz w:val="36"/>
      <w:szCs w:val="36"/>
      <w:lang w:val="pt-BR"/>
    </w:rPr>
  </w:style>
  <w:style w:type="paragraph" w:styleId="Heading2">
    <w:name w:val="heading 2"/>
    <w:basedOn w:val="Normal"/>
    <w:next w:val="Normal"/>
    <w:link w:val="Heading2Char"/>
    <w:uiPriority w:val="9"/>
    <w:qFormat/>
    <w:rsid w:val="008B1196"/>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8B1196"/>
    <w:pPr>
      <w:ind w:left="0"/>
      <w:outlineLvl w:val="2"/>
    </w:pPr>
    <w:rPr>
      <w:sz w:val="20"/>
      <w:szCs w:val="20"/>
    </w:rPr>
  </w:style>
  <w:style w:type="paragraph" w:styleId="Heading4">
    <w:name w:val="heading 4"/>
    <w:basedOn w:val="Normal"/>
    <w:next w:val="Normal"/>
    <w:link w:val="Heading4Char"/>
    <w:uiPriority w:val="9"/>
    <w:qFormat/>
    <w:rsid w:val="008B1196"/>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8B1196"/>
    <w:pPr>
      <w:outlineLvl w:val="4"/>
    </w:pPr>
    <w:rPr>
      <w:u w:val="single"/>
    </w:rPr>
  </w:style>
  <w:style w:type="paragraph" w:styleId="Heading6">
    <w:name w:val="heading 6"/>
    <w:basedOn w:val="Body"/>
    <w:next w:val="Normal"/>
    <w:link w:val="Heading6Char"/>
    <w:uiPriority w:val="9"/>
    <w:qFormat/>
    <w:rsid w:val="008B1196"/>
    <w:pPr>
      <w:spacing w:after="120"/>
      <w:ind w:left="0"/>
      <w:outlineLvl w:val="5"/>
    </w:pPr>
    <w:rPr>
      <w:b/>
      <w:color w:val="FF6600"/>
      <w:szCs w:val="20"/>
    </w:rPr>
  </w:style>
  <w:style w:type="paragraph" w:styleId="Heading7">
    <w:name w:val="heading 7"/>
    <w:basedOn w:val="Heading3"/>
    <w:next w:val="Normal"/>
    <w:link w:val="Heading7Char"/>
    <w:uiPriority w:val="9"/>
    <w:qFormat/>
    <w:rsid w:val="008B1196"/>
    <w:pPr>
      <w:outlineLvl w:val="6"/>
    </w:pPr>
  </w:style>
  <w:style w:type="paragraph" w:styleId="Heading8">
    <w:name w:val="heading 8"/>
    <w:basedOn w:val="Normal"/>
    <w:next w:val="Normal"/>
    <w:link w:val="Heading8Char"/>
    <w:uiPriority w:val="9"/>
    <w:qFormat/>
    <w:rsid w:val="008B1196"/>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8B1196"/>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196"/>
    <w:rPr>
      <w:rFonts w:ascii="Tahoma" w:eastAsia="MS Mincho" w:hAnsi="Tahoma" w:cs="Times New Roman"/>
      <w:b/>
      <w:bCs/>
      <w:caps/>
      <w:color w:val="000000"/>
      <w:sz w:val="36"/>
      <w:szCs w:val="36"/>
      <w:lang w:val="pt-BR"/>
    </w:rPr>
  </w:style>
  <w:style w:type="character" w:customStyle="1" w:styleId="Heading2Char">
    <w:name w:val="Heading 2 Char"/>
    <w:basedOn w:val="DefaultParagraphFont"/>
    <w:link w:val="Heading2"/>
    <w:uiPriority w:val="9"/>
    <w:rsid w:val="008B1196"/>
    <w:rPr>
      <w:rFonts w:ascii="Trebuchet MS" w:eastAsia="MS Mincho" w:hAnsi="Trebuchet MS" w:cs="Times New Roman"/>
      <w:b/>
      <w:sz w:val="24"/>
      <w:szCs w:val="24"/>
    </w:rPr>
  </w:style>
  <w:style w:type="character" w:customStyle="1" w:styleId="Heading3Char">
    <w:name w:val="Heading 3 Char"/>
    <w:basedOn w:val="DefaultParagraphFont"/>
    <w:link w:val="Heading3"/>
    <w:uiPriority w:val="9"/>
    <w:rsid w:val="008B1196"/>
    <w:rPr>
      <w:rFonts w:ascii="Trebuchet MS" w:eastAsia="MS Mincho" w:hAnsi="Trebuchet MS" w:cs="Times New Roman"/>
      <w:b/>
      <w:sz w:val="20"/>
      <w:szCs w:val="20"/>
    </w:rPr>
  </w:style>
  <w:style w:type="character" w:customStyle="1" w:styleId="Heading4Char">
    <w:name w:val="Heading 4 Char"/>
    <w:basedOn w:val="DefaultParagraphFont"/>
    <w:link w:val="Heading4"/>
    <w:uiPriority w:val="9"/>
    <w:rsid w:val="008B1196"/>
    <w:rPr>
      <w:rFonts w:ascii="Trebuchet MS" w:eastAsia="MS Mincho" w:hAnsi="Trebuchet MS" w:cs="Times New Roman"/>
      <w:b/>
      <w:sz w:val="20"/>
      <w:szCs w:val="20"/>
    </w:rPr>
  </w:style>
  <w:style w:type="character" w:customStyle="1" w:styleId="Heading5Char">
    <w:name w:val="Heading 5 Char"/>
    <w:basedOn w:val="DefaultParagraphFont"/>
    <w:link w:val="Heading5"/>
    <w:uiPriority w:val="9"/>
    <w:rsid w:val="008B1196"/>
    <w:rPr>
      <w:rFonts w:ascii="Trebuchet MS" w:eastAsia="MS Mincho" w:hAnsi="Trebuchet MS" w:cs="Times New Roman"/>
      <w:sz w:val="20"/>
      <w:szCs w:val="20"/>
      <w:u w:val="single"/>
    </w:rPr>
  </w:style>
  <w:style w:type="character" w:customStyle="1" w:styleId="Heading6Char">
    <w:name w:val="Heading 6 Char"/>
    <w:basedOn w:val="DefaultParagraphFont"/>
    <w:link w:val="Heading6"/>
    <w:uiPriority w:val="9"/>
    <w:rsid w:val="008B1196"/>
    <w:rPr>
      <w:rFonts w:ascii="Trebuchet MS" w:eastAsia="MS Mincho" w:hAnsi="Trebuchet MS" w:cs="Times New Roman"/>
      <w:b/>
      <w:color w:val="FF6600"/>
      <w:sz w:val="20"/>
      <w:szCs w:val="20"/>
    </w:rPr>
  </w:style>
  <w:style w:type="character" w:customStyle="1" w:styleId="Heading7Char">
    <w:name w:val="Heading 7 Char"/>
    <w:basedOn w:val="DefaultParagraphFont"/>
    <w:link w:val="Heading7"/>
    <w:uiPriority w:val="9"/>
    <w:rsid w:val="008B1196"/>
    <w:rPr>
      <w:rFonts w:ascii="Trebuchet MS" w:eastAsia="MS Mincho" w:hAnsi="Trebuchet MS" w:cs="Times New Roman"/>
      <w:b/>
      <w:sz w:val="20"/>
      <w:szCs w:val="20"/>
    </w:rPr>
  </w:style>
  <w:style w:type="character" w:customStyle="1" w:styleId="Heading8Char">
    <w:name w:val="Heading 8 Char"/>
    <w:basedOn w:val="DefaultParagraphFont"/>
    <w:link w:val="Heading8"/>
    <w:uiPriority w:val="9"/>
    <w:rsid w:val="008B1196"/>
    <w:rPr>
      <w:rFonts w:ascii="Times New Roman" w:eastAsia="MS Mincho" w:hAnsi="Times New Roman" w:cs="Times New Roman"/>
      <w:i/>
      <w:iCs/>
      <w:sz w:val="24"/>
      <w:szCs w:val="24"/>
    </w:rPr>
  </w:style>
  <w:style w:type="character" w:customStyle="1" w:styleId="Heading9Char">
    <w:name w:val="Heading 9 Char"/>
    <w:basedOn w:val="DefaultParagraphFont"/>
    <w:link w:val="Heading9"/>
    <w:uiPriority w:val="9"/>
    <w:rsid w:val="008B1196"/>
    <w:rPr>
      <w:rFonts w:ascii="Arial" w:eastAsia="MS Mincho" w:hAnsi="Arial" w:cs="Times New Roman"/>
      <w:sz w:val="20"/>
      <w:szCs w:val="20"/>
    </w:rPr>
  </w:style>
  <w:style w:type="paragraph" w:customStyle="1" w:styleId="AppendixIndent">
    <w:name w:val="Appendix Indent"/>
    <w:basedOn w:val="Normal"/>
    <w:rsid w:val="008B1196"/>
    <w:pPr>
      <w:spacing w:before="60"/>
      <w:ind w:left="360"/>
    </w:pPr>
    <w:rPr>
      <w:rFonts w:ascii="Trebuchet MS" w:hAnsi="Trebuchet MS"/>
      <w:sz w:val="20"/>
      <w:szCs w:val="20"/>
    </w:rPr>
  </w:style>
  <w:style w:type="paragraph" w:customStyle="1" w:styleId="Body">
    <w:name w:val="Body"/>
    <w:basedOn w:val="Normal"/>
    <w:rsid w:val="008B1196"/>
    <w:pPr>
      <w:ind w:left="720"/>
    </w:pPr>
    <w:rPr>
      <w:rFonts w:ascii="Trebuchet MS" w:hAnsi="Trebuchet MS"/>
      <w:sz w:val="20"/>
      <w:szCs w:val="24"/>
    </w:rPr>
  </w:style>
  <w:style w:type="character" w:styleId="Hyperlink">
    <w:name w:val="Hyperlink"/>
    <w:uiPriority w:val="99"/>
    <w:unhideWhenUsed/>
    <w:rsid w:val="008B1196"/>
    <w:rPr>
      <w:rFonts w:cs="Times New Roman"/>
      <w:color w:val="0000FF"/>
      <w:u w:val="single"/>
    </w:rPr>
  </w:style>
  <w:style w:type="character" w:customStyle="1" w:styleId="BodyChar">
    <w:name w:val="Body Char"/>
    <w:rsid w:val="008B1196"/>
    <w:rPr>
      <w:rFonts w:ascii="Trebuchet MS" w:hAnsi="Trebuchet MS"/>
      <w:sz w:val="24"/>
      <w:lang w:val="en-US" w:eastAsia="en-US"/>
    </w:rPr>
  </w:style>
  <w:style w:type="paragraph" w:customStyle="1" w:styleId="Char">
    <w:name w:val="Char"/>
    <w:basedOn w:val="Normal"/>
    <w:rsid w:val="008B1196"/>
    <w:pPr>
      <w:spacing w:after="160" w:line="240" w:lineRule="exact"/>
    </w:pPr>
    <w:rPr>
      <w:sz w:val="20"/>
      <w:szCs w:val="20"/>
    </w:rPr>
  </w:style>
  <w:style w:type="paragraph" w:customStyle="1" w:styleId="ProductNames">
    <w:name w:val="Product Names"/>
    <w:basedOn w:val="Normal"/>
    <w:rsid w:val="008B1196"/>
    <w:pPr>
      <w:keepLines/>
      <w:spacing w:before="20" w:after="20"/>
    </w:pPr>
    <w:rPr>
      <w:rFonts w:ascii="Trebuchet MS" w:hAnsi="Trebuchet MS" w:cs="Arial"/>
      <w:position w:val="-11"/>
      <w:sz w:val="16"/>
      <w:szCs w:val="16"/>
    </w:rPr>
  </w:style>
  <w:style w:type="character" w:customStyle="1" w:styleId="ProductNamesChar">
    <w:name w:val="Product Names Char"/>
    <w:rsid w:val="008B1196"/>
    <w:rPr>
      <w:rFonts w:ascii="Trebuchet MS" w:hAnsi="Trebuchet MS"/>
      <w:position w:val="-11"/>
      <w:sz w:val="16"/>
    </w:rPr>
  </w:style>
  <w:style w:type="paragraph" w:customStyle="1" w:styleId="ChartKeyHeadings">
    <w:name w:val="ChartKey Headings"/>
    <w:basedOn w:val="Normal"/>
    <w:rsid w:val="008B1196"/>
    <w:pPr>
      <w:ind w:left="720"/>
    </w:pPr>
    <w:rPr>
      <w:rFonts w:ascii="Trebuchet MS" w:hAnsi="Trebuchet MS" w:cs="Arial"/>
      <w:b/>
      <w:sz w:val="24"/>
      <w:szCs w:val="20"/>
    </w:rPr>
  </w:style>
  <w:style w:type="character" w:styleId="FollowedHyperlink">
    <w:name w:val="FollowedHyperlink"/>
    <w:uiPriority w:val="99"/>
    <w:rsid w:val="008B1196"/>
    <w:rPr>
      <w:rFonts w:cs="Times New Roman"/>
      <w:color w:val="800080"/>
      <w:u w:val="single"/>
    </w:rPr>
  </w:style>
  <w:style w:type="paragraph" w:styleId="Header">
    <w:name w:val="header"/>
    <w:basedOn w:val="Normal"/>
    <w:link w:val="HeaderChar"/>
    <w:uiPriority w:val="99"/>
    <w:rsid w:val="008B1196"/>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rsid w:val="008B1196"/>
    <w:rPr>
      <w:rFonts w:ascii="Trebuchet MS" w:eastAsia="MS Mincho" w:hAnsi="Trebuchet MS" w:cs="Times New Roman"/>
      <w:sz w:val="15"/>
      <w:szCs w:val="15"/>
    </w:rPr>
  </w:style>
  <w:style w:type="paragraph" w:styleId="Footer">
    <w:name w:val="footer"/>
    <w:basedOn w:val="Normal"/>
    <w:link w:val="FooterChar"/>
    <w:uiPriority w:val="99"/>
    <w:rsid w:val="008B1196"/>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rsid w:val="008B1196"/>
    <w:rPr>
      <w:rFonts w:ascii="Arial Narrow" w:eastAsia="MS Mincho" w:hAnsi="Arial Narrow" w:cs="Times New Roman"/>
      <w:sz w:val="18"/>
      <w:szCs w:val="20"/>
    </w:rPr>
  </w:style>
  <w:style w:type="paragraph" w:customStyle="1" w:styleId="PublishDate">
    <w:name w:val="Publish Date"/>
    <w:basedOn w:val="Normal"/>
    <w:rsid w:val="008B1196"/>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8B1196"/>
    <w:rPr>
      <w:rFonts w:ascii="Trebuchet MS" w:hAnsi="Trebuchet MS"/>
      <w:b/>
      <w:color w:val="FF6600"/>
      <w:sz w:val="24"/>
    </w:rPr>
  </w:style>
  <w:style w:type="paragraph" w:customStyle="1" w:styleId="ProductEndnote">
    <w:name w:val="Product Endnote"/>
    <w:basedOn w:val="Normal"/>
    <w:link w:val="ProductEndnoteChar"/>
    <w:uiPriority w:val="99"/>
    <w:rsid w:val="008B1196"/>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8B1196"/>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8B1196"/>
    <w:pPr>
      <w:tabs>
        <w:tab w:val="num" w:pos="1080"/>
      </w:tabs>
      <w:ind w:left="720"/>
    </w:pPr>
    <w:rPr>
      <w:rFonts w:ascii="Trebuchet MS" w:hAnsi="Trebuchet MS"/>
      <w:sz w:val="20"/>
      <w:szCs w:val="24"/>
    </w:rPr>
  </w:style>
  <w:style w:type="paragraph" w:customStyle="1" w:styleId="Bodywithspace">
    <w:name w:val="Body with space"/>
    <w:basedOn w:val="Normal"/>
    <w:rsid w:val="008B1196"/>
    <w:pPr>
      <w:spacing w:before="80" w:after="80"/>
      <w:ind w:left="720"/>
    </w:pPr>
    <w:rPr>
      <w:rFonts w:ascii="Trebuchet MS" w:hAnsi="Trebuchet MS" w:cs="Arial"/>
      <w:sz w:val="20"/>
      <w:szCs w:val="20"/>
    </w:rPr>
  </w:style>
  <w:style w:type="paragraph" w:customStyle="1" w:styleId="TableHeadingsGreen">
    <w:name w:val="Table Headings Green"/>
    <w:basedOn w:val="Normal"/>
    <w:rsid w:val="008B1196"/>
    <w:pPr>
      <w:spacing w:before="40"/>
      <w:jc w:val="center"/>
    </w:pPr>
    <w:rPr>
      <w:rFonts w:ascii="Trebuchet MS" w:hAnsi="Trebuchet MS"/>
      <w:b/>
      <w:bCs/>
      <w:color w:val="008000"/>
      <w:sz w:val="11"/>
      <w:szCs w:val="20"/>
    </w:rPr>
  </w:style>
  <w:style w:type="paragraph" w:customStyle="1" w:styleId="NumberedSteps">
    <w:name w:val="Numbered Steps"/>
    <w:basedOn w:val="Body"/>
    <w:rsid w:val="008B1196"/>
    <w:pPr>
      <w:spacing w:before="200" w:after="200"/>
    </w:pPr>
    <w:rPr>
      <w:bCs/>
    </w:rPr>
  </w:style>
  <w:style w:type="paragraph" w:styleId="EndnoteText">
    <w:name w:val="endnote text"/>
    <w:basedOn w:val="Normal"/>
    <w:link w:val="EndnoteTextChar"/>
    <w:uiPriority w:val="99"/>
    <w:rsid w:val="008B1196"/>
    <w:pPr>
      <w:ind w:left="900"/>
    </w:pPr>
    <w:rPr>
      <w:rFonts w:ascii="Trebuchet MS" w:hAnsi="Trebuchet MS"/>
      <w:sz w:val="24"/>
      <w:szCs w:val="20"/>
      <w:lang w:val="x-none" w:eastAsia="x-none"/>
    </w:rPr>
  </w:style>
  <w:style w:type="character" w:customStyle="1" w:styleId="EndnoteTextChar">
    <w:name w:val="Endnote Text Char"/>
    <w:basedOn w:val="DefaultParagraphFont"/>
    <w:link w:val="EndnoteText"/>
    <w:uiPriority w:val="99"/>
    <w:rsid w:val="008B1196"/>
    <w:rPr>
      <w:rFonts w:ascii="Trebuchet MS" w:eastAsia="MS Mincho" w:hAnsi="Trebuchet MS" w:cs="Times New Roman"/>
      <w:sz w:val="24"/>
      <w:szCs w:val="20"/>
      <w:lang w:val="x-none" w:eastAsia="x-none"/>
    </w:rPr>
  </w:style>
  <w:style w:type="character" w:styleId="EndnoteReference">
    <w:name w:val="endnote reference"/>
    <w:uiPriority w:val="99"/>
    <w:semiHidden/>
    <w:rsid w:val="008B1196"/>
    <w:rPr>
      <w:rFonts w:ascii="Trebuchet MS" w:hAnsi="Trebuchet MS" w:cs="Times New Roman"/>
      <w:b/>
      <w:color w:val="FF0000"/>
      <w:sz w:val="18"/>
      <w:vertAlign w:val="superscript"/>
    </w:rPr>
  </w:style>
  <w:style w:type="paragraph" w:customStyle="1" w:styleId="TableVerticalText">
    <w:name w:val="Table Vertical Text"/>
    <w:basedOn w:val="Normal"/>
    <w:rsid w:val="008B1196"/>
    <w:pPr>
      <w:ind w:left="115" w:right="115"/>
      <w:jc w:val="center"/>
    </w:pPr>
    <w:rPr>
      <w:rFonts w:ascii="Trebuchet MS" w:hAnsi="Trebuchet MS"/>
      <w:sz w:val="11"/>
      <w:szCs w:val="20"/>
    </w:rPr>
  </w:style>
  <w:style w:type="paragraph" w:customStyle="1" w:styleId="TableHeadingsBlack">
    <w:name w:val="Table Headings Black"/>
    <w:basedOn w:val="Normal"/>
    <w:rsid w:val="008B1196"/>
    <w:pPr>
      <w:spacing w:before="40"/>
      <w:jc w:val="center"/>
    </w:pPr>
    <w:rPr>
      <w:rFonts w:ascii="Trebuchet MS" w:hAnsi="Trebuchet MS"/>
      <w:sz w:val="11"/>
      <w:szCs w:val="20"/>
    </w:rPr>
  </w:style>
  <w:style w:type="paragraph" w:customStyle="1" w:styleId="TableHeadingsBlue">
    <w:name w:val="Table Headings Blue"/>
    <w:basedOn w:val="Normal"/>
    <w:rsid w:val="008B1196"/>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8B1196"/>
    <w:pPr>
      <w:spacing w:before="40"/>
      <w:jc w:val="center"/>
    </w:pPr>
    <w:rPr>
      <w:rFonts w:ascii="Trebuchet MS" w:hAnsi="Trebuchet MS"/>
      <w:b/>
      <w:bCs/>
      <w:color w:val="FF0000"/>
      <w:sz w:val="11"/>
      <w:szCs w:val="20"/>
    </w:rPr>
  </w:style>
  <w:style w:type="paragraph" w:customStyle="1" w:styleId="TableText">
    <w:name w:val="Table Text"/>
    <w:basedOn w:val="Heading3"/>
    <w:rsid w:val="008B1196"/>
    <w:pPr>
      <w:jc w:val="center"/>
      <w:outlineLvl w:val="9"/>
    </w:pPr>
    <w:rPr>
      <w:b w:val="0"/>
      <w:sz w:val="15"/>
      <w:szCs w:val="15"/>
    </w:rPr>
  </w:style>
  <w:style w:type="paragraph" w:customStyle="1" w:styleId="AppendixTableHeadings">
    <w:name w:val="Appendix Table Headings"/>
    <w:basedOn w:val="AppendixTableText"/>
    <w:rsid w:val="008B1196"/>
    <w:rPr>
      <w:b/>
      <w:bCs/>
    </w:rPr>
  </w:style>
  <w:style w:type="paragraph" w:customStyle="1" w:styleId="AppendixTableText">
    <w:name w:val="Appendix Table Text"/>
    <w:basedOn w:val="Normal"/>
    <w:rsid w:val="008B1196"/>
    <w:pPr>
      <w:spacing w:line="240" w:lineRule="atLeast"/>
      <w:jc w:val="center"/>
    </w:pPr>
    <w:rPr>
      <w:rFonts w:ascii="Trebuchet MS" w:hAnsi="Trebuchet MS" w:cs="Arial"/>
      <w:szCs w:val="18"/>
    </w:rPr>
  </w:style>
  <w:style w:type="paragraph" w:styleId="TOC2">
    <w:name w:val="toc 2"/>
    <w:basedOn w:val="Normal"/>
    <w:next w:val="Normal"/>
    <w:uiPriority w:val="39"/>
    <w:rsid w:val="008B1196"/>
    <w:pPr>
      <w:tabs>
        <w:tab w:val="right" w:leader="dot" w:pos="9360"/>
      </w:tabs>
    </w:pPr>
    <w:rPr>
      <w:noProof/>
      <w:szCs w:val="20"/>
    </w:rPr>
  </w:style>
  <w:style w:type="paragraph" w:customStyle="1" w:styleId="FootnoteBulletLevel2">
    <w:name w:val="Footnote Bullet Level 2"/>
    <w:basedOn w:val="Normal"/>
    <w:rsid w:val="008B1196"/>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8B1196"/>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8B1196"/>
    <w:pPr>
      <w:spacing w:after="60"/>
    </w:pPr>
    <w:rPr>
      <w:rFonts w:ascii="Trebuchet MS" w:hAnsi="Trebuchet MS" w:cs="Arial"/>
      <w:sz w:val="20"/>
      <w:szCs w:val="20"/>
    </w:rPr>
  </w:style>
  <w:style w:type="character" w:customStyle="1" w:styleId="ProductEndnoteCharChar">
    <w:name w:val="Product Endnote Char Char"/>
    <w:rsid w:val="008B1196"/>
    <w:rPr>
      <w:rFonts w:ascii="Trebuchet MS" w:hAnsi="Trebuchet MS"/>
      <w:b/>
      <w:color w:val="FF6600"/>
      <w:sz w:val="24"/>
    </w:rPr>
  </w:style>
  <w:style w:type="paragraph" w:customStyle="1" w:styleId="FootnoteBulletLevel1">
    <w:name w:val="Footnote Bullet Level 1"/>
    <w:basedOn w:val="Normal"/>
    <w:rsid w:val="008B1196"/>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8B1196"/>
    <w:rPr>
      <w:rFonts w:ascii="Trebuchet MS" w:hAnsi="Trebuchet MS"/>
    </w:rPr>
  </w:style>
  <w:style w:type="paragraph" w:styleId="TOC3">
    <w:name w:val="toc 3"/>
    <w:basedOn w:val="Normal"/>
    <w:next w:val="Normal"/>
    <w:uiPriority w:val="39"/>
    <w:rsid w:val="008B1196"/>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8B1196"/>
    <w:pPr>
      <w:ind w:left="1260"/>
    </w:pPr>
  </w:style>
  <w:style w:type="paragraph" w:styleId="TOC4">
    <w:name w:val="toc 4"/>
    <w:basedOn w:val="Normal"/>
    <w:next w:val="Normal"/>
    <w:autoRedefine/>
    <w:uiPriority w:val="39"/>
    <w:rsid w:val="008B1196"/>
    <w:pPr>
      <w:tabs>
        <w:tab w:val="right" w:leader="dot" w:pos="9360"/>
      </w:tabs>
    </w:pPr>
    <w:rPr>
      <w:szCs w:val="24"/>
    </w:rPr>
  </w:style>
  <w:style w:type="paragraph" w:styleId="TOC5">
    <w:name w:val="toc 5"/>
    <w:basedOn w:val="Normal"/>
    <w:next w:val="Normal"/>
    <w:autoRedefine/>
    <w:uiPriority w:val="39"/>
    <w:rsid w:val="008B1196"/>
    <w:pPr>
      <w:ind w:left="960"/>
    </w:pPr>
    <w:rPr>
      <w:rFonts w:ascii="Times New Roman" w:hAnsi="Times New Roman"/>
      <w:sz w:val="24"/>
      <w:szCs w:val="24"/>
    </w:rPr>
  </w:style>
  <w:style w:type="paragraph" w:styleId="TOC6">
    <w:name w:val="toc 6"/>
    <w:basedOn w:val="Normal"/>
    <w:next w:val="Normal"/>
    <w:autoRedefine/>
    <w:uiPriority w:val="39"/>
    <w:rsid w:val="008B1196"/>
    <w:pPr>
      <w:ind w:left="1200"/>
    </w:pPr>
    <w:rPr>
      <w:rFonts w:ascii="Times New Roman" w:hAnsi="Times New Roman"/>
      <w:sz w:val="24"/>
      <w:szCs w:val="24"/>
    </w:rPr>
  </w:style>
  <w:style w:type="paragraph" w:styleId="TOC7">
    <w:name w:val="toc 7"/>
    <w:basedOn w:val="Normal"/>
    <w:next w:val="Normal"/>
    <w:autoRedefine/>
    <w:uiPriority w:val="39"/>
    <w:rsid w:val="008B1196"/>
    <w:pPr>
      <w:ind w:left="1440"/>
    </w:pPr>
    <w:rPr>
      <w:rFonts w:ascii="Times New Roman" w:hAnsi="Times New Roman"/>
      <w:sz w:val="24"/>
      <w:szCs w:val="24"/>
    </w:rPr>
  </w:style>
  <w:style w:type="paragraph" w:styleId="TOC8">
    <w:name w:val="toc 8"/>
    <w:basedOn w:val="Normal"/>
    <w:next w:val="Normal"/>
    <w:autoRedefine/>
    <w:uiPriority w:val="39"/>
    <w:rsid w:val="008B1196"/>
    <w:pPr>
      <w:ind w:left="1680"/>
    </w:pPr>
    <w:rPr>
      <w:rFonts w:ascii="Times New Roman" w:hAnsi="Times New Roman"/>
      <w:sz w:val="24"/>
      <w:szCs w:val="24"/>
    </w:rPr>
  </w:style>
  <w:style w:type="paragraph" w:styleId="TOC9">
    <w:name w:val="toc 9"/>
    <w:basedOn w:val="Normal"/>
    <w:next w:val="Normal"/>
    <w:autoRedefine/>
    <w:uiPriority w:val="39"/>
    <w:rsid w:val="008B1196"/>
    <w:pPr>
      <w:ind w:left="1920"/>
    </w:pPr>
    <w:rPr>
      <w:rFonts w:ascii="Times New Roman" w:hAnsi="Times New Roman"/>
      <w:sz w:val="24"/>
      <w:szCs w:val="24"/>
    </w:rPr>
  </w:style>
  <w:style w:type="paragraph" w:customStyle="1" w:styleId="AppendixBulletIndent">
    <w:name w:val="Appendix Bullet Indent"/>
    <w:basedOn w:val="AppendixFlushBulletedList"/>
    <w:rsid w:val="008B1196"/>
    <w:pPr>
      <w:tabs>
        <w:tab w:val="clear" w:pos="360"/>
        <w:tab w:val="num" w:pos="720"/>
      </w:tabs>
      <w:ind w:left="720"/>
    </w:pPr>
  </w:style>
  <w:style w:type="paragraph" w:customStyle="1" w:styleId="AppendixFlushBulletedList">
    <w:name w:val="Appendix Flush Bulleted List"/>
    <w:basedOn w:val="Normal"/>
    <w:rsid w:val="008B1196"/>
    <w:pPr>
      <w:tabs>
        <w:tab w:val="num" w:pos="360"/>
      </w:tabs>
      <w:ind w:left="360" w:hanging="360"/>
    </w:pPr>
    <w:rPr>
      <w:rFonts w:ascii="Trebuchet MS" w:hAnsi="Trebuchet MS" w:cs="Arial"/>
      <w:sz w:val="20"/>
      <w:szCs w:val="20"/>
    </w:rPr>
  </w:style>
  <w:style w:type="paragraph" w:customStyle="1" w:styleId="ProductPool">
    <w:name w:val="Product Pool"/>
    <w:basedOn w:val="Heading3"/>
    <w:rsid w:val="008B1196"/>
  </w:style>
  <w:style w:type="paragraph" w:customStyle="1" w:styleId="AppendixTabbedList">
    <w:name w:val="Appendix Tabbed List"/>
    <w:basedOn w:val="AppendixBodyText"/>
    <w:rsid w:val="008B1196"/>
    <w:pPr>
      <w:tabs>
        <w:tab w:val="left" w:pos="2520"/>
      </w:tabs>
    </w:pPr>
  </w:style>
  <w:style w:type="paragraph" w:customStyle="1" w:styleId="ProductNote">
    <w:name w:val="Product Note"/>
    <w:basedOn w:val="ProductNames"/>
    <w:rsid w:val="008B1196"/>
    <w:pPr>
      <w:spacing w:before="0" w:after="0"/>
    </w:pPr>
    <w:rPr>
      <w:sz w:val="12"/>
      <w:szCs w:val="12"/>
    </w:rPr>
  </w:style>
  <w:style w:type="character" w:customStyle="1" w:styleId="ProductNoteCharChar">
    <w:name w:val="Product Note Char Char"/>
    <w:rsid w:val="008B1196"/>
    <w:rPr>
      <w:rFonts w:ascii="Trebuchet MS" w:hAnsi="Trebuchet MS"/>
      <w:position w:val="-11"/>
      <w:sz w:val="12"/>
    </w:rPr>
  </w:style>
  <w:style w:type="paragraph" w:customStyle="1" w:styleId="Bulletedlistflush">
    <w:name w:val="Bulleted list flush"/>
    <w:basedOn w:val="BulletedList"/>
    <w:rsid w:val="008B1196"/>
    <w:pPr>
      <w:tabs>
        <w:tab w:val="clear" w:pos="1080"/>
        <w:tab w:val="num" w:pos="360"/>
      </w:tabs>
      <w:ind w:left="360" w:hanging="360"/>
    </w:pPr>
  </w:style>
  <w:style w:type="paragraph" w:styleId="BalloonText">
    <w:name w:val="Balloon Text"/>
    <w:basedOn w:val="Normal"/>
    <w:link w:val="BalloonTextChar"/>
    <w:uiPriority w:val="99"/>
    <w:semiHidden/>
    <w:rsid w:val="008B1196"/>
    <w:rPr>
      <w:sz w:val="16"/>
      <w:szCs w:val="16"/>
    </w:rPr>
  </w:style>
  <w:style w:type="character" w:customStyle="1" w:styleId="BalloonTextChar">
    <w:name w:val="Balloon Text Char"/>
    <w:basedOn w:val="DefaultParagraphFont"/>
    <w:link w:val="BalloonText"/>
    <w:uiPriority w:val="99"/>
    <w:semiHidden/>
    <w:rsid w:val="008B1196"/>
    <w:rPr>
      <w:rFonts w:ascii="Tahoma" w:eastAsia="MS Mincho" w:hAnsi="Tahoma" w:cs="Times New Roman"/>
      <w:sz w:val="16"/>
      <w:szCs w:val="16"/>
    </w:rPr>
  </w:style>
  <w:style w:type="paragraph" w:customStyle="1" w:styleId="StyleHeading22Left138Firstline0">
    <w:name w:val="Style Heading 2 #2 + Left:  1.38&quot; First line:  0&quot;"/>
    <w:basedOn w:val="Normal"/>
    <w:rsid w:val="008B1196"/>
    <w:pPr>
      <w:ind w:left="1008"/>
      <w:jc w:val="both"/>
    </w:pPr>
    <w:rPr>
      <w:rFonts w:ascii="Arial" w:hAnsi="Arial"/>
      <w:sz w:val="20"/>
      <w:szCs w:val="20"/>
    </w:rPr>
  </w:style>
  <w:style w:type="paragraph" w:customStyle="1" w:styleId="AppendIndent">
    <w:name w:val="Append_Indent"/>
    <w:basedOn w:val="Normal"/>
    <w:rsid w:val="008B1196"/>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8B1196"/>
    <w:pPr>
      <w:jc w:val="left"/>
    </w:pPr>
    <w:rPr>
      <w:rFonts w:ascii="Trebuchet MS" w:hAnsi="Trebuchet MS"/>
    </w:rPr>
  </w:style>
  <w:style w:type="paragraph" w:customStyle="1" w:styleId="styleheading22left138firstline00">
    <w:name w:val="styleheading22left138firstline0"/>
    <w:basedOn w:val="Normal"/>
    <w:rsid w:val="008B1196"/>
    <w:pPr>
      <w:ind w:left="1008"/>
      <w:jc w:val="both"/>
    </w:pPr>
    <w:rPr>
      <w:rFonts w:ascii="Arial" w:hAnsi="Arial" w:cs="Arial"/>
      <w:sz w:val="20"/>
      <w:szCs w:val="20"/>
    </w:rPr>
  </w:style>
  <w:style w:type="paragraph" w:customStyle="1" w:styleId="Char1">
    <w:name w:val="Char1"/>
    <w:basedOn w:val="Normal"/>
    <w:rsid w:val="008B1196"/>
    <w:pPr>
      <w:spacing w:after="160" w:line="240" w:lineRule="exact"/>
    </w:pPr>
    <w:rPr>
      <w:sz w:val="20"/>
      <w:szCs w:val="20"/>
    </w:rPr>
  </w:style>
  <w:style w:type="paragraph" w:customStyle="1" w:styleId="StyleHeading22Left025Firstline0">
    <w:name w:val="Style Heading 2 #2 + Left:  0.25&quot; First line:  0&quot;"/>
    <w:basedOn w:val="Normal"/>
    <w:rsid w:val="008B1196"/>
    <w:pPr>
      <w:tabs>
        <w:tab w:val="num" w:pos="720"/>
      </w:tabs>
      <w:ind w:left="720" w:hanging="360"/>
      <w:jc w:val="both"/>
    </w:pPr>
    <w:rPr>
      <w:rFonts w:ascii="Arial" w:hAnsi="Arial"/>
      <w:b/>
      <w:sz w:val="20"/>
      <w:szCs w:val="20"/>
    </w:rPr>
  </w:style>
  <w:style w:type="character" w:styleId="CommentReference">
    <w:name w:val="annotation reference"/>
    <w:uiPriority w:val="99"/>
    <w:rsid w:val="008B1196"/>
    <w:rPr>
      <w:rFonts w:cs="Times New Roman"/>
      <w:sz w:val="16"/>
    </w:rPr>
  </w:style>
  <w:style w:type="character" w:styleId="PageNumber">
    <w:name w:val="page number"/>
    <w:uiPriority w:val="99"/>
    <w:rsid w:val="008B1196"/>
    <w:rPr>
      <w:rFonts w:cs="Times New Roman"/>
    </w:rPr>
  </w:style>
  <w:style w:type="paragraph" w:styleId="ListBullet3">
    <w:name w:val="List Bullet 3"/>
    <w:basedOn w:val="Normal"/>
    <w:uiPriority w:val="99"/>
    <w:rsid w:val="008B1196"/>
    <w:pPr>
      <w:tabs>
        <w:tab w:val="num" w:pos="1080"/>
      </w:tabs>
      <w:ind w:left="1080" w:hanging="360"/>
    </w:pPr>
    <w:rPr>
      <w:rFonts w:ascii="Arial" w:hAnsi="Arial" w:cs="Arial"/>
      <w:sz w:val="20"/>
      <w:szCs w:val="20"/>
    </w:rPr>
  </w:style>
  <w:style w:type="paragraph" w:customStyle="1" w:styleId="appendixbodytext0">
    <w:name w:val="appendixbodytext"/>
    <w:basedOn w:val="Normal"/>
    <w:rsid w:val="008B1196"/>
    <w:pPr>
      <w:spacing w:after="60"/>
    </w:pPr>
    <w:rPr>
      <w:rFonts w:ascii="Trebuchet MS" w:hAnsi="Trebuchet MS"/>
      <w:sz w:val="20"/>
      <w:szCs w:val="20"/>
    </w:rPr>
  </w:style>
  <w:style w:type="paragraph" w:customStyle="1" w:styleId="tableclose">
    <w:name w:val="tableclose"/>
    <w:basedOn w:val="Normal"/>
    <w:rsid w:val="008B1196"/>
    <w:rPr>
      <w:rFonts w:ascii="Arial" w:hAnsi="Arial" w:cs="Arial"/>
      <w:sz w:val="20"/>
      <w:szCs w:val="20"/>
    </w:rPr>
  </w:style>
  <w:style w:type="paragraph" w:customStyle="1" w:styleId="appendindent0">
    <w:name w:val="appendindent"/>
    <w:basedOn w:val="Normal"/>
    <w:rsid w:val="008B1196"/>
    <w:pPr>
      <w:ind w:left="720" w:hanging="360"/>
    </w:pPr>
    <w:rPr>
      <w:rFonts w:ascii="Trebuchet MS" w:hAnsi="Trebuchet MS"/>
      <w:b/>
      <w:bCs/>
      <w:sz w:val="20"/>
      <w:szCs w:val="20"/>
    </w:rPr>
  </w:style>
  <w:style w:type="paragraph" w:customStyle="1" w:styleId="productnames0">
    <w:name w:val="productnames"/>
    <w:basedOn w:val="Normal"/>
    <w:rsid w:val="008B1196"/>
    <w:pPr>
      <w:spacing w:before="20" w:after="20"/>
    </w:pPr>
    <w:rPr>
      <w:rFonts w:ascii="Trebuchet MS" w:hAnsi="Trebuchet MS"/>
      <w:position w:val="-11"/>
      <w:sz w:val="16"/>
      <w:szCs w:val="16"/>
    </w:rPr>
  </w:style>
  <w:style w:type="paragraph" w:customStyle="1" w:styleId="Char3">
    <w:name w:val="Char3"/>
    <w:basedOn w:val="Normal"/>
    <w:rsid w:val="008B1196"/>
    <w:pPr>
      <w:spacing w:after="160" w:line="240" w:lineRule="exact"/>
    </w:pPr>
    <w:rPr>
      <w:sz w:val="20"/>
      <w:szCs w:val="20"/>
    </w:rPr>
  </w:style>
  <w:style w:type="paragraph" w:customStyle="1" w:styleId="exceptionbody">
    <w:name w:val="exception body"/>
    <w:uiPriority w:val="99"/>
    <w:rsid w:val="008B1196"/>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8B1196"/>
    <w:pPr>
      <w:ind w:left="720"/>
      <w:contextualSpacing/>
    </w:pPr>
    <w:rPr>
      <w:rFonts w:ascii="Times New Roman" w:hAnsi="Times New Roman"/>
      <w:sz w:val="24"/>
      <w:szCs w:val="24"/>
    </w:rPr>
  </w:style>
  <w:style w:type="paragraph" w:styleId="FootnoteText">
    <w:name w:val="footnote text"/>
    <w:basedOn w:val="Normal"/>
    <w:link w:val="FootnoteTextChar"/>
    <w:semiHidden/>
    <w:rsid w:val="008B1196"/>
    <w:rPr>
      <w:rFonts w:ascii="Trebuchet MS" w:hAnsi="Trebuchet MS"/>
      <w:sz w:val="20"/>
      <w:szCs w:val="20"/>
      <w:lang w:val="pt-BR" w:eastAsia="pt-BR"/>
    </w:rPr>
  </w:style>
  <w:style w:type="character" w:customStyle="1" w:styleId="FootnoteTextChar">
    <w:name w:val="Footnote Text Char"/>
    <w:basedOn w:val="DefaultParagraphFont"/>
    <w:link w:val="FootnoteText"/>
    <w:semiHidden/>
    <w:rsid w:val="008B1196"/>
    <w:rPr>
      <w:rFonts w:ascii="Trebuchet MS" w:eastAsia="MS Mincho" w:hAnsi="Trebuchet MS" w:cs="Times New Roman"/>
      <w:sz w:val="20"/>
      <w:szCs w:val="20"/>
      <w:lang w:val="pt-BR" w:eastAsia="pt-BR"/>
    </w:rPr>
  </w:style>
  <w:style w:type="paragraph" w:customStyle="1" w:styleId="bodywithspace0">
    <w:name w:val="bodywithspace"/>
    <w:basedOn w:val="Normal"/>
    <w:rsid w:val="008B1196"/>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8B1196"/>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8B1196"/>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8B1196"/>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8B1196"/>
    <w:rPr>
      <w:sz w:val="16"/>
      <w:szCs w:val="16"/>
    </w:rPr>
  </w:style>
  <w:style w:type="character" w:customStyle="1" w:styleId="DocumentMapChar">
    <w:name w:val="Document Map Char"/>
    <w:basedOn w:val="DefaultParagraphFont"/>
    <w:link w:val="DocumentMap"/>
    <w:uiPriority w:val="99"/>
    <w:rsid w:val="008B1196"/>
    <w:rPr>
      <w:rFonts w:ascii="Tahoma" w:eastAsia="MS Mincho" w:hAnsi="Tahoma" w:cs="Times New Roman"/>
      <w:sz w:val="16"/>
      <w:szCs w:val="16"/>
    </w:rPr>
  </w:style>
  <w:style w:type="paragraph" w:customStyle="1" w:styleId="NoSpacing1">
    <w:name w:val="No Spacing1"/>
    <w:basedOn w:val="Normal"/>
    <w:link w:val="NoSpacingChar"/>
    <w:uiPriority w:val="1"/>
    <w:qFormat/>
    <w:rsid w:val="008B1196"/>
    <w:rPr>
      <w:rFonts w:ascii="Calibri" w:hAnsi="Calibri"/>
      <w:sz w:val="20"/>
      <w:szCs w:val="20"/>
      <w:lang w:val="x-none" w:eastAsia="zh-TW"/>
    </w:rPr>
  </w:style>
  <w:style w:type="character" w:customStyle="1" w:styleId="NoSpacingChar">
    <w:name w:val="No Spacing Char"/>
    <w:link w:val="NoSpacing1"/>
    <w:uiPriority w:val="1"/>
    <w:locked/>
    <w:rsid w:val="008B1196"/>
    <w:rPr>
      <w:rFonts w:ascii="Calibri" w:eastAsia="MS Mincho" w:hAnsi="Calibri" w:cs="Times New Roman"/>
      <w:sz w:val="20"/>
      <w:szCs w:val="20"/>
      <w:lang w:val="x-none" w:eastAsia="zh-TW"/>
    </w:rPr>
  </w:style>
  <w:style w:type="paragraph" w:customStyle="1" w:styleId="footnotebulletlevel20">
    <w:name w:val="footnotebulletlevel2"/>
    <w:basedOn w:val="Normal"/>
    <w:rsid w:val="008B1196"/>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8B1196"/>
    <w:rPr>
      <w:rFonts w:cs="Times New Roman"/>
      <w:b/>
    </w:rPr>
  </w:style>
  <w:style w:type="paragraph" w:styleId="CommentText">
    <w:name w:val="annotation text"/>
    <w:basedOn w:val="Normal"/>
    <w:link w:val="CommentTextChar"/>
    <w:uiPriority w:val="99"/>
    <w:rsid w:val="008B1196"/>
    <w:rPr>
      <w:rFonts w:ascii="Trebuchet MS" w:hAnsi="Trebuchet MS"/>
      <w:sz w:val="20"/>
      <w:szCs w:val="20"/>
      <w:lang w:val="pt-BR" w:eastAsia="pt-BR"/>
    </w:rPr>
  </w:style>
  <w:style w:type="character" w:customStyle="1" w:styleId="CommentTextChar">
    <w:name w:val="Comment Text Char"/>
    <w:basedOn w:val="DefaultParagraphFont"/>
    <w:link w:val="CommentText"/>
    <w:uiPriority w:val="99"/>
    <w:rsid w:val="008B1196"/>
    <w:rPr>
      <w:rFonts w:ascii="Trebuchet MS" w:eastAsia="MS Mincho" w:hAnsi="Trebuchet MS" w:cs="Times New Roman"/>
      <w:sz w:val="20"/>
      <w:szCs w:val="20"/>
      <w:lang w:val="pt-BR" w:eastAsia="pt-BR"/>
    </w:rPr>
  </w:style>
  <w:style w:type="paragraph" w:styleId="CommentSubject">
    <w:name w:val="annotation subject"/>
    <w:basedOn w:val="CommentText"/>
    <w:next w:val="CommentText"/>
    <w:link w:val="CommentSubjectChar"/>
    <w:semiHidden/>
    <w:rsid w:val="008B1196"/>
    <w:rPr>
      <w:b/>
    </w:rPr>
  </w:style>
  <w:style w:type="character" w:customStyle="1" w:styleId="CommentSubjectChar">
    <w:name w:val="Comment Subject Char"/>
    <w:basedOn w:val="CommentTextChar"/>
    <w:link w:val="CommentSubject"/>
    <w:semiHidden/>
    <w:rsid w:val="008B1196"/>
    <w:rPr>
      <w:rFonts w:ascii="Trebuchet MS" w:eastAsia="MS Mincho" w:hAnsi="Trebuchet MS" w:cs="Times New Roman"/>
      <w:b/>
      <w:sz w:val="20"/>
      <w:szCs w:val="20"/>
      <w:lang w:val="pt-BR" w:eastAsia="pt-BR"/>
    </w:rPr>
  </w:style>
  <w:style w:type="paragraph" w:styleId="NormalWeb">
    <w:name w:val="Normal (Web)"/>
    <w:basedOn w:val="Normal"/>
    <w:uiPriority w:val="99"/>
    <w:unhideWhenUsed/>
    <w:rsid w:val="008B1196"/>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8B1196"/>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8B1196"/>
    <w:rPr>
      <w:rFonts w:cs="Times New Roman"/>
      <w:vertAlign w:val="superscript"/>
    </w:rPr>
  </w:style>
  <w:style w:type="paragraph" w:styleId="PlainText">
    <w:name w:val="Plain Text"/>
    <w:basedOn w:val="Normal"/>
    <w:link w:val="PlainTextChar"/>
    <w:uiPriority w:val="99"/>
    <w:unhideWhenUsed/>
    <w:rsid w:val="008B1196"/>
    <w:rPr>
      <w:rFonts w:ascii="Consolas" w:hAnsi="Consolas"/>
      <w:sz w:val="21"/>
      <w:szCs w:val="21"/>
    </w:rPr>
  </w:style>
  <w:style w:type="character" w:customStyle="1" w:styleId="PlainTextChar">
    <w:name w:val="Plain Text Char"/>
    <w:basedOn w:val="DefaultParagraphFont"/>
    <w:link w:val="PlainText"/>
    <w:uiPriority w:val="99"/>
    <w:rsid w:val="008B1196"/>
    <w:rPr>
      <w:rFonts w:ascii="Consolas" w:eastAsia="MS Mincho" w:hAnsi="Consolas" w:cs="Times New Roman"/>
      <w:sz w:val="21"/>
      <w:szCs w:val="21"/>
    </w:rPr>
  </w:style>
  <w:style w:type="paragraph" w:customStyle="1" w:styleId="productendnote0">
    <w:name w:val="productendnote"/>
    <w:basedOn w:val="Normal"/>
    <w:rsid w:val="008B1196"/>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8B1196"/>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8B1196"/>
    <w:rPr>
      <w:rFonts w:ascii="Times New Roman" w:hAnsi="Times New Roman"/>
      <w:sz w:val="24"/>
      <w:szCs w:val="24"/>
    </w:rPr>
  </w:style>
  <w:style w:type="paragraph" w:styleId="BodyText">
    <w:name w:val="Body Text"/>
    <w:basedOn w:val="Normal"/>
    <w:link w:val="BodyTextChar"/>
    <w:uiPriority w:val="99"/>
    <w:unhideWhenUsed/>
    <w:rsid w:val="008B1196"/>
    <w:pPr>
      <w:spacing w:before="100" w:after="180" w:line="260" w:lineRule="exact"/>
    </w:pPr>
    <w:rPr>
      <w:rFonts w:ascii="Verdana" w:hAnsi="Verdana"/>
      <w:color w:val="000000"/>
      <w:sz w:val="20"/>
      <w:szCs w:val="20"/>
      <w:lang w:val="x-none" w:eastAsia="x-none"/>
    </w:rPr>
  </w:style>
  <w:style w:type="character" w:customStyle="1" w:styleId="BodyTextChar">
    <w:name w:val="Body Text Char"/>
    <w:basedOn w:val="DefaultParagraphFont"/>
    <w:link w:val="BodyText"/>
    <w:uiPriority w:val="99"/>
    <w:rsid w:val="008B1196"/>
    <w:rPr>
      <w:rFonts w:ascii="Verdana" w:eastAsia="MS Mincho" w:hAnsi="Verdana" w:cs="Times New Roman"/>
      <w:color w:val="000000"/>
      <w:sz w:val="20"/>
      <w:szCs w:val="20"/>
      <w:lang w:val="x-none" w:eastAsia="x-none"/>
    </w:rPr>
  </w:style>
  <w:style w:type="paragraph" w:customStyle="1" w:styleId="ColorfulShading-Accent11">
    <w:name w:val="Colorful Shading - Accent 11"/>
    <w:hidden/>
    <w:uiPriority w:val="99"/>
    <w:semiHidden/>
    <w:rsid w:val="008B1196"/>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8B1196"/>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rsid w:val="008B1196"/>
    <w:rPr>
      <w:rFonts w:ascii="Calibri" w:eastAsia="MS Mincho" w:hAnsi="Calibri" w:cs="Times New Roman"/>
    </w:rPr>
  </w:style>
  <w:style w:type="paragraph" w:customStyle="1" w:styleId="normal1">
    <w:name w:val="normal1"/>
    <w:basedOn w:val="Normal"/>
    <w:rsid w:val="008B1196"/>
    <w:rPr>
      <w:rFonts w:ascii="Arial" w:hAnsi="Arial" w:cs="Arial"/>
      <w:sz w:val="20"/>
      <w:szCs w:val="20"/>
    </w:rPr>
  </w:style>
  <w:style w:type="paragraph" w:customStyle="1" w:styleId="normal195">
    <w:name w:val="normal1 9.5"/>
    <w:basedOn w:val="Normal"/>
    <w:rsid w:val="008B1196"/>
    <w:pPr>
      <w:ind w:left="720"/>
      <w:jc w:val="both"/>
    </w:pPr>
    <w:rPr>
      <w:rFonts w:ascii="Arial" w:hAnsi="Arial" w:cs="Arial"/>
      <w:sz w:val="19"/>
      <w:szCs w:val="19"/>
    </w:rPr>
  </w:style>
  <w:style w:type="character" w:customStyle="1" w:styleId="Head1Char">
    <w:name w:val="Head 1 Char"/>
    <w:link w:val="Head1"/>
    <w:locked/>
    <w:rsid w:val="008B1196"/>
    <w:rPr>
      <w:rFonts w:ascii="Arial" w:hAnsi="Arial"/>
      <w:b/>
      <w:i/>
    </w:rPr>
  </w:style>
  <w:style w:type="paragraph" w:customStyle="1" w:styleId="Head1">
    <w:name w:val="Head 1"/>
    <w:basedOn w:val="Normal"/>
    <w:link w:val="Head1Char"/>
    <w:rsid w:val="008B1196"/>
    <w:pPr>
      <w:spacing w:before="120" w:after="120"/>
      <w:jc w:val="both"/>
    </w:pPr>
    <w:rPr>
      <w:rFonts w:ascii="Arial" w:eastAsiaTheme="minorHAnsi" w:hAnsi="Arial" w:cstheme="minorBidi"/>
      <w:b/>
      <w:i/>
      <w:sz w:val="22"/>
    </w:rPr>
  </w:style>
  <w:style w:type="table" w:styleId="TableGrid">
    <w:name w:val="Table Grid"/>
    <w:basedOn w:val="TableNormal"/>
    <w:uiPriority w:val="59"/>
    <w:rsid w:val="008B1196"/>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8B1196"/>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8B1196"/>
    <w:pPr>
      <w:ind w:left="720"/>
      <w:contextualSpacing/>
    </w:pPr>
    <w:rPr>
      <w:rFonts w:ascii="Times New Roman" w:hAnsi="Times New Roman"/>
      <w:sz w:val="24"/>
      <w:szCs w:val="20"/>
      <w:lang w:val="x-none" w:eastAsia="x-none"/>
    </w:rPr>
  </w:style>
  <w:style w:type="paragraph" w:styleId="Revision">
    <w:name w:val="Revision"/>
    <w:hidden/>
    <w:uiPriority w:val="99"/>
    <w:semiHidden/>
    <w:rsid w:val="008B1196"/>
    <w:pPr>
      <w:spacing w:after="0" w:line="240" w:lineRule="auto"/>
    </w:pPr>
    <w:rPr>
      <w:rFonts w:ascii="Calibri" w:eastAsia="MS Mincho" w:hAnsi="Calibri" w:cs="Times New Roman"/>
    </w:rPr>
  </w:style>
  <w:style w:type="paragraph" w:styleId="Title">
    <w:name w:val="Title"/>
    <w:basedOn w:val="Normal"/>
    <w:next w:val="Normal"/>
    <w:link w:val="TitleChar"/>
    <w:qFormat/>
    <w:rsid w:val="008B119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8B1196"/>
    <w:rPr>
      <w:rFonts w:ascii="Cambria" w:eastAsia="MS Mincho" w:hAnsi="Cambria" w:cs="Times New Roman"/>
      <w:b/>
      <w:bCs/>
      <w:kern w:val="28"/>
      <w:sz w:val="32"/>
      <w:szCs w:val="32"/>
    </w:rPr>
  </w:style>
  <w:style w:type="paragraph" w:customStyle="1" w:styleId="productlist">
    <w:name w:val="product list"/>
    <w:basedOn w:val="Normal"/>
    <w:uiPriority w:val="99"/>
    <w:rsid w:val="008B1196"/>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8B1196"/>
    <w:pPr>
      <w:spacing w:before="100" w:beforeAutospacing="1" w:after="100" w:afterAutospacing="1"/>
    </w:pPr>
    <w:rPr>
      <w:rFonts w:ascii="Times New Roman" w:hAnsi="Times New Roman"/>
      <w:sz w:val="24"/>
      <w:szCs w:val="24"/>
    </w:rPr>
  </w:style>
  <w:style w:type="character" w:styleId="Emphasis">
    <w:name w:val="Emphasis"/>
    <w:qFormat/>
    <w:rsid w:val="008B1196"/>
    <w:rPr>
      <w:rFonts w:cs="Times New Roman"/>
      <w:i/>
    </w:rPr>
  </w:style>
  <w:style w:type="paragraph" w:styleId="Subtitle">
    <w:name w:val="Subtitle"/>
    <w:basedOn w:val="Normal"/>
    <w:next w:val="Normal"/>
    <w:link w:val="SubtitleChar"/>
    <w:qFormat/>
    <w:rsid w:val="008B1196"/>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8B1196"/>
    <w:rPr>
      <w:rFonts w:ascii="Cambria" w:eastAsia="MS Mincho" w:hAnsi="Cambria" w:cs="Times New Roman"/>
      <w:sz w:val="24"/>
      <w:szCs w:val="24"/>
    </w:rPr>
  </w:style>
  <w:style w:type="paragraph" w:styleId="NoSpacing">
    <w:name w:val="No Spacing"/>
    <w:uiPriority w:val="1"/>
    <w:qFormat/>
    <w:rsid w:val="008B1196"/>
    <w:pPr>
      <w:spacing w:after="0" w:line="240" w:lineRule="auto"/>
    </w:pPr>
    <w:rPr>
      <w:rFonts w:ascii="Calibri" w:eastAsia="MS Mincho" w:hAnsi="Calibri" w:cs="Times New Roman"/>
    </w:rPr>
  </w:style>
  <w:style w:type="character" w:customStyle="1" w:styleId="formelementblack1">
    <w:name w:val="formelement_black1"/>
    <w:rsid w:val="008B1196"/>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B1196"/>
    <w:rPr>
      <w:rFonts w:ascii="Times New Roman" w:eastAsia="MS Mincho" w:hAnsi="Times New Roman" w:cs="Times New Roman"/>
      <w:sz w:val="24"/>
      <w:szCs w:val="20"/>
      <w:lang w:val="x-none" w:eastAsia="x-none"/>
    </w:rPr>
  </w:style>
  <w:style w:type="paragraph" w:customStyle="1" w:styleId="3iNumbered2ndlevel">
    <w:name w:val="3i. Numbered 2nd level"/>
    <w:basedOn w:val="Normal"/>
    <w:uiPriority w:val="99"/>
    <w:rsid w:val="008B1196"/>
    <w:pPr>
      <w:spacing w:before="60" w:line="160" w:lineRule="exact"/>
      <w:ind w:left="624" w:hanging="340"/>
    </w:pPr>
    <w:rPr>
      <w:rFonts w:cs="Tahoma"/>
      <w:color w:val="000000"/>
      <w:sz w:val="14"/>
      <w:szCs w:val="14"/>
    </w:rPr>
  </w:style>
  <w:style w:type="character" w:customStyle="1" w:styleId="emailstyle28">
    <w:name w:val="emailstyle28"/>
    <w:semiHidden/>
    <w:rsid w:val="008B1196"/>
    <w:rPr>
      <w:rFonts w:ascii="Calibri" w:hAnsi="Calibri"/>
      <w:color w:val="1F497D"/>
    </w:rPr>
  </w:style>
  <w:style w:type="character" w:customStyle="1" w:styleId="emailstyle25">
    <w:name w:val="emailstyle25"/>
    <w:semiHidden/>
    <w:rsid w:val="008B1196"/>
    <w:rPr>
      <w:rFonts w:ascii="Calibri" w:hAnsi="Calibri"/>
      <w:color w:val="auto"/>
    </w:rPr>
  </w:style>
  <w:style w:type="table" w:customStyle="1" w:styleId="TableGrid1">
    <w:name w:val="Table Grid1"/>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8B1196"/>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8B1196"/>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8B1196"/>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8B1196"/>
    <w:rPr>
      <w:rFonts w:ascii="Arial" w:eastAsia="MS Mincho" w:hAnsi="Arial" w:cs="Times New Roman"/>
      <w:sz w:val="28"/>
      <w:szCs w:val="20"/>
      <w:lang w:val="x-none" w:eastAsia="x-none"/>
    </w:rPr>
  </w:style>
  <w:style w:type="character" w:customStyle="1" w:styleId="PURBlueStrong-IndentedChar">
    <w:name w:val="PUR Blue Strong - Indented Char"/>
    <w:link w:val="PURBlueStrong-Indented"/>
    <w:uiPriority w:val="3"/>
    <w:locked/>
    <w:rsid w:val="008B1196"/>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8B1196"/>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8B1196"/>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8B1196"/>
  </w:style>
  <w:style w:type="paragraph" w:customStyle="1" w:styleId="PURBody-Indented">
    <w:name w:val="PUR Body - Indented"/>
    <w:basedOn w:val="Normal"/>
    <w:link w:val="PURBody-IndentedChar"/>
    <w:uiPriority w:val="3"/>
    <w:rsid w:val="008B1196"/>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8B1196"/>
  </w:style>
  <w:style w:type="paragraph" w:customStyle="1" w:styleId="PURBullet-Indented">
    <w:name w:val="PUR Bullet- Indented"/>
    <w:basedOn w:val="Normal"/>
    <w:link w:val="PURBullet-IndentedChar"/>
    <w:uiPriority w:val="3"/>
    <w:rsid w:val="008B1196"/>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8B1196"/>
    <w:rPr>
      <w:rFonts w:ascii="Courier New" w:hAnsi="Courier New" w:cs="Courier New"/>
      <w:color w:val="FF0000"/>
      <w:sz w:val="76"/>
      <w:szCs w:val="76"/>
      <w:lang w:val="en-US" w:eastAsia="en-US"/>
    </w:rPr>
  </w:style>
  <w:style w:type="character" w:customStyle="1" w:styleId="LogoportDoNotTranslate">
    <w:name w:val="LogoportDoNotTranslate"/>
    <w:rsid w:val="008B1196"/>
    <w:rPr>
      <w:rFonts w:ascii="Courier New" w:hAnsi="Courier New" w:cs="Courier New"/>
      <w:color w:val="808080"/>
      <w:sz w:val="76"/>
      <w:szCs w:val="76"/>
      <w:lang w:val="en-US" w:eastAsia="en-US"/>
    </w:rPr>
  </w:style>
  <w:style w:type="character" w:customStyle="1" w:styleId="BodyChar2">
    <w:name w:val="Body Char2"/>
    <w:rsid w:val="008B1196"/>
    <w:rPr>
      <w:rFonts w:ascii="Trebuchet MS" w:hAnsi="Trebuchet MS"/>
    </w:rPr>
  </w:style>
  <w:style w:type="character" w:customStyle="1" w:styleId="BodyChar1">
    <w:name w:val="Body Char1"/>
    <w:rsid w:val="008B1196"/>
    <w:rPr>
      <w:rFonts w:ascii="Trebuchet MS" w:hAnsi="Trebuchet MS"/>
      <w:sz w:val="24"/>
      <w:lang w:val="en-US" w:eastAsia="en-US"/>
    </w:rPr>
  </w:style>
  <w:style w:type="character" w:customStyle="1" w:styleId="Ttulo3Char1">
    <w:name w:val="Título 3 Char1"/>
    <w:uiPriority w:val="9"/>
    <w:semiHidden/>
    <w:rsid w:val="008B1196"/>
    <w:rPr>
      <w:rFonts w:ascii="Cambria" w:hAnsi="Cambria" w:cs="Times New Roman"/>
      <w:b/>
      <w:bCs/>
      <w:color w:val="4F81BD"/>
      <w:sz w:val="24"/>
      <w:szCs w:val="24"/>
      <w:lang w:val="de-DE" w:eastAsia="x-none"/>
    </w:rPr>
  </w:style>
  <w:style w:type="character" w:customStyle="1" w:styleId="EndnoteTextChar1">
    <w:name w:val="Endnote Text Char1"/>
    <w:uiPriority w:val="99"/>
    <w:locked/>
    <w:rsid w:val="008B1196"/>
    <w:rPr>
      <w:rFonts w:ascii="Trebuchet MS" w:eastAsia="MS Mincho" w:hAnsi="Trebuchet MS" w:cs="Times New Roman"/>
      <w:sz w:val="20"/>
      <w:szCs w:val="24"/>
    </w:rPr>
  </w:style>
  <w:style w:type="paragraph" w:customStyle="1" w:styleId="Style1">
    <w:name w:val="Style1"/>
    <w:basedOn w:val="Heading1"/>
    <w:link w:val="Style1Char"/>
    <w:qFormat/>
    <w:rsid w:val="008B1196"/>
    <w:rPr>
      <w:rFonts w:cs="Tahoma"/>
    </w:rPr>
  </w:style>
  <w:style w:type="character" w:customStyle="1" w:styleId="Style1Char">
    <w:name w:val="Style1 Char"/>
    <w:basedOn w:val="Heading1Char"/>
    <w:link w:val="Style1"/>
    <w:rsid w:val="008B1196"/>
    <w:rPr>
      <w:rFonts w:ascii="Tahoma" w:eastAsia="MS Mincho" w:hAnsi="Tahoma" w:cs="Tahoma"/>
      <w:b/>
      <w:bCs/>
      <w:caps/>
      <w:color w:val="000000"/>
      <w:sz w:val="36"/>
      <w:szCs w:val="36"/>
      <w:lang w:val="pt-BR"/>
    </w:rPr>
  </w:style>
  <w:style w:type="paragraph" w:customStyle="1" w:styleId="Style2">
    <w:name w:val="Style2"/>
    <w:basedOn w:val="Heading1"/>
    <w:link w:val="Style2Char"/>
    <w:qFormat/>
    <w:rsid w:val="008B1196"/>
    <w:rPr>
      <w:rFonts w:cs="Tahoma"/>
    </w:rPr>
  </w:style>
  <w:style w:type="character" w:customStyle="1" w:styleId="Style2Char">
    <w:name w:val="Style2 Char"/>
    <w:basedOn w:val="Heading1Char"/>
    <w:link w:val="Style2"/>
    <w:rsid w:val="008B1196"/>
    <w:rPr>
      <w:rFonts w:ascii="Tahoma" w:eastAsia="MS Mincho" w:hAnsi="Tahoma" w:cs="Tahoma"/>
      <w:b/>
      <w:bCs/>
      <w:caps/>
      <w:color w:val="000000"/>
      <w:sz w:val="36"/>
      <w:szCs w:val="36"/>
      <w:lang w:val="pt-BR"/>
    </w:rPr>
  </w:style>
  <w:style w:type="character" w:customStyle="1" w:styleId="FootnoteTextChar1">
    <w:name w:val="Footnote Text Char1"/>
    <w:uiPriority w:val="99"/>
    <w:semiHidden/>
    <w:rsid w:val="008B1196"/>
    <w:rPr>
      <w:rFonts w:ascii="Calibri" w:eastAsia="MS Mincho" w:hAnsi="Calibri" w:cs="Times New Roman"/>
      <w:sz w:val="20"/>
      <w:szCs w:val="20"/>
    </w:rPr>
  </w:style>
  <w:style w:type="character" w:customStyle="1" w:styleId="CommentTextChar1">
    <w:name w:val="Comment Text Char1"/>
    <w:uiPriority w:val="99"/>
    <w:semiHidden/>
    <w:rsid w:val="008B1196"/>
    <w:rPr>
      <w:rFonts w:ascii="Calibri" w:eastAsia="MS Mincho" w:hAnsi="Calibri" w:cs="Times New Roman"/>
      <w:sz w:val="20"/>
      <w:szCs w:val="20"/>
    </w:rPr>
  </w:style>
  <w:style w:type="character" w:customStyle="1" w:styleId="CommentSubjectChar1">
    <w:name w:val="Comment Subject Char1"/>
    <w:uiPriority w:val="99"/>
    <w:semiHidden/>
    <w:rsid w:val="008B1196"/>
    <w:rPr>
      <w:rFonts w:ascii="Calibri" w:eastAsia="MS Mincho" w:hAnsi="Calibri" w:cs="Times New Roman"/>
      <w:b/>
      <w:bCs/>
      <w:sz w:val="20"/>
      <w:szCs w:val="20"/>
    </w:rPr>
  </w:style>
  <w:style w:type="character" w:customStyle="1" w:styleId="BodyTextChar1">
    <w:name w:val="Body Text Char1"/>
    <w:uiPriority w:val="99"/>
    <w:locked/>
    <w:rsid w:val="008B1196"/>
    <w:rPr>
      <w:rFonts w:ascii="Verdana" w:eastAsia="MS Mincho" w:hAnsi="Verdana" w:cs="Times New Roman"/>
      <w:color w:val="000000"/>
    </w:rPr>
  </w:style>
  <w:style w:type="paragraph" w:customStyle="1" w:styleId="Style3">
    <w:name w:val="Style3"/>
    <w:basedOn w:val="Heading1"/>
    <w:link w:val="Style3Char"/>
    <w:qFormat/>
    <w:rsid w:val="008B1196"/>
  </w:style>
  <w:style w:type="character" w:customStyle="1" w:styleId="Style3Char">
    <w:name w:val="Style3 Char"/>
    <w:basedOn w:val="Heading1Char"/>
    <w:link w:val="Style3"/>
    <w:rsid w:val="008B1196"/>
    <w:rPr>
      <w:rFonts w:ascii="Tahoma" w:eastAsia="MS Mincho" w:hAnsi="Tahoma" w:cs="Times New Roman"/>
      <w:b/>
      <w:bCs/>
      <w:caps/>
      <w:color w:val="000000"/>
      <w:sz w:val="36"/>
      <w:szCs w:val="36"/>
      <w:lang w:val="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0" w:unhideWhenUsed="0" w:qFormat="1"/>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1196"/>
    <w:pPr>
      <w:spacing w:after="0" w:line="240" w:lineRule="auto"/>
    </w:pPr>
    <w:rPr>
      <w:rFonts w:ascii="Tahoma" w:eastAsia="MS Mincho" w:hAnsi="Tahoma" w:cs="Times New Roman"/>
      <w:sz w:val="18"/>
    </w:rPr>
  </w:style>
  <w:style w:type="paragraph" w:styleId="Heading1">
    <w:name w:val="heading 1"/>
    <w:basedOn w:val="Normal"/>
    <w:next w:val="Normal"/>
    <w:link w:val="Heading1Char"/>
    <w:uiPriority w:val="9"/>
    <w:qFormat/>
    <w:rsid w:val="008B1196"/>
    <w:pPr>
      <w:keepNext/>
      <w:outlineLvl w:val="0"/>
    </w:pPr>
    <w:rPr>
      <w:b/>
      <w:bCs/>
      <w:caps/>
      <w:color w:val="000000"/>
      <w:sz w:val="36"/>
      <w:szCs w:val="36"/>
      <w:lang w:val="pt-BR"/>
    </w:rPr>
  </w:style>
  <w:style w:type="paragraph" w:styleId="Heading2">
    <w:name w:val="heading 2"/>
    <w:basedOn w:val="Normal"/>
    <w:next w:val="Normal"/>
    <w:link w:val="Heading2Char"/>
    <w:uiPriority w:val="9"/>
    <w:qFormat/>
    <w:rsid w:val="008B1196"/>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8B1196"/>
    <w:pPr>
      <w:ind w:left="0"/>
      <w:outlineLvl w:val="2"/>
    </w:pPr>
    <w:rPr>
      <w:sz w:val="20"/>
      <w:szCs w:val="20"/>
    </w:rPr>
  </w:style>
  <w:style w:type="paragraph" w:styleId="Heading4">
    <w:name w:val="heading 4"/>
    <w:basedOn w:val="Normal"/>
    <w:next w:val="Normal"/>
    <w:link w:val="Heading4Char"/>
    <w:uiPriority w:val="9"/>
    <w:qFormat/>
    <w:rsid w:val="008B1196"/>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8B1196"/>
    <w:pPr>
      <w:outlineLvl w:val="4"/>
    </w:pPr>
    <w:rPr>
      <w:u w:val="single"/>
    </w:rPr>
  </w:style>
  <w:style w:type="paragraph" w:styleId="Heading6">
    <w:name w:val="heading 6"/>
    <w:basedOn w:val="Body"/>
    <w:next w:val="Normal"/>
    <w:link w:val="Heading6Char"/>
    <w:uiPriority w:val="9"/>
    <w:qFormat/>
    <w:rsid w:val="008B1196"/>
    <w:pPr>
      <w:spacing w:after="120"/>
      <w:ind w:left="0"/>
      <w:outlineLvl w:val="5"/>
    </w:pPr>
    <w:rPr>
      <w:b/>
      <w:color w:val="FF6600"/>
      <w:szCs w:val="20"/>
    </w:rPr>
  </w:style>
  <w:style w:type="paragraph" w:styleId="Heading7">
    <w:name w:val="heading 7"/>
    <w:basedOn w:val="Heading3"/>
    <w:next w:val="Normal"/>
    <w:link w:val="Heading7Char"/>
    <w:uiPriority w:val="9"/>
    <w:qFormat/>
    <w:rsid w:val="008B1196"/>
    <w:pPr>
      <w:outlineLvl w:val="6"/>
    </w:pPr>
  </w:style>
  <w:style w:type="paragraph" w:styleId="Heading8">
    <w:name w:val="heading 8"/>
    <w:basedOn w:val="Normal"/>
    <w:next w:val="Normal"/>
    <w:link w:val="Heading8Char"/>
    <w:uiPriority w:val="9"/>
    <w:qFormat/>
    <w:rsid w:val="008B1196"/>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8B1196"/>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196"/>
    <w:rPr>
      <w:rFonts w:ascii="Tahoma" w:eastAsia="MS Mincho" w:hAnsi="Tahoma" w:cs="Times New Roman"/>
      <w:b/>
      <w:bCs/>
      <w:caps/>
      <w:color w:val="000000"/>
      <w:sz w:val="36"/>
      <w:szCs w:val="36"/>
      <w:lang w:val="pt-BR"/>
    </w:rPr>
  </w:style>
  <w:style w:type="character" w:customStyle="1" w:styleId="Heading2Char">
    <w:name w:val="Heading 2 Char"/>
    <w:basedOn w:val="DefaultParagraphFont"/>
    <w:link w:val="Heading2"/>
    <w:uiPriority w:val="9"/>
    <w:rsid w:val="008B1196"/>
    <w:rPr>
      <w:rFonts w:ascii="Trebuchet MS" w:eastAsia="MS Mincho" w:hAnsi="Trebuchet MS" w:cs="Times New Roman"/>
      <w:b/>
      <w:sz w:val="24"/>
      <w:szCs w:val="24"/>
    </w:rPr>
  </w:style>
  <w:style w:type="character" w:customStyle="1" w:styleId="Heading3Char">
    <w:name w:val="Heading 3 Char"/>
    <w:basedOn w:val="DefaultParagraphFont"/>
    <w:link w:val="Heading3"/>
    <w:uiPriority w:val="9"/>
    <w:rsid w:val="008B1196"/>
    <w:rPr>
      <w:rFonts w:ascii="Trebuchet MS" w:eastAsia="MS Mincho" w:hAnsi="Trebuchet MS" w:cs="Times New Roman"/>
      <w:b/>
      <w:sz w:val="20"/>
      <w:szCs w:val="20"/>
    </w:rPr>
  </w:style>
  <w:style w:type="character" w:customStyle="1" w:styleId="Heading4Char">
    <w:name w:val="Heading 4 Char"/>
    <w:basedOn w:val="DefaultParagraphFont"/>
    <w:link w:val="Heading4"/>
    <w:uiPriority w:val="9"/>
    <w:rsid w:val="008B1196"/>
    <w:rPr>
      <w:rFonts w:ascii="Trebuchet MS" w:eastAsia="MS Mincho" w:hAnsi="Trebuchet MS" w:cs="Times New Roman"/>
      <w:b/>
      <w:sz w:val="20"/>
      <w:szCs w:val="20"/>
    </w:rPr>
  </w:style>
  <w:style w:type="character" w:customStyle="1" w:styleId="Heading5Char">
    <w:name w:val="Heading 5 Char"/>
    <w:basedOn w:val="DefaultParagraphFont"/>
    <w:link w:val="Heading5"/>
    <w:uiPriority w:val="9"/>
    <w:rsid w:val="008B1196"/>
    <w:rPr>
      <w:rFonts w:ascii="Trebuchet MS" w:eastAsia="MS Mincho" w:hAnsi="Trebuchet MS" w:cs="Times New Roman"/>
      <w:sz w:val="20"/>
      <w:szCs w:val="20"/>
      <w:u w:val="single"/>
    </w:rPr>
  </w:style>
  <w:style w:type="character" w:customStyle="1" w:styleId="Heading6Char">
    <w:name w:val="Heading 6 Char"/>
    <w:basedOn w:val="DefaultParagraphFont"/>
    <w:link w:val="Heading6"/>
    <w:uiPriority w:val="9"/>
    <w:rsid w:val="008B1196"/>
    <w:rPr>
      <w:rFonts w:ascii="Trebuchet MS" w:eastAsia="MS Mincho" w:hAnsi="Trebuchet MS" w:cs="Times New Roman"/>
      <w:b/>
      <w:color w:val="FF6600"/>
      <w:sz w:val="20"/>
      <w:szCs w:val="20"/>
    </w:rPr>
  </w:style>
  <w:style w:type="character" w:customStyle="1" w:styleId="Heading7Char">
    <w:name w:val="Heading 7 Char"/>
    <w:basedOn w:val="DefaultParagraphFont"/>
    <w:link w:val="Heading7"/>
    <w:uiPriority w:val="9"/>
    <w:rsid w:val="008B1196"/>
    <w:rPr>
      <w:rFonts w:ascii="Trebuchet MS" w:eastAsia="MS Mincho" w:hAnsi="Trebuchet MS" w:cs="Times New Roman"/>
      <w:b/>
      <w:sz w:val="20"/>
      <w:szCs w:val="20"/>
    </w:rPr>
  </w:style>
  <w:style w:type="character" w:customStyle="1" w:styleId="Heading8Char">
    <w:name w:val="Heading 8 Char"/>
    <w:basedOn w:val="DefaultParagraphFont"/>
    <w:link w:val="Heading8"/>
    <w:uiPriority w:val="9"/>
    <w:rsid w:val="008B1196"/>
    <w:rPr>
      <w:rFonts w:ascii="Times New Roman" w:eastAsia="MS Mincho" w:hAnsi="Times New Roman" w:cs="Times New Roman"/>
      <w:i/>
      <w:iCs/>
      <w:sz w:val="24"/>
      <w:szCs w:val="24"/>
    </w:rPr>
  </w:style>
  <w:style w:type="character" w:customStyle="1" w:styleId="Heading9Char">
    <w:name w:val="Heading 9 Char"/>
    <w:basedOn w:val="DefaultParagraphFont"/>
    <w:link w:val="Heading9"/>
    <w:uiPriority w:val="9"/>
    <w:rsid w:val="008B1196"/>
    <w:rPr>
      <w:rFonts w:ascii="Arial" w:eastAsia="MS Mincho" w:hAnsi="Arial" w:cs="Times New Roman"/>
      <w:sz w:val="20"/>
      <w:szCs w:val="20"/>
    </w:rPr>
  </w:style>
  <w:style w:type="paragraph" w:customStyle="1" w:styleId="AppendixIndent">
    <w:name w:val="Appendix Indent"/>
    <w:basedOn w:val="Normal"/>
    <w:rsid w:val="008B1196"/>
    <w:pPr>
      <w:spacing w:before="60"/>
      <w:ind w:left="360"/>
    </w:pPr>
    <w:rPr>
      <w:rFonts w:ascii="Trebuchet MS" w:hAnsi="Trebuchet MS"/>
      <w:sz w:val="20"/>
      <w:szCs w:val="20"/>
    </w:rPr>
  </w:style>
  <w:style w:type="paragraph" w:customStyle="1" w:styleId="Body">
    <w:name w:val="Body"/>
    <w:basedOn w:val="Normal"/>
    <w:rsid w:val="008B1196"/>
    <w:pPr>
      <w:ind w:left="720"/>
    </w:pPr>
    <w:rPr>
      <w:rFonts w:ascii="Trebuchet MS" w:hAnsi="Trebuchet MS"/>
      <w:sz w:val="20"/>
      <w:szCs w:val="24"/>
    </w:rPr>
  </w:style>
  <w:style w:type="character" w:styleId="Hyperlink">
    <w:name w:val="Hyperlink"/>
    <w:uiPriority w:val="99"/>
    <w:unhideWhenUsed/>
    <w:rsid w:val="008B1196"/>
    <w:rPr>
      <w:rFonts w:cs="Times New Roman"/>
      <w:color w:val="0000FF"/>
      <w:u w:val="single"/>
    </w:rPr>
  </w:style>
  <w:style w:type="character" w:customStyle="1" w:styleId="BodyChar">
    <w:name w:val="Body Char"/>
    <w:rsid w:val="008B1196"/>
    <w:rPr>
      <w:rFonts w:ascii="Trebuchet MS" w:hAnsi="Trebuchet MS"/>
      <w:sz w:val="24"/>
      <w:lang w:val="en-US" w:eastAsia="en-US"/>
    </w:rPr>
  </w:style>
  <w:style w:type="paragraph" w:customStyle="1" w:styleId="Char">
    <w:name w:val="Char"/>
    <w:basedOn w:val="Normal"/>
    <w:rsid w:val="008B1196"/>
    <w:pPr>
      <w:spacing w:after="160" w:line="240" w:lineRule="exact"/>
    </w:pPr>
    <w:rPr>
      <w:sz w:val="20"/>
      <w:szCs w:val="20"/>
    </w:rPr>
  </w:style>
  <w:style w:type="paragraph" w:customStyle="1" w:styleId="ProductNames">
    <w:name w:val="Product Names"/>
    <w:basedOn w:val="Normal"/>
    <w:rsid w:val="008B1196"/>
    <w:pPr>
      <w:keepLines/>
      <w:spacing w:before="20" w:after="20"/>
    </w:pPr>
    <w:rPr>
      <w:rFonts w:ascii="Trebuchet MS" w:hAnsi="Trebuchet MS" w:cs="Arial"/>
      <w:position w:val="-11"/>
      <w:sz w:val="16"/>
      <w:szCs w:val="16"/>
    </w:rPr>
  </w:style>
  <w:style w:type="character" w:customStyle="1" w:styleId="ProductNamesChar">
    <w:name w:val="Product Names Char"/>
    <w:rsid w:val="008B1196"/>
    <w:rPr>
      <w:rFonts w:ascii="Trebuchet MS" w:hAnsi="Trebuchet MS"/>
      <w:position w:val="-11"/>
      <w:sz w:val="16"/>
    </w:rPr>
  </w:style>
  <w:style w:type="paragraph" w:customStyle="1" w:styleId="ChartKeyHeadings">
    <w:name w:val="ChartKey Headings"/>
    <w:basedOn w:val="Normal"/>
    <w:rsid w:val="008B1196"/>
    <w:pPr>
      <w:ind w:left="720"/>
    </w:pPr>
    <w:rPr>
      <w:rFonts w:ascii="Trebuchet MS" w:hAnsi="Trebuchet MS" w:cs="Arial"/>
      <w:b/>
      <w:sz w:val="24"/>
      <w:szCs w:val="20"/>
    </w:rPr>
  </w:style>
  <w:style w:type="character" w:styleId="FollowedHyperlink">
    <w:name w:val="FollowedHyperlink"/>
    <w:uiPriority w:val="99"/>
    <w:rsid w:val="008B1196"/>
    <w:rPr>
      <w:rFonts w:cs="Times New Roman"/>
      <w:color w:val="800080"/>
      <w:u w:val="single"/>
    </w:rPr>
  </w:style>
  <w:style w:type="paragraph" w:styleId="Header">
    <w:name w:val="header"/>
    <w:basedOn w:val="Normal"/>
    <w:link w:val="HeaderChar"/>
    <w:uiPriority w:val="99"/>
    <w:rsid w:val="008B1196"/>
    <w:pPr>
      <w:tabs>
        <w:tab w:val="left" w:pos="3240"/>
      </w:tabs>
      <w:spacing w:before="400"/>
      <w:ind w:right="-187"/>
      <w:jc w:val="center"/>
    </w:pPr>
    <w:rPr>
      <w:rFonts w:ascii="Trebuchet MS" w:hAnsi="Trebuchet MS"/>
      <w:sz w:val="15"/>
      <w:szCs w:val="15"/>
    </w:rPr>
  </w:style>
  <w:style w:type="character" w:customStyle="1" w:styleId="HeaderChar">
    <w:name w:val="Header Char"/>
    <w:basedOn w:val="DefaultParagraphFont"/>
    <w:link w:val="Header"/>
    <w:uiPriority w:val="99"/>
    <w:rsid w:val="008B1196"/>
    <w:rPr>
      <w:rFonts w:ascii="Trebuchet MS" w:eastAsia="MS Mincho" w:hAnsi="Trebuchet MS" w:cs="Times New Roman"/>
      <w:sz w:val="15"/>
      <w:szCs w:val="15"/>
    </w:rPr>
  </w:style>
  <w:style w:type="paragraph" w:styleId="Footer">
    <w:name w:val="footer"/>
    <w:basedOn w:val="Normal"/>
    <w:link w:val="FooterChar"/>
    <w:uiPriority w:val="99"/>
    <w:rsid w:val="008B1196"/>
    <w:pPr>
      <w:tabs>
        <w:tab w:val="center" w:pos="5155"/>
        <w:tab w:val="right" w:pos="10325"/>
      </w:tabs>
      <w:spacing w:line="210" w:lineRule="exact"/>
    </w:pPr>
    <w:rPr>
      <w:rFonts w:ascii="Arial Narrow" w:hAnsi="Arial Narrow"/>
      <w:szCs w:val="20"/>
    </w:rPr>
  </w:style>
  <w:style w:type="character" w:customStyle="1" w:styleId="FooterChar">
    <w:name w:val="Footer Char"/>
    <w:basedOn w:val="DefaultParagraphFont"/>
    <w:link w:val="Footer"/>
    <w:uiPriority w:val="99"/>
    <w:rsid w:val="008B1196"/>
    <w:rPr>
      <w:rFonts w:ascii="Arial Narrow" w:eastAsia="MS Mincho" w:hAnsi="Arial Narrow" w:cs="Times New Roman"/>
      <w:sz w:val="18"/>
      <w:szCs w:val="20"/>
    </w:rPr>
  </w:style>
  <w:style w:type="paragraph" w:customStyle="1" w:styleId="PublishDate">
    <w:name w:val="Publish Date"/>
    <w:basedOn w:val="Normal"/>
    <w:rsid w:val="008B1196"/>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8B1196"/>
    <w:rPr>
      <w:rFonts w:ascii="Trebuchet MS" w:hAnsi="Trebuchet MS"/>
      <w:b/>
      <w:color w:val="FF6600"/>
      <w:sz w:val="24"/>
    </w:rPr>
  </w:style>
  <w:style w:type="paragraph" w:customStyle="1" w:styleId="ProductEndnote">
    <w:name w:val="Product Endnote"/>
    <w:basedOn w:val="Normal"/>
    <w:link w:val="ProductEndnoteChar"/>
    <w:uiPriority w:val="99"/>
    <w:rsid w:val="008B1196"/>
    <w:pPr>
      <w:keepNext/>
      <w:spacing w:after="120"/>
      <w:ind w:left="216" w:hanging="216"/>
    </w:pPr>
    <w:rPr>
      <w:rFonts w:ascii="Trebuchet MS" w:eastAsiaTheme="minorHAnsi" w:hAnsi="Trebuchet MS" w:cstheme="minorBidi"/>
      <w:b/>
      <w:color w:val="FF6600"/>
      <w:sz w:val="24"/>
    </w:rPr>
  </w:style>
  <w:style w:type="paragraph" w:styleId="TOC1">
    <w:name w:val="toc 1"/>
    <w:basedOn w:val="Normal"/>
    <w:next w:val="Normal"/>
    <w:autoRedefine/>
    <w:uiPriority w:val="39"/>
    <w:rsid w:val="008B1196"/>
    <w:pPr>
      <w:tabs>
        <w:tab w:val="right" w:leader="dot" w:pos="9360"/>
      </w:tabs>
      <w:spacing w:before="120"/>
      <w:ind w:right="-180"/>
    </w:pPr>
    <w:rPr>
      <w:rFonts w:cs="Tahoma"/>
      <w:b/>
      <w:caps/>
      <w:noProof/>
      <w:color w:val="000000"/>
      <w:sz w:val="22"/>
      <w:szCs w:val="18"/>
    </w:rPr>
  </w:style>
  <w:style w:type="paragraph" w:customStyle="1" w:styleId="BulletedList">
    <w:name w:val="Bulleted List"/>
    <w:basedOn w:val="Normal"/>
    <w:rsid w:val="008B1196"/>
    <w:pPr>
      <w:tabs>
        <w:tab w:val="num" w:pos="1080"/>
      </w:tabs>
      <w:ind w:left="720"/>
    </w:pPr>
    <w:rPr>
      <w:rFonts w:ascii="Trebuchet MS" w:hAnsi="Trebuchet MS"/>
      <w:sz w:val="20"/>
      <w:szCs w:val="24"/>
    </w:rPr>
  </w:style>
  <w:style w:type="paragraph" w:customStyle="1" w:styleId="Bodywithspace">
    <w:name w:val="Body with space"/>
    <w:basedOn w:val="Normal"/>
    <w:rsid w:val="008B1196"/>
    <w:pPr>
      <w:spacing w:before="80" w:after="80"/>
      <w:ind w:left="720"/>
    </w:pPr>
    <w:rPr>
      <w:rFonts w:ascii="Trebuchet MS" w:hAnsi="Trebuchet MS" w:cs="Arial"/>
      <w:sz w:val="20"/>
      <w:szCs w:val="20"/>
    </w:rPr>
  </w:style>
  <w:style w:type="paragraph" w:customStyle="1" w:styleId="TableHeadingsGreen">
    <w:name w:val="Table Headings Green"/>
    <w:basedOn w:val="Normal"/>
    <w:rsid w:val="008B1196"/>
    <w:pPr>
      <w:spacing w:before="40"/>
      <w:jc w:val="center"/>
    </w:pPr>
    <w:rPr>
      <w:rFonts w:ascii="Trebuchet MS" w:hAnsi="Trebuchet MS"/>
      <w:b/>
      <w:bCs/>
      <w:color w:val="008000"/>
      <w:sz w:val="11"/>
      <w:szCs w:val="20"/>
    </w:rPr>
  </w:style>
  <w:style w:type="paragraph" w:customStyle="1" w:styleId="NumberedSteps">
    <w:name w:val="Numbered Steps"/>
    <w:basedOn w:val="Body"/>
    <w:rsid w:val="008B1196"/>
    <w:pPr>
      <w:spacing w:before="200" w:after="200"/>
    </w:pPr>
    <w:rPr>
      <w:bCs/>
    </w:rPr>
  </w:style>
  <w:style w:type="paragraph" w:styleId="EndnoteText">
    <w:name w:val="endnote text"/>
    <w:basedOn w:val="Normal"/>
    <w:link w:val="EndnoteTextChar"/>
    <w:uiPriority w:val="99"/>
    <w:rsid w:val="008B1196"/>
    <w:pPr>
      <w:ind w:left="900"/>
    </w:pPr>
    <w:rPr>
      <w:rFonts w:ascii="Trebuchet MS" w:hAnsi="Trebuchet MS"/>
      <w:sz w:val="24"/>
      <w:szCs w:val="20"/>
      <w:lang w:val="x-none" w:eastAsia="x-none"/>
    </w:rPr>
  </w:style>
  <w:style w:type="character" w:customStyle="1" w:styleId="EndnoteTextChar">
    <w:name w:val="Endnote Text Char"/>
    <w:basedOn w:val="DefaultParagraphFont"/>
    <w:link w:val="EndnoteText"/>
    <w:uiPriority w:val="99"/>
    <w:rsid w:val="008B1196"/>
    <w:rPr>
      <w:rFonts w:ascii="Trebuchet MS" w:eastAsia="MS Mincho" w:hAnsi="Trebuchet MS" w:cs="Times New Roman"/>
      <w:sz w:val="24"/>
      <w:szCs w:val="20"/>
      <w:lang w:val="x-none" w:eastAsia="x-none"/>
    </w:rPr>
  </w:style>
  <w:style w:type="character" w:styleId="EndnoteReference">
    <w:name w:val="endnote reference"/>
    <w:uiPriority w:val="99"/>
    <w:semiHidden/>
    <w:rsid w:val="008B1196"/>
    <w:rPr>
      <w:rFonts w:ascii="Trebuchet MS" w:hAnsi="Trebuchet MS" w:cs="Times New Roman"/>
      <w:b/>
      <w:color w:val="FF0000"/>
      <w:sz w:val="18"/>
      <w:vertAlign w:val="superscript"/>
    </w:rPr>
  </w:style>
  <w:style w:type="paragraph" w:customStyle="1" w:styleId="TableVerticalText">
    <w:name w:val="Table Vertical Text"/>
    <w:basedOn w:val="Normal"/>
    <w:rsid w:val="008B1196"/>
    <w:pPr>
      <w:ind w:left="115" w:right="115"/>
      <w:jc w:val="center"/>
    </w:pPr>
    <w:rPr>
      <w:rFonts w:ascii="Trebuchet MS" w:hAnsi="Trebuchet MS"/>
      <w:sz w:val="11"/>
      <w:szCs w:val="20"/>
    </w:rPr>
  </w:style>
  <w:style w:type="paragraph" w:customStyle="1" w:styleId="TableHeadingsBlack">
    <w:name w:val="Table Headings Black"/>
    <w:basedOn w:val="Normal"/>
    <w:rsid w:val="008B1196"/>
    <w:pPr>
      <w:spacing w:before="40"/>
      <w:jc w:val="center"/>
    </w:pPr>
    <w:rPr>
      <w:rFonts w:ascii="Trebuchet MS" w:hAnsi="Trebuchet MS"/>
      <w:sz w:val="11"/>
      <w:szCs w:val="20"/>
    </w:rPr>
  </w:style>
  <w:style w:type="paragraph" w:customStyle="1" w:styleId="TableHeadingsBlue">
    <w:name w:val="Table Headings Blue"/>
    <w:basedOn w:val="Normal"/>
    <w:rsid w:val="008B1196"/>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8B1196"/>
    <w:pPr>
      <w:spacing w:before="40"/>
      <w:jc w:val="center"/>
    </w:pPr>
    <w:rPr>
      <w:rFonts w:ascii="Trebuchet MS" w:hAnsi="Trebuchet MS"/>
      <w:b/>
      <w:bCs/>
      <w:color w:val="FF0000"/>
      <w:sz w:val="11"/>
      <w:szCs w:val="20"/>
    </w:rPr>
  </w:style>
  <w:style w:type="paragraph" w:customStyle="1" w:styleId="TableText">
    <w:name w:val="Table Text"/>
    <w:basedOn w:val="Heading3"/>
    <w:rsid w:val="008B1196"/>
    <w:pPr>
      <w:jc w:val="center"/>
      <w:outlineLvl w:val="9"/>
    </w:pPr>
    <w:rPr>
      <w:b w:val="0"/>
      <w:sz w:val="15"/>
      <w:szCs w:val="15"/>
    </w:rPr>
  </w:style>
  <w:style w:type="paragraph" w:customStyle="1" w:styleId="AppendixTableHeadings">
    <w:name w:val="Appendix Table Headings"/>
    <w:basedOn w:val="AppendixTableText"/>
    <w:rsid w:val="008B1196"/>
    <w:rPr>
      <w:b/>
      <w:bCs/>
    </w:rPr>
  </w:style>
  <w:style w:type="paragraph" w:customStyle="1" w:styleId="AppendixTableText">
    <w:name w:val="Appendix Table Text"/>
    <w:basedOn w:val="Normal"/>
    <w:rsid w:val="008B1196"/>
    <w:pPr>
      <w:spacing w:line="240" w:lineRule="atLeast"/>
      <w:jc w:val="center"/>
    </w:pPr>
    <w:rPr>
      <w:rFonts w:ascii="Trebuchet MS" w:hAnsi="Trebuchet MS" w:cs="Arial"/>
      <w:szCs w:val="18"/>
    </w:rPr>
  </w:style>
  <w:style w:type="paragraph" w:styleId="TOC2">
    <w:name w:val="toc 2"/>
    <w:basedOn w:val="Normal"/>
    <w:next w:val="Normal"/>
    <w:uiPriority w:val="39"/>
    <w:rsid w:val="008B1196"/>
    <w:pPr>
      <w:tabs>
        <w:tab w:val="right" w:leader="dot" w:pos="9360"/>
      </w:tabs>
    </w:pPr>
    <w:rPr>
      <w:noProof/>
      <w:szCs w:val="20"/>
    </w:rPr>
  </w:style>
  <w:style w:type="paragraph" w:customStyle="1" w:styleId="FootnoteBulletLevel2">
    <w:name w:val="Footnote Bullet Level 2"/>
    <w:basedOn w:val="Normal"/>
    <w:rsid w:val="008B1196"/>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8B1196"/>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8B1196"/>
    <w:pPr>
      <w:spacing w:after="60"/>
    </w:pPr>
    <w:rPr>
      <w:rFonts w:ascii="Trebuchet MS" w:hAnsi="Trebuchet MS" w:cs="Arial"/>
      <w:sz w:val="20"/>
      <w:szCs w:val="20"/>
    </w:rPr>
  </w:style>
  <w:style w:type="character" w:customStyle="1" w:styleId="ProductEndnoteCharChar">
    <w:name w:val="Product Endnote Char Char"/>
    <w:rsid w:val="008B1196"/>
    <w:rPr>
      <w:rFonts w:ascii="Trebuchet MS" w:hAnsi="Trebuchet MS"/>
      <w:b/>
      <w:color w:val="FF6600"/>
      <w:sz w:val="24"/>
    </w:rPr>
  </w:style>
  <w:style w:type="paragraph" w:customStyle="1" w:styleId="FootnoteBulletLevel1">
    <w:name w:val="Footnote Bullet Level 1"/>
    <w:basedOn w:val="Normal"/>
    <w:rsid w:val="008B1196"/>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8B1196"/>
    <w:rPr>
      <w:rFonts w:ascii="Trebuchet MS" w:hAnsi="Trebuchet MS"/>
    </w:rPr>
  </w:style>
  <w:style w:type="paragraph" w:styleId="TOC3">
    <w:name w:val="toc 3"/>
    <w:basedOn w:val="Normal"/>
    <w:next w:val="Normal"/>
    <w:uiPriority w:val="39"/>
    <w:rsid w:val="008B1196"/>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8B1196"/>
    <w:pPr>
      <w:ind w:left="1260"/>
    </w:pPr>
  </w:style>
  <w:style w:type="paragraph" w:styleId="TOC4">
    <w:name w:val="toc 4"/>
    <w:basedOn w:val="Normal"/>
    <w:next w:val="Normal"/>
    <w:autoRedefine/>
    <w:uiPriority w:val="39"/>
    <w:rsid w:val="008B1196"/>
    <w:pPr>
      <w:tabs>
        <w:tab w:val="right" w:leader="dot" w:pos="9360"/>
      </w:tabs>
    </w:pPr>
    <w:rPr>
      <w:szCs w:val="24"/>
    </w:rPr>
  </w:style>
  <w:style w:type="paragraph" w:styleId="TOC5">
    <w:name w:val="toc 5"/>
    <w:basedOn w:val="Normal"/>
    <w:next w:val="Normal"/>
    <w:autoRedefine/>
    <w:uiPriority w:val="39"/>
    <w:rsid w:val="008B1196"/>
    <w:pPr>
      <w:ind w:left="960"/>
    </w:pPr>
    <w:rPr>
      <w:rFonts w:ascii="Times New Roman" w:hAnsi="Times New Roman"/>
      <w:sz w:val="24"/>
      <w:szCs w:val="24"/>
    </w:rPr>
  </w:style>
  <w:style w:type="paragraph" w:styleId="TOC6">
    <w:name w:val="toc 6"/>
    <w:basedOn w:val="Normal"/>
    <w:next w:val="Normal"/>
    <w:autoRedefine/>
    <w:uiPriority w:val="39"/>
    <w:rsid w:val="008B1196"/>
    <w:pPr>
      <w:ind w:left="1200"/>
    </w:pPr>
    <w:rPr>
      <w:rFonts w:ascii="Times New Roman" w:hAnsi="Times New Roman"/>
      <w:sz w:val="24"/>
      <w:szCs w:val="24"/>
    </w:rPr>
  </w:style>
  <w:style w:type="paragraph" w:styleId="TOC7">
    <w:name w:val="toc 7"/>
    <w:basedOn w:val="Normal"/>
    <w:next w:val="Normal"/>
    <w:autoRedefine/>
    <w:uiPriority w:val="39"/>
    <w:rsid w:val="008B1196"/>
    <w:pPr>
      <w:ind w:left="1440"/>
    </w:pPr>
    <w:rPr>
      <w:rFonts w:ascii="Times New Roman" w:hAnsi="Times New Roman"/>
      <w:sz w:val="24"/>
      <w:szCs w:val="24"/>
    </w:rPr>
  </w:style>
  <w:style w:type="paragraph" w:styleId="TOC8">
    <w:name w:val="toc 8"/>
    <w:basedOn w:val="Normal"/>
    <w:next w:val="Normal"/>
    <w:autoRedefine/>
    <w:uiPriority w:val="39"/>
    <w:rsid w:val="008B1196"/>
    <w:pPr>
      <w:ind w:left="1680"/>
    </w:pPr>
    <w:rPr>
      <w:rFonts w:ascii="Times New Roman" w:hAnsi="Times New Roman"/>
      <w:sz w:val="24"/>
      <w:szCs w:val="24"/>
    </w:rPr>
  </w:style>
  <w:style w:type="paragraph" w:styleId="TOC9">
    <w:name w:val="toc 9"/>
    <w:basedOn w:val="Normal"/>
    <w:next w:val="Normal"/>
    <w:autoRedefine/>
    <w:uiPriority w:val="39"/>
    <w:rsid w:val="008B1196"/>
    <w:pPr>
      <w:ind w:left="1920"/>
    </w:pPr>
    <w:rPr>
      <w:rFonts w:ascii="Times New Roman" w:hAnsi="Times New Roman"/>
      <w:sz w:val="24"/>
      <w:szCs w:val="24"/>
    </w:rPr>
  </w:style>
  <w:style w:type="paragraph" w:customStyle="1" w:styleId="AppendixBulletIndent">
    <w:name w:val="Appendix Bullet Indent"/>
    <w:basedOn w:val="AppendixFlushBulletedList"/>
    <w:rsid w:val="008B1196"/>
    <w:pPr>
      <w:tabs>
        <w:tab w:val="clear" w:pos="360"/>
        <w:tab w:val="num" w:pos="720"/>
      </w:tabs>
      <w:ind w:left="720"/>
    </w:pPr>
  </w:style>
  <w:style w:type="paragraph" w:customStyle="1" w:styleId="AppendixFlushBulletedList">
    <w:name w:val="Appendix Flush Bulleted List"/>
    <w:basedOn w:val="Normal"/>
    <w:rsid w:val="008B1196"/>
    <w:pPr>
      <w:tabs>
        <w:tab w:val="num" w:pos="360"/>
      </w:tabs>
      <w:ind w:left="360" w:hanging="360"/>
    </w:pPr>
    <w:rPr>
      <w:rFonts w:ascii="Trebuchet MS" w:hAnsi="Trebuchet MS" w:cs="Arial"/>
      <w:sz w:val="20"/>
      <w:szCs w:val="20"/>
    </w:rPr>
  </w:style>
  <w:style w:type="paragraph" w:customStyle="1" w:styleId="ProductPool">
    <w:name w:val="Product Pool"/>
    <w:basedOn w:val="Heading3"/>
    <w:rsid w:val="008B1196"/>
  </w:style>
  <w:style w:type="paragraph" w:customStyle="1" w:styleId="AppendixTabbedList">
    <w:name w:val="Appendix Tabbed List"/>
    <w:basedOn w:val="AppendixBodyText"/>
    <w:rsid w:val="008B1196"/>
    <w:pPr>
      <w:tabs>
        <w:tab w:val="left" w:pos="2520"/>
      </w:tabs>
    </w:pPr>
  </w:style>
  <w:style w:type="paragraph" w:customStyle="1" w:styleId="ProductNote">
    <w:name w:val="Product Note"/>
    <w:basedOn w:val="ProductNames"/>
    <w:rsid w:val="008B1196"/>
    <w:pPr>
      <w:spacing w:before="0" w:after="0"/>
    </w:pPr>
    <w:rPr>
      <w:sz w:val="12"/>
      <w:szCs w:val="12"/>
    </w:rPr>
  </w:style>
  <w:style w:type="character" w:customStyle="1" w:styleId="ProductNoteCharChar">
    <w:name w:val="Product Note Char Char"/>
    <w:rsid w:val="008B1196"/>
    <w:rPr>
      <w:rFonts w:ascii="Trebuchet MS" w:hAnsi="Trebuchet MS"/>
      <w:position w:val="-11"/>
      <w:sz w:val="12"/>
    </w:rPr>
  </w:style>
  <w:style w:type="paragraph" w:customStyle="1" w:styleId="Bulletedlistflush">
    <w:name w:val="Bulleted list flush"/>
    <w:basedOn w:val="BulletedList"/>
    <w:rsid w:val="008B1196"/>
    <w:pPr>
      <w:tabs>
        <w:tab w:val="clear" w:pos="1080"/>
        <w:tab w:val="num" w:pos="360"/>
      </w:tabs>
      <w:ind w:left="360" w:hanging="360"/>
    </w:pPr>
  </w:style>
  <w:style w:type="paragraph" w:styleId="BalloonText">
    <w:name w:val="Balloon Text"/>
    <w:basedOn w:val="Normal"/>
    <w:link w:val="BalloonTextChar"/>
    <w:uiPriority w:val="99"/>
    <w:semiHidden/>
    <w:rsid w:val="008B1196"/>
    <w:rPr>
      <w:sz w:val="16"/>
      <w:szCs w:val="16"/>
    </w:rPr>
  </w:style>
  <w:style w:type="character" w:customStyle="1" w:styleId="BalloonTextChar">
    <w:name w:val="Balloon Text Char"/>
    <w:basedOn w:val="DefaultParagraphFont"/>
    <w:link w:val="BalloonText"/>
    <w:uiPriority w:val="99"/>
    <w:semiHidden/>
    <w:rsid w:val="008B1196"/>
    <w:rPr>
      <w:rFonts w:ascii="Tahoma" w:eastAsia="MS Mincho" w:hAnsi="Tahoma" w:cs="Times New Roman"/>
      <w:sz w:val="16"/>
      <w:szCs w:val="16"/>
    </w:rPr>
  </w:style>
  <w:style w:type="paragraph" w:customStyle="1" w:styleId="StyleHeading22Left138Firstline0">
    <w:name w:val="Style Heading 2 #2 + Left:  1.38&quot; First line:  0&quot;"/>
    <w:basedOn w:val="Normal"/>
    <w:rsid w:val="008B1196"/>
    <w:pPr>
      <w:ind w:left="1008"/>
      <w:jc w:val="both"/>
    </w:pPr>
    <w:rPr>
      <w:rFonts w:ascii="Arial" w:hAnsi="Arial"/>
      <w:sz w:val="20"/>
      <w:szCs w:val="20"/>
    </w:rPr>
  </w:style>
  <w:style w:type="paragraph" w:customStyle="1" w:styleId="AppendIndent">
    <w:name w:val="Append_Indent"/>
    <w:basedOn w:val="Normal"/>
    <w:rsid w:val="008B1196"/>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8B1196"/>
    <w:pPr>
      <w:jc w:val="left"/>
    </w:pPr>
    <w:rPr>
      <w:rFonts w:ascii="Trebuchet MS" w:hAnsi="Trebuchet MS"/>
    </w:rPr>
  </w:style>
  <w:style w:type="paragraph" w:customStyle="1" w:styleId="styleheading22left138firstline00">
    <w:name w:val="styleheading22left138firstline0"/>
    <w:basedOn w:val="Normal"/>
    <w:rsid w:val="008B1196"/>
    <w:pPr>
      <w:ind w:left="1008"/>
      <w:jc w:val="both"/>
    </w:pPr>
    <w:rPr>
      <w:rFonts w:ascii="Arial" w:hAnsi="Arial" w:cs="Arial"/>
      <w:sz w:val="20"/>
      <w:szCs w:val="20"/>
    </w:rPr>
  </w:style>
  <w:style w:type="paragraph" w:customStyle="1" w:styleId="Char1">
    <w:name w:val="Char1"/>
    <w:basedOn w:val="Normal"/>
    <w:rsid w:val="008B1196"/>
    <w:pPr>
      <w:spacing w:after="160" w:line="240" w:lineRule="exact"/>
    </w:pPr>
    <w:rPr>
      <w:sz w:val="20"/>
      <w:szCs w:val="20"/>
    </w:rPr>
  </w:style>
  <w:style w:type="paragraph" w:customStyle="1" w:styleId="StyleHeading22Left025Firstline0">
    <w:name w:val="Style Heading 2 #2 + Left:  0.25&quot; First line:  0&quot;"/>
    <w:basedOn w:val="Normal"/>
    <w:rsid w:val="008B1196"/>
    <w:pPr>
      <w:tabs>
        <w:tab w:val="num" w:pos="720"/>
      </w:tabs>
      <w:ind w:left="720" w:hanging="360"/>
      <w:jc w:val="both"/>
    </w:pPr>
    <w:rPr>
      <w:rFonts w:ascii="Arial" w:hAnsi="Arial"/>
      <w:b/>
      <w:sz w:val="20"/>
      <w:szCs w:val="20"/>
    </w:rPr>
  </w:style>
  <w:style w:type="character" w:styleId="CommentReference">
    <w:name w:val="annotation reference"/>
    <w:uiPriority w:val="99"/>
    <w:rsid w:val="008B1196"/>
    <w:rPr>
      <w:rFonts w:cs="Times New Roman"/>
      <w:sz w:val="16"/>
    </w:rPr>
  </w:style>
  <w:style w:type="character" w:styleId="PageNumber">
    <w:name w:val="page number"/>
    <w:uiPriority w:val="99"/>
    <w:rsid w:val="008B1196"/>
    <w:rPr>
      <w:rFonts w:cs="Times New Roman"/>
    </w:rPr>
  </w:style>
  <w:style w:type="paragraph" w:styleId="ListBullet3">
    <w:name w:val="List Bullet 3"/>
    <w:basedOn w:val="Normal"/>
    <w:uiPriority w:val="99"/>
    <w:rsid w:val="008B1196"/>
    <w:pPr>
      <w:tabs>
        <w:tab w:val="num" w:pos="1080"/>
      </w:tabs>
      <w:ind w:left="1080" w:hanging="360"/>
    </w:pPr>
    <w:rPr>
      <w:rFonts w:ascii="Arial" w:hAnsi="Arial" w:cs="Arial"/>
      <w:sz w:val="20"/>
      <w:szCs w:val="20"/>
    </w:rPr>
  </w:style>
  <w:style w:type="paragraph" w:customStyle="1" w:styleId="appendixbodytext0">
    <w:name w:val="appendixbodytext"/>
    <w:basedOn w:val="Normal"/>
    <w:rsid w:val="008B1196"/>
    <w:pPr>
      <w:spacing w:after="60"/>
    </w:pPr>
    <w:rPr>
      <w:rFonts w:ascii="Trebuchet MS" w:hAnsi="Trebuchet MS"/>
      <w:sz w:val="20"/>
      <w:szCs w:val="20"/>
    </w:rPr>
  </w:style>
  <w:style w:type="paragraph" w:customStyle="1" w:styleId="tableclose">
    <w:name w:val="tableclose"/>
    <w:basedOn w:val="Normal"/>
    <w:rsid w:val="008B1196"/>
    <w:rPr>
      <w:rFonts w:ascii="Arial" w:hAnsi="Arial" w:cs="Arial"/>
      <w:sz w:val="20"/>
      <w:szCs w:val="20"/>
    </w:rPr>
  </w:style>
  <w:style w:type="paragraph" w:customStyle="1" w:styleId="appendindent0">
    <w:name w:val="appendindent"/>
    <w:basedOn w:val="Normal"/>
    <w:rsid w:val="008B1196"/>
    <w:pPr>
      <w:ind w:left="720" w:hanging="360"/>
    </w:pPr>
    <w:rPr>
      <w:rFonts w:ascii="Trebuchet MS" w:hAnsi="Trebuchet MS"/>
      <w:b/>
      <w:bCs/>
      <w:sz w:val="20"/>
      <w:szCs w:val="20"/>
    </w:rPr>
  </w:style>
  <w:style w:type="paragraph" w:customStyle="1" w:styleId="productnames0">
    <w:name w:val="productnames"/>
    <w:basedOn w:val="Normal"/>
    <w:rsid w:val="008B1196"/>
    <w:pPr>
      <w:spacing w:before="20" w:after="20"/>
    </w:pPr>
    <w:rPr>
      <w:rFonts w:ascii="Trebuchet MS" w:hAnsi="Trebuchet MS"/>
      <w:position w:val="-11"/>
      <w:sz w:val="16"/>
      <w:szCs w:val="16"/>
    </w:rPr>
  </w:style>
  <w:style w:type="paragraph" w:customStyle="1" w:styleId="Char3">
    <w:name w:val="Char3"/>
    <w:basedOn w:val="Normal"/>
    <w:rsid w:val="008B1196"/>
    <w:pPr>
      <w:spacing w:after="160" w:line="240" w:lineRule="exact"/>
    </w:pPr>
    <w:rPr>
      <w:sz w:val="20"/>
      <w:szCs w:val="20"/>
    </w:rPr>
  </w:style>
  <w:style w:type="paragraph" w:customStyle="1" w:styleId="exceptionbody">
    <w:name w:val="exception body"/>
    <w:uiPriority w:val="99"/>
    <w:rsid w:val="008B1196"/>
    <w:pPr>
      <w:spacing w:after="60" w:line="255" w:lineRule="exact"/>
      <w:ind w:left="216"/>
    </w:pPr>
    <w:rPr>
      <w:rFonts w:ascii="Trebuchet MS" w:eastAsia="MS PGothic" w:hAnsi="Trebuchet MS" w:cs="Tahoma"/>
      <w:iCs/>
      <w:color w:val="000000"/>
      <w:sz w:val="18"/>
      <w:szCs w:val="18"/>
      <w:lang w:eastAsia="ja-JP"/>
    </w:rPr>
  </w:style>
  <w:style w:type="paragraph" w:customStyle="1" w:styleId="ColorfulList-Accent11">
    <w:name w:val="Colorful List - Accent 11"/>
    <w:basedOn w:val="Normal"/>
    <w:uiPriority w:val="34"/>
    <w:qFormat/>
    <w:rsid w:val="008B1196"/>
    <w:pPr>
      <w:ind w:left="720"/>
      <w:contextualSpacing/>
    </w:pPr>
    <w:rPr>
      <w:rFonts w:ascii="Times New Roman" w:hAnsi="Times New Roman"/>
      <w:sz w:val="24"/>
      <w:szCs w:val="24"/>
    </w:rPr>
  </w:style>
  <w:style w:type="paragraph" w:styleId="FootnoteText">
    <w:name w:val="footnote text"/>
    <w:basedOn w:val="Normal"/>
    <w:link w:val="FootnoteTextChar"/>
    <w:semiHidden/>
    <w:rsid w:val="008B1196"/>
    <w:rPr>
      <w:rFonts w:ascii="Trebuchet MS" w:hAnsi="Trebuchet MS"/>
      <w:sz w:val="20"/>
      <w:szCs w:val="20"/>
      <w:lang w:val="pt-BR" w:eastAsia="pt-BR"/>
    </w:rPr>
  </w:style>
  <w:style w:type="character" w:customStyle="1" w:styleId="FootnoteTextChar">
    <w:name w:val="Footnote Text Char"/>
    <w:basedOn w:val="DefaultParagraphFont"/>
    <w:link w:val="FootnoteText"/>
    <w:semiHidden/>
    <w:rsid w:val="008B1196"/>
    <w:rPr>
      <w:rFonts w:ascii="Trebuchet MS" w:eastAsia="MS Mincho" w:hAnsi="Trebuchet MS" w:cs="Times New Roman"/>
      <w:sz w:val="20"/>
      <w:szCs w:val="20"/>
      <w:lang w:val="pt-BR" w:eastAsia="pt-BR"/>
    </w:rPr>
  </w:style>
  <w:style w:type="paragraph" w:customStyle="1" w:styleId="bodywithspace0">
    <w:name w:val="bodywithspace"/>
    <w:basedOn w:val="Normal"/>
    <w:rsid w:val="008B1196"/>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8B1196"/>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8B1196"/>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8B1196"/>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8B1196"/>
    <w:rPr>
      <w:sz w:val="16"/>
      <w:szCs w:val="16"/>
    </w:rPr>
  </w:style>
  <w:style w:type="character" w:customStyle="1" w:styleId="DocumentMapChar">
    <w:name w:val="Document Map Char"/>
    <w:basedOn w:val="DefaultParagraphFont"/>
    <w:link w:val="DocumentMap"/>
    <w:uiPriority w:val="99"/>
    <w:rsid w:val="008B1196"/>
    <w:rPr>
      <w:rFonts w:ascii="Tahoma" w:eastAsia="MS Mincho" w:hAnsi="Tahoma" w:cs="Times New Roman"/>
      <w:sz w:val="16"/>
      <w:szCs w:val="16"/>
    </w:rPr>
  </w:style>
  <w:style w:type="paragraph" w:customStyle="1" w:styleId="NoSpacing1">
    <w:name w:val="No Spacing1"/>
    <w:basedOn w:val="Normal"/>
    <w:link w:val="NoSpacingChar"/>
    <w:uiPriority w:val="1"/>
    <w:qFormat/>
    <w:rsid w:val="008B1196"/>
    <w:rPr>
      <w:rFonts w:ascii="Calibri" w:hAnsi="Calibri"/>
      <w:sz w:val="20"/>
      <w:szCs w:val="20"/>
      <w:lang w:val="x-none" w:eastAsia="zh-TW"/>
    </w:rPr>
  </w:style>
  <w:style w:type="character" w:customStyle="1" w:styleId="NoSpacingChar">
    <w:name w:val="No Spacing Char"/>
    <w:link w:val="NoSpacing1"/>
    <w:uiPriority w:val="1"/>
    <w:locked/>
    <w:rsid w:val="008B1196"/>
    <w:rPr>
      <w:rFonts w:ascii="Calibri" w:eastAsia="MS Mincho" w:hAnsi="Calibri" w:cs="Times New Roman"/>
      <w:sz w:val="20"/>
      <w:szCs w:val="20"/>
      <w:lang w:val="x-none" w:eastAsia="zh-TW"/>
    </w:rPr>
  </w:style>
  <w:style w:type="paragraph" w:customStyle="1" w:styleId="footnotebulletlevel20">
    <w:name w:val="footnotebulletlevel2"/>
    <w:basedOn w:val="Normal"/>
    <w:rsid w:val="008B1196"/>
    <w:pPr>
      <w:tabs>
        <w:tab w:val="num" w:pos="900"/>
      </w:tabs>
      <w:snapToGrid w:val="0"/>
      <w:spacing w:before="120"/>
      <w:ind w:left="1267" w:hanging="360"/>
    </w:pPr>
    <w:rPr>
      <w:rFonts w:ascii="Trebuchet MS" w:hAnsi="Trebuchet MS"/>
      <w:sz w:val="20"/>
      <w:szCs w:val="20"/>
    </w:rPr>
  </w:style>
  <w:style w:type="character" w:styleId="Strong">
    <w:name w:val="Strong"/>
    <w:uiPriority w:val="22"/>
    <w:qFormat/>
    <w:rsid w:val="008B1196"/>
    <w:rPr>
      <w:rFonts w:cs="Times New Roman"/>
      <w:b/>
    </w:rPr>
  </w:style>
  <w:style w:type="paragraph" w:styleId="CommentText">
    <w:name w:val="annotation text"/>
    <w:basedOn w:val="Normal"/>
    <w:link w:val="CommentTextChar"/>
    <w:uiPriority w:val="99"/>
    <w:rsid w:val="008B1196"/>
    <w:rPr>
      <w:rFonts w:ascii="Trebuchet MS" w:hAnsi="Trebuchet MS"/>
      <w:sz w:val="20"/>
      <w:szCs w:val="20"/>
      <w:lang w:val="pt-BR" w:eastAsia="pt-BR"/>
    </w:rPr>
  </w:style>
  <w:style w:type="character" w:customStyle="1" w:styleId="CommentTextChar">
    <w:name w:val="Comment Text Char"/>
    <w:basedOn w:val="DefaultParagraphFont"/>
    <w:link w:val="CommentText"/>
    <w:uiPriority w:val="99"/>
    <w:rsid w:val="008B1196"/>
    <w:rPr>
      <w:rFonts w:ascii="Trebuchet MS" w:eastAsia="MS Mincho" w:hAnsi="Trebuchet MS" w:cs="Times New Roman"/>
      <w:sz w:val="20"/>
      <w:szCs w:val="20"/>
      <w:lang w:val="pt-BR" w:eastAsia="pt-BR"/>
    </w:rPr>
  </w:style>
  <w:style w:type="paragraph" w:styleId="CommentSubject">
    <w:name w:val="annotation subject"/>
    <w:basedOn w:val="CommentText"/>
    <w:next w:val="CommentText"/>
    <w:link w:val="CommentSubjectChar"/>
    <w:semiHidden/>
    <w:rsid w:val="008B1196"/>
    <w:rPr>
      <w:b/>
    </w:rPr>
  </w:style>
  <w:style w:type="character" w:customStyle="1" w:styleId="CommentSubjectChar">
    <w:name w:val="Comment Subject Char"/>
    <w:basedOn w:val="CommentTextChar"/>
    <w:link w:val="CommentSubject"/>
    <w:semiHidden/>
    <w:rsid w:val="008B1196"/>
    <w:rPr>
      <w:rFonts w:ascii="Trebuchet MS" w:eastAsia="MS Mincho" w:hAnsi="Trebuchet MS" w:cs="Times New Roman"/>
      <w:b/>
      <w:sz w:val="20"/>
      <w:szCs w:val="20"/>
      <w:lang w:val="pt-BR" w:eastAsia="pt-BR"/>
    </w:rPr>
  </w:style>
  <w:style w:type="paragraph" w:styleId="NormalWeb">
    <w:name w:val="Normal (Web)"/>
    <w:basedOn w:val="Normal"/>
    <w:uiPriority w:val="99"/>
    <w:unhideWhenUsed/>
    <w:rsid w:val="008B1196"/>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8B1196"/>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8B1196"/>
    <w:rPr>
      <w:rFonts w:cs="Times New Roman"/>
      <w:vertAlign w:val="superscript"/>
    </w:rPr>
  </w:style>
  <w:style w:type="paragraph" w:styleId="PlainText">
    <w:name w:val="Plain Text"/>
    <w:basedOn w:val="Normal"/>
    <w:link w:val="PlainTextChar"/>
    <w:uiPriority w:val="99"/>
    <w:unhideWhenUsed/>
    <w:rsid w:val="008B1196"/>
    <w:rPr>
      <w:rFonts w:ascii="Consolas" w:hAnsi="Consolas"/>
      <w:sz w:val="21"/>
      <w:szCs w:val="21"/>
    </w:rPr>
  </w:style>
  <w:style w:type="character" w:customStyle="1" w:styleId="PlainTextChar">
    <w:name w:val="Plain Text Char"/>
    <w:basedOn w:val="DefaultParagraphFont"/>
    <w:link w:val="PlainText"/>
    <w:uiPriority w:val="99"/>
    <w:rsid w:val="008B1196"/>
    <w:rPr>
      <w:rFonts w:ascii="Consolas" w:eastAsia="MS Mincho" w:hAnsi="Consolas" w:cs="Times New Roman"/>
      <w:sz w:val="21"/>
      <w:szCs w:val="21"/>
    </w:rPr>
  </w:style>
  <w:style w:type="paragraph" w:customStyle="1" w:styleId="productendnote0">
    <w:name w:val="productendnote"/>
    <w:basedOn w:val="Normal"/>
    <w:rsid w:val="008B1196"/>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8B1196"/>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8B1196"/>
    <w:rPr>
      <w:rFonts w:ascii="Times New Roman" w:hAnsi="Times New Roman"/>
      <w:sz w:val="24"/>
      <w:szCs w:val="24"/>
    </w:rPr>
  </w:style>
  <w:style w:type="paragraph" w:styleId="BodyText">
    <w:name w:val="Body Text"/>
    <w:basedOn w:val="Normal"/>
    <w:link w:val="BodyTextChar"/>
    <w:uiPriority w:val="99"/>
    <w:unhideWhenUsed/>
    <w:rsid w:val="008B1196"/>
    <w:pPr>
      <w:spacing w:before="100" w:after="180" w:line="260" w:lineRule="exact"/>
    </w:pPr>
    <w:rPr>
      <w:rFonts w:ascii="Verdana" w:hAnsi="Verdana"/>
      <w:color w:val="000000"/>
      <w:sz w:val="20"/>
      <w:szCs w:val="20"/>
      <w:lang w:val="x-none" w:eastAsia="x-none"/>
    </w:rPr>
  </w:style>
  <w:style w:type="character" w:customStyle="1" w:styleId="BodyTextChar">
    <w:name w:val="Body Text Char"/>
    <w:basedOn w:val="DefaultParagraphFont"/>
    <w:link w:val="BodyText"/>
    <w:uiPriority w:val="99"/>
    <w:rsid w:val="008B1196"/>
    <w:rPr>
      <w:rFonts w:ascii="Verdana" w:eastAsia="MS Mincho" w:hAnsi="Verdana" w:cs="Times New Roman"/>
      <w:color w:val="000000"/>
      <w:sz w:val="20"/>
      <w:szCs w:val="20"/>
      <w:lang w:val="x-none" w:eastAsia="x-none"/>
    </w:rPr>
  </w:style>
  <w:style w:type="paragraph" w:customStyle="1" w:styleId="ColorfulShading-Accent11">
    <w:name w:val="Colorful Shading - Accent 11"/>
    <w:hidden/>
    <w:uiPriority w:val="99"/>
    <w:semiHidden/>
    <w:rsid w:val="008B1196"/>
    <w:pPr>
      <w:spacing w:after="0" w:line="240" w:lineRule="auto"/>
    </w:pPr>
    <w:rPr>
      <w:rFonts w:ascii="Calibri" w:eastAsia="MS Mincho" w:hAnsi="Calibri" w:cs="Times New Roman"/>
    </w:rPr>
  </w:style>
  <w:style w:type="paragraph" w:styleId="BodyText2">
    <w:name w:val="Body Text 2"/>
    <w:basedOn w:val="Normal"/>
    <w:link w:val="BodyText2Char"/>
    <w:uiPriority w:val="99"/>
    <w:semiHidden/>
    <w:unhideWhenUsed/>
    <w:rsid w:val="008B1196"/>
    <w:pPr>
      <w:spacing w:after="120" w:line="480" w:lineRule="auto"/>
    </w:pPr>
    <w:rPr>
      <w:rFonts w:ascii="Calibri" w:hAnsi="Calibri"/>
      <w:sz w:val="22"/>
    </w:rPr>
  </w:style>
  <w:style w:type="character" w:customStyle="1" w:styleId="BodyText2Char">
    <w:name w:val="Body Text 2 Char"/>
    <w:basedOn w:val="DefaultParagraphFont"/>
    <w:link w:val="BodyText2"/>
    <w:uiPriority w:val="99"/>
    <w:semiHidden/>
    <w:rsid w:val="008B1196"/>
    <w:rPr>
      <w:rFonts w:ascii="Calibri" w:eastAsia="MS Mincho" w:hAnsi="Calibri" w:cs="Times New Roman"/>
    </w:rPr>
  </w:style>
  <w:style w:type="paragraph" w:customStyle="1" w:styleId="normal1">
    <w:name w:val="normal1"/>
    <w:basedOn w:val="Normal"/>
    <w:rsid w:val="008B1196"/>
    <w:rPr>
      <w:rFonts w:ascii="Arial" w:hAnsi="Arial" w:cs="Arial"/>
      <w:sz w:val="20"/>
      <w:szCs w:val="20"/>
    </w:rPr>
  </w:style>
  <w:style w:type="paragraph" w:customStyle="1" w:styleId="normal195">
    <w:name w:val="normal1 9.5"/>
    <w:basedOn w:val="Normal"/>
    <w:rsid w:val="008B1196"/>
    <w:pPr>
      <w:ind w:left="720"/>
      <w:jc w:val="both"/>
    </w:pPr>
    <w:rPr>
      <w:rFonts w:ascii="Arial" w:hAnsi="Arial" w:cs="Arial"/>
      <w:sz w:val="19"/>
      <w:szCs w:val="19"/>
    </w:rPr>
  </w:style>
  <w:style w:type="character" w:customStyle="1" w:styleId="Head1Char">
    <w:name w:val="Head 1 Char"/>
    <w:link w:val="Head1"/>
    <w:locked/>
    <w:rsid w:val="008B1196"/>
    <w:rPr>
      <w:rFonts w:ascii="Arial" w:hAnsi="Arial"/>
      <w:b/>
      <w:i/>
    </w:rPr>
  </w:style>
  <w:style w:type="paragraph" w:customStyle="1" w:styleId="Head1">
    <w:name w:val="Head 1"/>
    <w:basedOn w:val="Normal"/>
    <w:link w:val="Head1Char"/>
    <w:rsid w:val="008B1196"/>
    <w:pPr>
      <w:spacing w:before="120" w:after="120"/>
      <w:jc w:val="both"/>
    </w:pPr>
    <w:rPr>
      <w:rFonts w:ascii="Arial" w:eastAsiaTheme="minorHAnsi" w:hAnsi="Arial" w:cstheme="minorBidi"/>
      <w:b/>
      <w:i/>
      <w:sz w:val="22"/>
    </w:rPr>
  </w:style>
  <w:style w:type="table" w:styleId="TableGrid">
    <w:name w:val="Table Grid"/>
    <w:basedOn w:val="TableNormal"/>
    <w:uiPriority w:val="59"/>
    <w:rsid w:val="008B1196"/>
    <w:pPr>
      <w:spacing w:after="0" w:line="240" w:lineRule="auto"/>
    </w:pPr>
    <w:rPr>
      <w:rFonts w:ascii="Calibri" w:eastAsia="MS Mincho"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8B1196"/>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8B1196"/>
    <w:pPr>
      <w:ind w:left="720"/>
      <w:contextualSpacing/>
    </w:pPr>
    <w:rPr>
      <w:rFonts w:ascii="Times New Roman" w:hAnsi="Times New Roman"/>
      <w:sz w:val="24"/>
      <w:szCs w:val="20"/>
      <w:lang w:val="x-none" w:eastAsia="x-none"/>
    </w:rPr>
  </w:style>
  <w:style w:type="paragraph" w:styleId="Revision">
    <w:name w:val="Revision"/>
    <w:hidden/>
    <w:uiPriority w:val="99"/>
    <w:semiHidden/>
    <w:rsid w:val="008B1196"/>
    <w:pPr>
      <w:spacing w:after="0" w:line="240" w:lineRule="auto"/>
    </w:pPr>
    <w:rPr>
      <w:rFonts w:ascii="Calibri" w:eastAsia="MS Mincho" w:hAnsi="Calibri" w:cs="Times New Roman"/>
    </w:rPr>
  </w:style>
  <w:style w:type="paragraph" w:styleId="Title">
    <w:name w:val="Title"/>
    <w:basedOn w:val="Normal"/>
    <w:next w:val="Normal"/>
    <w:link w:val="TitleChar"/>
    <w:qFormat/>
    <w:rsid w:val="008B1196"/>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8B1196"/>
    <w:rPr>
      <w:rFonts w:ascii="Cambria" w:eastAsia="MS Mincho" w:hAnsi="Cambria" w:cs="Times New Roman"/>
      <w:b/>
      <w:bCs/>
      <w:kern w:val="28"/>
      <w:sz w:val="32"/>
      <w:szCs w:val="32"/>
    </w:rPr>
  </w:style>
  <w:style w:type="paragraph" w:customStyle="1" w:styleId="productlist">
    <w:name w:val="product list"/>
    <w:basedOn w:val="Normal"/>
    <w:uiPriority w:val="99"/>
    <w:rsid w:val="008B1196"/>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8B1196"/>
    <w:pPr>
      <w:spacing w:before="100" w:beforeAutospacing="1" w:after="100" w:afterAutospacing="1"/>
    </w:pPr>
    <w:rPr>
      <w:rFonts w:ascii="Times New Roman" w:hAnsi="Times New Roman"/>
      <w:sz w:val="24"/>
      <w:szCs w:val="24"/>
    </w:rPr>
  </w:style>
  <w:style w:type="character" w:styleId="Emphasis">
    <w:name w:val="Emphasis"/>
    <w:qFormat/>
    <w:rsid w:val="008B1196"/>
    <w:rPr>
      <w:rFonts w:cs="Times New Roman"/>
      <w:i/>
    </w:rPr>
  </w:style>
  <w:style w:type="paragraph" w:styleId="Subtitle">
    <w:name w:val="Subtitle"/>
    <w:basedOn w:val="Normal"/>
    <w:next w:val="Normal"/>
    <w:link w:val="SubtitleChar"/>
    <w:qFormat/>
    <w:rsid w:val="008B1196"/>
    <w:pPr>
      <w:spacing w:after="60"/>
      <w:jc w:val="center"/>
      <w:outlineLvl w:val="1"/>
    </w:pPr>
    <w:rPr>
      <w:rFonts w:ascii="Cambria" w:hAnsi="Cambria"/>
      <w:sz w:val="24"/>
      <w:szCs w:val="24"/>
    </w:rPr>
  </w:style>
  <w:style w:type="character" w:customStyle="1" w:styleId="SubtitleChar">
    <w:name w:val="Subtitle Char"/>
    <w:basedOn w:val="DefaultParagraphFont"/>
    <w:link w:val="Subtitle"/>
    <w:rsid w:val="008B1196"/>
    <w:rPr>
      <w:rFonts w:ascii="Cambria" w:eastAsia="MS Mincho" w:hAnsi="Cambria" w:cs="Times New Roman"/>
      <w:sz w:val="24"/>
      <w:szCs w:val="24"/>
    </w:rPr>
  </w:style>
  <w:style w:type="paragraph" w:styleId="NoSpacing">
    <w:name w:val="No Spacing"/>
    <w:uiPriority w:val="1"/>
    <w:qFormat/>
    <w:rsid w:val="008B1196"/>
    <w:pPr>
      <w:spacing w:after="0" w:line="240" w:lineRule="auto"/>
    </w:pPr>
    <w:rPr>
      <w:rFonts w:ascii="Calibri" w:eastAsia="MS Mincho" w:hAnsi="Calibri" w:cs="Times New Roman"/>
    </w:rPr>
  </w:style>
  <w:style w:type="character" w:customStyle="1" w:styleId="formelementblack1">
    <w:name w:val="formelement_black1"/>
    <w:rsid w:val="008B1196"/>
    <w:rPr>
      <w:rFonts w:ascii="Verdana" w:hAnsi="Verdana"/>
      <w:color w:val="000000"/>
      <w:sz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B1196"/>
    <w:rPr>
      <w:rFonts w:ascii="Times New Roman" w:eastAsia="MS Mincho" w:hAnsi="Times New Roman" w:cs="Times New Roman"/>
      <w:sz w:val="24"/>
      <w:szCs w:val="20"/>
      <w:lang w:val="x-none" w:eastAsia="x-none"/>
    </w:rPr>
  </w:style>
  <w:style w:type="paragraph" w:customStyle="1" w:styleId="3iNumbered2ndlevel">
    <w:name w:val="3i. Numbered 2nd level"/>
    <w:basedOn w:val="Normal"/>
    <w:uiPriority w:val="99"/>
    <w:rsid w:val="008B1196"/>
    <w:pPr>
      <w:spacing w:before="60" w:line="160" w:lineRule="exact"/>
      <w:ind w:left="624" w:hanging="340"/>
    </w:pPr>
    <w:rPr>
      <w:rFonts w:cs="Tahoma"/>
      <w:color w:val="000000"/>
      <w:sz w:val="14"/>
      <w:szCs w:val="14"/>
    </w:rPr>
  </w:style>
  <w:style w:type="character" w:customStyle="1" w:styleId="emailstyle28">
    <w:name w:val="emailstyle28"/>
    <w:semiHidden/>
    <w:rsid w:val="008B1196"/>
    <w:rPr>
      <w:rFonts w:ascii="Calibri" w:hAnsi="Calibri"/>
      <w:color w:val="1F497D"/>
    </w:rPr>
  </w:style>
  <w:style w:type="character" w:customStyle="1" w:styleId="emailstyle25">
    <w:name w:val="emailstyle25"/>
    <w:semiHidden/>
    <w:rsid w:val="008B1196"/>
    <w:rPr>
      <w:rFonts w:ascii="Calibri" w:hAnsi="Calibri"/>
      <w:color w:val="auto"/>
    </w:rPr>
  </w:style>
  <w:style w:type="table" w:customStyle="1" w:styleId="TableGrid1">
    <w:name w:val="Table Grid1"/>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8B1196"/>
    <w:pPr>
      <w:snapToGrid w:val="0"/>
      <w:spacing w:before="60" w:after="60"/>
      <w:ind w:left="1627" w:hanging="360"/>
    </w:pPr>
    <w:rPr>
      <w:rFonts w:ascii="Trebuchet MS" w:hAnsi="Trebuchet MS"/>
      <w:sz w:val="20"/>
      <w:szCs w:val="20"/>
    </w:rPr>
  </w:style>
  <w:style w:type="table" w:customStyle="1" w:styleId="TableGrid2">
    <w:name w:val="Table Grid2"/>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8B1196"/>
    <w:pPr>
      <w:spacing w:before="60" w:after="60" w:line="240" w:lineRule="auto"/>
      <w:ind w:left="72" w:right="72"/>
    </w:pPr>
    <w:rPr>
      <w:rFonts w:ascii="Arial" w:hAnsi="Arial" w:cs="Arial"/>
      <w:b/>
      <w:bCs/>
      <w:color w:val="FFFFFF"/>
    </w:rPr>
  </w:style>
  <w:style w:type="table" w:customStyle="1" w:styleId="TableGrid3">
    <w:name w:val="Table Grid3"/>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8B1196"/>
    <w:pPr>
      <w:spacing w:after="0" w:line="240" w:lineRule="auto"/>
    </w:pPr>
    <w:rPr>
      <w:rFonts w:ascii="Calibri" w:eastAsia="MS Mincho"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8B1196"/>
    <w:pPr>
      <w:keepNext/>
      <w:keepLines/>
      <w:pBdr>
        <w:bottom w:val="single" w:sz="8" w:space="1" w:color="404040"/>
      </w:pBdr>
      <w:spacing w:before="240"/>
    </w:pPr>
    <w:rPr>
      <w:rFonts w:ascii="Arial" w:hAnsi="Arial"/>
      <w:sz w:val="28"/>
      <w:szCs w:val="20"/>
      <w:lang w:val="x-none" w:eastAsia="x-none"/>
    </w:rPr>
  </w:style>
  <w:style w:type="character" w:customStyle="1" w:styleId="PURProductNameChar">
    <w:name w:val="PUR Product Name Char"/>
    <w:link w:val="PURProductName"/>
    <w:uiPriority w:val="3"/>
    <w:locked/>
    <w:rsid w:val="008B1196"/>
    <w:rPr>
      <w:rFonts w:ascii="Arial" w:eastAsia="MS Mincho" w:hAnsi="Arial" w:cs="Times New Roman"/>
      <w:sz w:val="28"/>
      <w:szCs w:val="20"/>
      <w:lang w:val="x-none" w:eastAsia="x-none"/>
    </w:rPr>
  </w:style>
  <w:style w:type="character" w:customStyle="1" w:styleId="PURBlueStrong-IndentedChar">
    <w:name w:val="PUR Blue Strong - Indented Char"/>
    <w:link w:val="PURBlueStrong-Indented"/>
    <w:uiPriority w:val="3"/>
    <w:locked/>
    <w:rsid w:val="008B1196"/>
    <w:rPr>
      <w:rFonts w:ascii="Arial" w:hAnsi="Arial"/>
      <w:smallCaps/>
      <w:color w:val="1F497D"/>
      <w:spacing w:val="-4"/>
    </w:rPr>
  </w:style>
  <w:style w:type="paragraph" w:customStyle="1" w:styleId="PURBlueStrong-Indented">
    <w:name w:val="PUR Blue Strong - Indented"/>
    <w:basedOn w:val="Normal"/>
    <w:link w:val="PURBlueStrong-IndentedChar"/>
    <w:uiPriority w:val="3"/>
    <w:rsid w:val="008B1196"/>
    <w:pPr>
      <w:keepNext/>
      <w:spacing w:after="60" w:line="240" w:lineRule="exact"/>
      <w:ind w:left="270"/>
    </w:pPr>
    <w:rPr>
      <w:rFonts w:ascii="Arial" w:eastAsiaTheme="minorHAnsi" w:hAnsi="Arial" w:cstheme="minorBidi"/>
      <w:smallCaps/>
      <w:color w:val="1F497D"/>
      <w:spacing w:val="-4"/>
      <w:sz w:val="22"/>
    </w:rPr>
  </w:style>
  <w:style w:type="paragraph" w:customStyle="1" w:styleId="hangindent195">
    <w:name w:val="hang indent1 9.5"/>
    <w:basedOn w:val="Normal"/>
    <w:rsid w:val="008B1196"/>
    <w:pPr>
      <w:ind w:left="1440" w:hanging="720"/>
      <w:jc w:val="both"/>
    </w:pPr>
    <w:rPr>
      <w:rFonts w:ascii="Arial" w:hAnsi="Arial" w:cs="Arial"/>
      <w:sz w:val="19"/>
      <w:szCs w:val="19"/>
    </w:rPr>
  </w:style>
  <w:style w:type="character" w:customStyle="1" w:styleId="PURBody-IndentedChar">
    <w:name w:val="PUR Body - Indented Char"/>
    <w:link w:val="PURBody-Indented"/>
    <w:uiPriority w:val="3"/>
    <w:locked/>
    <w:rsid w:val="008B1196"/>
  </w:style>
  <w:style w:type="paragraph" w:customStyle="1" w:styleId="PURBody-Indented">
    <w:name w:val="PUR Body - Indented"/>
    <w:basedOn w:val="Normal"/>
    <w:link w:val="PURBody-IndentedChar"/>
    <w:uiPriority w:val="3"/>
    <w:rsid w:val="008B1196"/>
    <w:pPr>
      <w:spacing w:after="120"/>
      <w:ind w:left="270"/>
    </w:pPr>
    <w:rPr>
      <w:rFonts w:asciiTheme="minorHAnsi" w:eastAsiaTheme="minorHAnsi" w:hAnsiTheme="minorHAnsi" w:cstheme="minorBidi"/>
      <w:sz w:val="22"/>
    </w:rPr>
  </w:style>
  <w:style w:type="character" w:customStyle="1" w:styleId="PURBullet-IndentedChar">
    <w:name w:val="PUR Bullet- Indented Char"/>
    <w:link w:val="PURBullet-Indented"/>
    <w:uiPriority w:val="3"/>
    <w:locked/>
    <w:rsid w:val="008B1196"/>
  </w:style>
  <w:style w:type="paragraph" w:customStyle="1" w:styleId="PURBullet-Indented">
    <w:name w:val="PUR Bullet- Indented"/>
    <w:basedOn w:val="Normal"/>
    <w:link w:val="PURBullet-IndentedChar"/>
    <w:uiPriority w:val="3"/>
    <w:rsid w:val="008B1196"/>
    <w:pPr>
      <w:spacing w:after="120" w:line="240" w:lineRule="exact"/>
      <w:ind w:left="540" w:hanging="360"/>
      <w:contextualSpacing/>
    </w:pPr>
    <w:rPr>
      <w:rFonts w:asciiTheme="minorHAnsi" w:eastAsiaTheme="minorHAnsi" w:hAnsiTheme="minorHAnsi" w:cstheme="minorBidi"/>
      <w:sz w:val="22"/>
    </w:rPr>
  </w:style>
  <w:style w:type="character" w:customStyle="1" w:styleId="LogoportMarkup">
    <w:name w:val="LogoportMarkup"/>
    <w:rsid w:val="008B1196"/>
    <w:rPr>
      <w:rFonts w:ascii="Courier New" w:hAnsi="Courier New" w:cs="Courier New"/>
      <w:color w:val="FF0000"/>
      <w:sz w:val="76"/>
      <w:szCs w:val="76"/>
      <w:lang w:val="en-US" w:eastAsia="en-US"/>
    </w:rPr>
  </w:style>
  <w:style w:type="character" w:customStyle="1" w:styleId="LogoportDoNotTranslate">
    <w:name w:val="LogoportDoNotTranslate"/>
    <w:rsid w:val="008B1196"/>
    <w:rPr>
      <w:rFonts w:ascii="Courier New" w:hAnsi="Courier New" w:cs="Courier New"/>
      <w:color w:val="808080"/>
      <w:sz w:val="76"/>
      <w:szCs w:val="76"/>
      <w:lang w:val="en-US" w:eastAsia="en-US"/>
    </w:rPr>
  </w:style>
  <w:style w:type="character" w:customStyle="1" w:styleId="BodyChar2">
    <w:name w:val="Body Char2"/>
    <w:rsid w:val="008B1196"/>
    <w:rPr>
      <w:rFonts w:ascii="Trebuchet MS" w:hAnsi="Trebuchet MS"/>
    </w:rPr>
  </w:style>
  <w:style w:type="character" w:customStyle="1" w:styleId="BodyChar1">
    <w:name w:val="Body Char1"/>
    <w:rsid w:val="008B1196"/>
    <w:rPr>
      <w:rFonts w:ascii="Trebuchet MS" w:hAnsi="Trebuchet MS"/>
      <w:sz w:val="24"/>
      <w:lang w:val="en-US" w:eastAsia="en-US"/>
    </w:rPr>
  </w:style>
  <w:style w:type="character" w:customStyle="1" w:styleId="Ttulo3Char1">
    <w:name w:val="Título 3 Char1"/>
    <w:uiPriority w:val="9"/>
    <w:semiHidden/>
    <w:rsid w:val="008B1196"/>
    <w:rPr>
      <w:rFonts w:ascii="Cambria" w:hAnsi="Cambria" w:cs="Times New Roman"/>
      <w:b/>
      <w:bCs/>
      <w:color w:val="4F81BD"/>
      <w:sz w:val="24"/>
      <w:szCs w:val="24"/>
      <w:lang w:val="de-DE" w:eastAsia="x-none"/>
    </w:rPr>
  </w:style>
  <w:style w:type="character" w:customStyle="1" w:styleId="EndnoteTextChar1">
    <w:name w:val="Endnote Text Char1"/>
    <w:uiPriority w:val="99"/>
    <w:locked/>
    <w:rsid w:val="008B1196"/>
    <w:rPr>
      <w:rFonts w:ascii="Trebuchet MS" w:eastAsia="MS Mincho" w:hAnsi="Trebuchet MS" w:cs="Times New Roman"/>
      <w:sz w:val="20"/>
      <w:szCs w:val="24"/>
    </w:rPr>
  </w:style>
  <w:style w:type="paragraph" w:customStyle="1" w:styleId="Style1">
    <w:name w:val="Style1"/>
    <w:basedOn w:val="Heading1"/>
    <w:link w:val="Style1Char"/>
    <w:qFormat/>
    <w:rsid w:val="008B1196"/>
    <w:rPr>
      <w:rFonts w:cs="Tahoma"/>
    </w:rPr>
  </w:style>
  <w:style w:type="character" w:customStyle="1" w:styleId="Style1Char">
    <w:name w:val="Style1 Char"/>
    <w:basedOn w:val="Heading1Char"/>
    <w:link w:val="Style1"/>
    <w:rsid w:val="008B1196"/>
    <w:rPr>
      <w:rFonts w:ascii="Tahoma" w:eastAsia="MS Mincho" w:hAnsi="Tahoma" w:cs="Tahoma"/>
      <w:b/>
      <w:bCs/>
      <w:caps/>
      <w:color w:val="000000"/>
      <w:sz w:val="36"/>
      <w:szCs w:val="36"/>
      <w:lang w:val="pt-BR"/>
    </w:rPr>
  </w:style>
  <w:style w:type="paragraph" w:customStyle="1" w:styleId="Style2">
    <w:name w:val="Style2"/>
    <w:basedOn w:val="Heading1"/>
    <w:link w:val="Style2Char"/>
    <w:qFormat/>
    <w:rsid w:val="008B1196"/>
    <w:rPr>
      <w:rFonts w:cs="Tahoma"/>
    </w:rPr>
  </w:style>
  <w:style w:type="character" w:customStyle="1" w:styleId="Style2Char">
    <w:name w:val="Style2 Char"/>
    <w:basedOn w:val="Heading1Char"/>
    <w:link w:val="Style2"/>
    <w:rsid w:val="008B1196"/>
    <w:rPr>
      <w:rFonts w:ascii="Tahoma" w:eastAsia="MS Mincho" w:hAnsi="Tahoma" w:cs="Tahoma"/>
      <w:b/>
      <w:bCs/>
      <w:caps/>
      <w:color w:val="000000"/>
      <w:sz w:val="36"/>
      <w:szCs w:val="36"/>
      <w:lang w:val="pt-BR"/>
    </w:rPr>
  </w:style>
  <w:style w:type="character" w:customStyle="1" w:styleId="FootnoteTextChar1">
    <w:name w:val="Footnote Text Char1"/>
    <w:uiPriority w:val="99"/>
    <w:semiHidden/>
    <w:rsid w:val="008B1196"/>
    <w:rPr>
      <w:rFonts w:ascii="Calibri" w:eastAsia="MS Mincho" w:hAnsi="Calibri" w:cs="Times New Roman"/>
      <w:sz w:val="20"/>
      <w:szCs w:val="20"/>
    </w:rPr>
  </w:style>
  <w:style w:type="character" w:customStyle="1" w:styleId="CommentTextChar1">
    <w:name w:val="Comment Text Char1"/>
    <w:uiPriority w:val="99"/>
    <w:semiHidden/>
    <w:rsid w:val="008B1196"/>
    <w:rPr>
      <w:rFonts w:ascii="Calibri" w:eastAsia="MS Mincho" w:hAnsi="Calibri" w:cs="Times New Roman"/>
      <w:sz w:val="20"/>
      <w:szCs w:val="20"/>
    </w:rPr>
  </w:style>
  <w:style w:type="character" w:customStyle="1" w:styleId="CommentSubjectChar1">
    <w:name w:val="Comment Subject Char1"/>
    <w:uiPriority w:val="99"/>
    <w:semiHidden/>
    <w:rsid w:val="008B1196"/>
    <w:rPr>
      <w:rFonts w:ascii="Calibri" w:eastAsia="MS Mincho" w:hAnsi="Calibri" w:cs="Times New Roman"/>
      <w:b/>
      <w:bCs/>
      <w:sz w:val="20"/>
      <w:szCs w:val="20"/>
    </w:rPr>
  </w:style>
  <w:style w:type="character" w:customStyle="1" w:styleId="BodyTextChar1">
    <w:name w:val="Body Text Char1"/>
    <w:uiPriority w:val="99"/>
    <w:locked/>
    <w:rsid w:val="008B1196"/>
    <w:rPr>
      <w:rFonts w:ascii="Verdana" w:eastAsia="MS Mincho" w:hAnsi="Verdana" w:cs="Times New Roman"/>
      <w:color w:val="000000"/>
    </w:rPr>
  </w:style>
  <w:style w:type="paragraph" w:customStyle="1" w:styleId="Style3">
    <w:name w:val="Style3"/>
    <w:basedOn w:val="Heading1"/>
    <w:link w:val="Style3Char"/>
    <w:qFormat/>
    <w:rsid w:val="008B1196"/>
  </w:style>
  <w:style w:type="character" w:customStyle="1" w:styleId="Style3Char">
    <w:name w:val="Style3 Char"/>
    <w:basedOn w:val="Heading1Char"/>
    <w:link w:val="Style3"/>
    <w:rsid w:val="008B1196"/>
    <w:rPr>
      <w:rFonts w:ascii="Tahoma" w:eastAsia="MS Mincho" w:hAnsi="Tahoma" w:cs="Times New Roman"/>
      <w:b/>
      <w:bCs/>
      <w:caps/>
      <w:color w:val="000000"/>
      <w:sz w:val="36"/>
      <w:szCs w:val="36"/>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rosoft.com/online/faq.aspx" TargetMode="External"/><Relationship Id="rId18" Type="http://schemas.openxmlformats.org/officeDocument/2006/relationships/hyperlink" Target="http://support.microsoft.com/common/international.aspx?rdpath=dm;en-us;lifecycle" TargetMode="External"/><Relationship Id="rId26" Type="http://schemas.openxmlformats.org/officeDocument/2006/relationships/hyperlink" Target="http://www.vexcel.com/geospatial/bingmapsserver/index.asp" TargetMode="External"/><Relationship Id="rId39" Type="http://schemas.openxmlformats.org/officeDocument/2006/relationships/footer" Target="footer3.xml"/><Relationship Id="rId21" Type="http://schemas.openxmlformats.org/officeDocument/2006/relationships/hyperlink" Target="http://www.microsoft.com/licensing" TargetMode="External"/><Relationship Id="rId34" Type="http://schemas.openxmlformats.org/officeDocument/2006/relationships/hyperlink" Target="http://www.microsoft.com" TargetMode="External"/><Relationship Id="rId42" Type="http://schemas.openxmlformats.org/officeDocument/2006/relationships/fontTable" Target="fontTable.xml"/><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microsoft.com/resources/sharedsource/Licensing/Enterprise.mspx" TargetMode="External"/><Relationship Id="rId20" Type="http://schemas.openxmlformats.org/officeDocument/2006/relationships/hyperlink" Target="http://www.microsoft.com/technet/subscription" TargetMode="External"/><Relationship Id="rId29" Type="http://schemas.openxmlformats.org/officeDocument/2006/relationships/hyperlink" Target="http://www.microsoft.com/licensing/contracts" TargetMode="External"/><Relationship Id="rId41"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image" Target="media/image4.png"/><Relationship Id="rId24" Type="http://schemas.openxmlformats.org/officeDocument/2006/relationships/hyperlink" Target="http://www.microsoft.com/licensing/resources/vol/numbers.mspx"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s://www.certiport.com/PORTAL/desktopdefault.aspx?tabid=682&amp;roleid=101" TargetMode="External"/><Relationship Id="rId40"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http://www.microsoft.com/spd" TargetMode="External"/><Relationship Id="rId23" Type="http://schemas.openxmlformats.org/officeDocument/2006/relationships/hyperlink" Target="https://www.microsoft.com/licensing/servicecenter/default.aspx" TargetMode="External"/><Relationship Id="rId28" Type="http://schemas.openxmlformats.org/officeDocument/2006/relationships/hyperlink" Target="http://www.microsoft.com/education/pil/partnersinlearning.aspx" TargetMode="External"/><Relationship Id="rId36" Type="http://schemas.openxmlformats.org/officeDocument/2006/relationships/hyperlink" Target="https://www.certiport.com/PORTAL/desktopdefault.aspx?tabid=682&amp;roleid=101" TargetMode="External"/><Relationship Id="rId10" Type="http://schemas.openxmlformats.org/officeDocument/2006/relationships/image" Target="media/image3.png"/><Relationship Id="rId19" Type="http://schemas.openxmlformats.org/officeDocument/2006/relationships/hyperlink" Target="http://support.microsoft.com/lifecycle" TargetMode="External"/><Relationship Id="rId31" Type="http://schemas.openxmlformats.org/officeDocument/2006/relationships/hyperlink" Target="http://www.microsoft.com/sqlserver/en/us/get-sql-server/how-to-buy.aspx"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www.microsoft.com/licensing" TargetMode="External"/><Relationship Id="rId22" Type="http://schemas.openxmlformats.org/officeDocument/2006/relationships/hyperlink" Target="http://www.microsoft.com/products/exporting/basics.htm" TargetMode="External"/><Relationship Id="rId27" Type="http://schemas.openxmlformats.org/officeDocument/2006/relationships/hyperlink" Target="http://www.microsoft.com/en-us/windows/windowsintune/faq/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en-us/dynamics/erp-buy-ax-software.aspx" TargetMode="External"/><Relationship Id="rId43" Type="http://schemas.openxmlformats.org/officeDocument/2006/relationships/theme" Target="theme/theme1.xml"/><Relationship Id="rId8" Type="http://schemas.openxmlformats.org/officeDocument/2006/relationships/header" Target="header2.xml"/><Relationship Id="rId3" Type="http://schemas.microsoft.com/office/2007/relationships/stylesWithEffects" Target="stylesWithEffects.xml"/><Relationship Id="rId12" Type="http://schemas.openxmlformats.org/officeDocument/2006/relationships/hyperlink" Target="http://www.microsoft.com/licensing" TargetMode="External"/><Relationship Id="rId17" Type="http://schemas.openxmlformats.org/officeDocument/2006/relationships/hyperlink" Target="http://support.microsoft.com/lifecycle" TargetMode="External"/><Relationship Id="rId25" Type="http://schemas.openxmlformats.org/officeDocument/2006/relationships/hyperlink" Target="http://www.microsoft.com/licensing/resources/vol/volumelicensekey/default.mspx" TargetMode="External"/><Relationship Id="rId33" Type="http://schemas.openxmlformats.org/officeDocument/2006/relationships/hyperlink" Target="http://www.microsoft.com/en-us/dynamics/erp-explore-ax-capabilities.aspx" TargetMode="External"/><Relationship Id="rId38" Type="http://schemas.openxmlformats.org/officeDocument/2006/relationships/hyperlink" Target="http://www.microsoft.com/sqlserver/2008/en/us/parallel-data-warehouse.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190</Pages>
  <Words>88209</Words>
  <Characters>502796</Characters>
  <Application>Microsoft Office Word</Application>
  <DocSecurity>0</DocSecurity>
  <Lines>4189</Lines>
  <Paragraphs>1179</Paragraphs>
  <ScaleCrop>false</ScaleCrop>
  <Company>Microsoft Corporation</Company>
  <LinksUpToDate>false</LinksUpToDate>
  <CharactersWithSpaces>589826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Myles (Inviso)</dc:creator>
  <cp:keywords/>
  <dc:description/>
  <cp:lastModifiedBy>Alexandra Myles (Inviso)</cp:lastModifiedBy>
  <cp:revision>2</cp:revision>
  <dcterms:created xsi:type="dcterms:W3CDTF">2012-12-28T22:49:00Z</dcterms:created>
  <dcterms:modified xsi:type="dcterms:W3CDTF">2012-12-28T22:49:00Z</dcterms:modified>
</cp:coreProperties>
</file>